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48A2B" w14:textId="7DB2CB39" w:rsidR="00D76E43" w:rsidRPr="00DD5DD9" w:rsidRDefault="00AC21EA" w:rsidP="00862FF4">
      <w:pPr>
        <w:jc w:val="left"/>
      </w:pPr>
      <w:r w:rsidRPr="00B82371">
        <w:rPr>
          <w:b/>
          <w:noProof/>
          <w:lang w:eastAsia="en-AU"/>
        </w:rPr>
        <mc:AlternateContent>
          <mc:Choice Requires="wpg">
            <w:drawing>
              <wp:anchor distT="0" distB="0" distL="114300" distR="114300" simplePos="0" relativeHeight="251658240" behindDoc="0" locked="0" layoutInCell="1" allowOverlap="1" wp14:anchorId="39BA4452" wp14:editId="32648A0E">
                <wp:simplePos x="0" y="0"/>
                <wp:positionH relativeFrom="column">
                  <wp:posOffset>0</wp:posOffset>
                </wp:positionH>
                <wp:positionV relativeFrom="paragraph">
                  <wp:posOffset>14730</wp:posOffset>
                </wp:positionV>
                <wp:extent cx="5965190" cy="1233170"/>
                <wp:effectExtent l="0" t="0" r="0" b="5080"/>
                <wp:wrapTopAndBottom/>
                <wp:docPr id="9" name="Group 9"/>
                <wp:cNvGraphicFramePr/>
                <a:graphic xmlns:a="http://schemas.openxmlformats.org/drawingml/2006/main">
                  <a:graphicData uri="http://schemas.microsoft.com/office/word/2010/wordprocessingGroup">
                    <wpg:wgp>
                      <wpg:cNvGrpSpPr/>
                      <wpg:grpSpPr>
                        <a:xfrm>
                          <a:off x="0" y="0"/>
                          <a:ext cx="5965190" cy="1233170"/>
                          <a:chOff x="0" y="0"/>
                          <a:chExt cx="5965430" cy="1233730"/>
                        </a:xfrm>
                      </wpg:grpSpPr>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47935" y="104931"/>
                            <a:ext cx="2817495" cy="1035685"/>
                          </a:xfrm>
                          <a:prstGeom prst="rect">
                            <a:avLst/>
                          </a:prstGeom>
                        </pic:spPr>
                      </pic:pic>
                      <wps:wsp>
                        <wps:cNvPr id="11" name="Rectangle 11"/>
                        <wps:cNvSpPr/>
                        <wps:spPr>
                          <a:xfrm>
                            <a:off x="0" y="0"/>
                            <a:ext cx="2994212" cy="12337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C7F817" w14:textId="77777777" w:rsidR="00A72784" w:rsidRDefault="00A72784" w:rsidP="00AC21EA">
                              <w:pPr>
                                <w:jc w:val="center"/>
                              </w:pPr>
                              <w:r>
                                <w:rPr>
                                  <w:noProof/>
                                  <w:lang w:eastAsia="en-AU"/>
                                </w:rPr>
                                <w:drawing>
                                  <wp:inline distT="0" distB="0" distL="0" distR="0" wp14:anchorId="6F854925" wp14:editId="6753F286">
                                    <wp:extent cx="1137920" cy="937895"/>
                                    <wp:effectExtent l="0" t="0" r="5080" b="0"/>
                                    <wp:docPr id="3" name="Picture 3" descr="\\central.health\dfsuserenv\Users\User_21\PIPMAG\Documents\Australian COVID Surveillance Plan\Surveillance Plan Final May 22\CDNA logo-hi-res.TIF"/>
                                    <wp:cNvGraphicFramePr/>
                                    <a:graphic xmlns:a="http://schemas.openxmlformats.org/drawingml/2006/main">
                                      <a:graphicData uri="http://schemas.openxmlformats.org/drawingml/2006/picture">
                                        <pic:pic xmlns:pic="http://schemas.openxmlformats.org/drawingml/2006/picture">
                                          <pic:nvPicPr>
                                            <pic:cNvPr id="1" name="Picture 1" descr="\\central.health\dfsuserenv\Users\User_21\PIPMAG\Documents\Australian COVID Surveillance Plan\Surveillance Plan Final May 22\CDNA logo-hi-res.TIF"/>
                                            <pic:cNvPicPr/>
                                          </pic:nvPicPr>
                                          <pic:blipFill rotWithShape="1">
                                            <a:blip r:embed="rId12" cstate="print">
                                              <a:extLst>
                                                <a:ext uri="{28A0092B-C50C-407E-A947-70E740481C1C}">
                                                  <a14:useLocalDpi xmlns:a14="http://schemas.microsoft.com/office/drawing/2010/main" val="0"/>
                                                </a:ext>
                                              </a:extLst>
                                            </a:blip>
                                            <a:srcRect r="5616" b="39267"/>
                                            <a:stretch/>
                                          </pic:blipFill>
                                          <pic:spPr bwMode="auto">
                                            <a:xfrm>
                                              <a:off x="0" y="0"/>
                                              <a:ext cx="1137920" cy="93789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1A8BE69C" wp14:editId="041A9FAE">
                                    <wp:extent cx="1567180" cy="796925"/>
                                    <wp:effectExtent l="0" t="0" r="0" b="3175"/>
                                    <wp:docPr id="4" name="Picture 4" descr="\\central.health\dfsuserenv\Users\User_21\PIPMAG\Documents\Australian COVID Surveillance Plan\Surveillance Plan Final May 22\CDNA logo-hi-res.TIF"/>
                                    <wp:cNvGraphicFramePr/>
                                    <a:graphic xmlns:a="http://schemas.openxmlformats.org/drawingml/2006/main">
                                      <a:graphicData uri="http://schemas.openxmlformats.org/drawingml/2006/picture">
                                        <pic:pic xmlns:pic="http://schemas.openxmlformats.org/drawingml/2006/picture">
                                          <pic:nvPicPr>
                                            <pic:cNvPr id="4" name="Picture 4" descr="\\central.health\dfsuserenv\Users\User_21\PIPMAG\Documents\Australian COVID Surveillance Plan\Surveillance Plan Final May 22\CDNA logo-hi-res.TIF"/>
                                            <pic:cNvPicPr/>
                                          </pic:nvPicPr>
                                          <pic:blipFill rotWithShape="1">
                                            <a:blip r:embed="rId12" cstate="print">
                                              <a:extLst>
                                                <a:ext uri="{28A0092B-C50C-407E-A947-70E740481C1C}">
                                                  <a14:useLocalDpi xmlns:a14="http://schemas.microsoft.com/office/drawing/2010/main" val="0"/>
                                                </a:ext>
                                              </a:extLst>
                                            </a:blip>
                                            <a:srcRect t="60286"/>
                                            <a:stretch/>
                                          </pic:blipFill>
                                          <pic:spPr bwMode="auto">
                                            <a:xfrm>
                                              <a:off x="0" y="0"/>
                                              <a:ext cx="1567180" cy="7969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BA4452" id="Group 9" o:spid="_x0000_s1026" style="position:absolute;margin-left:0;margin-top:1.15pt;width:469.7pt;height:97.1pt;z-index:251658240" coordsize="59654,12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1479;top:1049;width:28175;height:10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">
                  <v:imagedata r:id="rId13" o:title=""/>
                </v:shape>
                <v:rect id="Rectangle 11" o:spid="_x0000_s1028" style="position:absolute;width:29942;height:1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" fillcolor="white [3201]" stroked="f" strokeweight="2pt">
                  <v:textbox>
                    <w:txbxContent>
                      <w:p w14:paraId="01C7F817" w14:textId="77777777" w:rsidR="00A72784" w:rsidRDefault="00A72784" w:rsidP="00AC21EA">
                        <w:pPr>
                          <w:jc w:val="center"/>
                        </w:pPr>
                        <w:r>
                          <w:rPr>
                            <w:noProof/>
                            <w:lang w:eastAsia="en-AU"/>
                          </w:rPr>
                          <w:drawing>
                            <wp:inline distT="0" distB="0" distL="0" distR="0" wp14:anchorId="6F854925" wp14:editId="6753F286">
                              <wp:extent cx="1137920" cy="937895"/>
                              <wp:effectExtent l="0" t="0" r="5080" b="0"/>
                              <wp:docPr id="3" name="Picture 3" descr="\\central.health\dfsuserenv\Users\User_21\PIPMAG\Documents\Australian COVID Surveillance Plan\Surveillance Plan Final May 22\CDNA logo-hi-res.TIF"/>
                              <wp:cNvGraphicFramePr/>
                              <a:graphic xmlns:a="http://schemas.openxmlformats.org/drawingml/2006/main">
                                <a:graphicData uri="http://schemas.openxmlformats.org/drawingml/2006/picture">
                                  <pic:pic xmlns:pic="http://schemas.openxmlformats.org/drawingml/2006/picture">
                                    <pic:nvPicPr>
                                      <pic:cNvPr id="1" name="Picture 1" descr="\\central.health\dfsuserenv\Users\User_21\PIPMAG\Documents\Australian COVID Surveillance Plan\Surveillance Plan Final May 22\CDNA logo-hi-res.TIF"/>
                                      <pic:cNvPicPr/>
                                    </pic:nvPicPr>
                                    <pic:blipFill rotWithShape="1">
                                      <a:blip r:embed="rId14" cstate="print">
                                        <a:extLst>
                                          <a:ext uri="{28A0092B-C50C-407E-A947-70E740481C1C}">
                                            <a14:useLocalDpi xmlns:a14="http://schemas.microsoft.com/office/drawing/2010/main" val="0"/>
                                          </a:ext>
                                        </a:extLst>
                                      </a:blip>
                                      <a:srcRect r="5616" b="39267"/>
                                      <a:stretch/>
                                    </pic:blipFill>
                                    <pic:spPr bwMode="auto">
                                      <a:xfrm>
                                        <a:off x="0" y="0"/>
                                        <a:ext cx="1137920" cy="93789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1A8BE69C" wp14:editId="041A9FAE">
                              <wp:extent cx="1567180" cy="796925"/>
                              <wp:effectExtent l="0" t="0" r="0" b="3175"/>
                              <wp:docPr id="4" name="Picture 4" descr="\\central.health\dfsuserenv\Users\User_21\PIPMAG\Documents\Australian COVID Surveillance Plan\Surveillance Plan Final May 22\CDNA logo-hi-res.TIF"/>
                              <wp:cNvGraphicFramePr/>
                              <a:graphic xmlns:a="http://schemas.openxmlformats.org/drawingml/2006/main">
                                <a:graphicData uri="http://schemas.openxmlformats.org/drawingml/2006/picture">
                                  <pic:pic xmlns:pic="http://schemas.openxmlformats.org/drawingml/2006/picture">
                                    <pic:nvPicPr>
                                      <pic:cNvPr id="4" name="Picture 4" descr="\\central.health\dfsuserenv\Users\User_21\PIPMAG\Documents\Australian COVID Surveillance Plan\Surveillance Plan Final May 22\CDNA logo-hi-res.TIF"/>
                                      <pic:cNvPicPr/>
                                    </pic:nvPicPr>
                                    <pic:blipFill rotWithShape="1">
                                      <a:blip r:embed="rId14" cstate="print">
                                        <a:extLst>
                                          <a:ext uri="{28A0092B-C50C-407E-A947-70E740481C1C}">
                                            <a14:useLocalDpi xmlns:a14="http://schemas.microsoft.com/office/drawing/2010/main" val="0"/>
                                          </a:ext>
                                        </a:extLst>
                                      </a:blip>
                                      <a:srcRect t="60286"/>
                                      <a:stretch/>
                                    </pic:blipFill>
                                    <pic:spPr bwMode="auto">
                                      <a:xfrm>
                                        <a:off x="0" y="0"/>
                                        <a:ext cx="1567180" cy="7969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10:wrap type="topAndBottom"/>
              </v:group>
            </w:pict>
          </mc:Fallback>
        </mc:AlternateContent>
      </w:r>
    </w:p>
    <w:p w14:paraId="4006DD52" w14:textId="77777777" w:rsidR="00D76E43" w:rsidRPr="00DD5DD9" w:rsidRDefault="00D76E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797"/>
      </w:tblGrid>
      <w:tr w:rsidR="00E60008" w:rsidRPr="00DD5DD9" w14:paraId="1373083F" w14:textId="77777777" w:rsidTr="0B9EBA93">
        <w:tc>
          <w:tcPr>
            <w:tcW w:w="1134" w:type="dxa"/>
          </w:tcPr>
          <w:p w14:paraId="256BE6C4" w14:textId="5909A600" w:rsidR="00E60008" w:rsidRPr="00C229FD" w:rsidRDefault="00E60008" w:rsidP="00500A5B">
            <w:pPr>
              <w:pStyle w:val="Title"/>
              <w:jc w:val="right"/>
              <w:rPr>
                <w:lang w:eastAsia="en-AU"/>
              </w:rPr>
            </w:pPr>
          </w:p>
          <w:p w14:paraId="0B33B894" w14:textId="7E9C8D4F" w:rsidR="00ED4B95" w:rsidRPr="00DD5DD9" w:rsidRDefault="00ED4B95" w:rsidP="00500A5B">
            <w:pPr>
              <w:pStyle w:val="Title"/>
              <w:jc w:val="right"/>
            </w:pPr>
          </w:p>
        </w:tc>
        <w:tc>
          <w:tcPr>
            <w:tcW w:w="7797" w:type="dxa"/>
            <w:vAlign w:val="center"/>
          </w:tcPr>
          <w:p w14:paraId="5A3CCA66" w14:textId="7ED62DD4" w:rsidR="00ED4B95" w:rsidRPr="00DD5DD9" w:rsidRDefault="00862FF4" w:rsidP="00500A5B">
            <w:pPr>
              <w:pStyle w:val="Title"/>
              <w:jc w:val="right"/>
            </w:pPr>
            <w:r w:rsidRPr="00DD5DD9">
              <w:t>Revised</w:t>
            </w:r>
            <w:r w:rsidR="007F5C5D" w:rsidRPr="00DD5DD9">
              <w:t xml:space="preserve"> </w:t>
            </w:r>
            <w:r w:rsidR="00ED4B95" w:rsidRPr="00DD5DD9">
              <w:t>Testing Framework for COVID</w:t>
            </w:r>
            <w:r w:rsidR="00D51CFC" w:rsidRPr="00DD5DD9">
              <w:noBreakHyphen/>
              <w:t>1</w:t>
            </w:r>
            <w:r w:rsidR="00ED4B95" w:rsidRPr="00DD5DD9">
              <w:t xml:space="preserve">9 in Australia </w:t>
            </w:r>
          </w:p>
          <w:p w14:paraId="692D9394" w14:textId="74418651" w:rsidR="00ED4B95" w:rsidRPr="00DD5DD9" w:rsidRDefault="00B82371" w:rsidP="0B9EBA93">
            <w:pPr>
              <w:jc w:val="right"/>
              <w:rPr>
                <w:rFonts w:ascii="Arial" w:eastAsiaTheme="majorEastAsia" w:hAnsi="Arial" w:cstheme="majorBidi"/>
                <w:b/>
                <w:bCs/>
                <w:color w:val="13396E"/>
                <w:kern w:val="28"/>
                <w:sz w:val="28"/>
                <w:szCs w:val="28"/>
              </w:rPr>
            </w:pPr>
            <w:r>
              <w:rPr>
                <w:rFonts w:ascii="Arial" w:eastAsiaTheme="majorEastAsia" w:hAnsi="Arial" w:cstheme="majorBidi"/>
                <w:b/>
                <w:bCs/>
                <w:color w:val="13396E"/>
                <w:kern w:val="28"/>
                <w:sz w:val="28"/>
                <w:szCs w:val="28"/>
              </w:rPr>
              <w:t>March</w:t>
            </w:r>
            <w:r w:rsidR="21CAB1AA" w:rsidRPr="00DD5DD9">
              <w:rPr>
                <w:rFonts w:ascii="Arial" w:eastAsiaTheme="majorEastAsia" w:hAnsi="Arial" w:cstheme="majorBidi"/>
                <w:b/>
                <w:bCs/>
                <w:color w:val="13396E"/>
                <w:kern w:val="28"/>
                <w:sz w:val="28"/>
                <w:szCs w:val="28"/>
              </w:rPr>
              <w:t xml:space="preserve"> </w:t>
            </w:r>
            <w:r w:rsidR="0C181C05" w:rsidRPr="00DD5DD9">
              <w:rPr>
                <w:rFonts w:ascii="Arial" w:eastAsiaTheme="majorEastAsia" w:hAnsi="Arial" w:cstheme="majorBidi"/>
                <w:b/>
                <w:bCs/>
                <w:color w:val="13396E"/>
                <w:kern w:val="28"/>
                <w:sz w:val="28"/>
                <w:szCs w:val="28"/>
              </w:rPr>
              <w:t>202</w:t>
            </w:r>
            <w:r w:rsidR="79531EA2" w:rsidRPr="00DD5DD9">
              <w:rPr>
                <w:rFonts w:ascii="Arial" w:eastAsiaTheme="majorEastAsia" w:hAnsi="Arial" w:cstheme="majorBidi"/>
                <w:b/>
                <w:bCs/>
                <w:color w:val="13396E"/>
                <w:kern w:val="28"/>
                <w:sz w:val="28"/>
                <w:szCs w:val="28"/>
              </w:rPr>
              <w:t>2</w:t>
            </w:r>
          </w:p>
          <w:p w14:paraId="38834C05" w14:textId="0F5A4C47" w:rsidR="00BF7EF9" w:rsidRPr="00DD5DD9" w:rsidRDefault="00BF7EF9" w:rsidP="005968CE">
            <w:pPr>
              <w:pStyle w:val="Title"/>
              <w:jc w:val="right"/>
            </w:pPr>
          </w:p>
          <w:p w14:paraId="14837D85" w14:textId="7D40473A" w:rsidR="00EC204A" w:rsidRPr="00DD5DD9" w:rsidRDefault="00EC204A" w:rsidP="00EC204A">
            <w:pPr>
              <w:pStyle w:val="Title"/>
              <w:jc w:val="right"/>
            </w:pPr>
          </w:p>
        </w:tc>
      </w:tr>
    </w:tbl>
    <w:p w14:paraId="70A8C931" w14:textId="77777777" w:rsidR="00C57A16" w:rsidRPr="00DD5DD9" w:rsidRDefault="00C57A16" w:rsidP="00C57A16">
      <w:pPr>
        <w:rPr>
          <w:rFonts w:asciiTheme="majorHAnsi" w:hAnsiTheme="majorHAnsi"/>
          <w:szCs w:val="24"/>
        </w:rPr>
      </w:pPr>
      <w:bookmarkStart w:id="0" w:name="_Toc56505888"/>
      <w:r w:rsidRPr="00DD5DD9">
        <w:rPr>
          <w:rFonts w:asciiTheme="majorHAnsi" w:hAnsiTheme="majorHAnsi"/>
          <w:szCs w:val="24"/>
        </w:rPr>
        <w:t>Revision History</w:t>
      </w:r>
    </w:p>
    <w:tbl>
      <w:tblPr>
        <w:tblStyle w:val="TableGrid"/>
        <w:tblW w:w="0" w:type="auto"/>
        <w:tblLook w:val="04A0" w:firstRow="1" w:lastRow="0" w:firstColumn="1" w:lastColumn="0" w:noHBand="0" w:noVBand="1"/>
        <w:tblCaption w:val="Revision table"/>
        <w:tblDescription w:val="This table provides the revision history for the guidance document. "/>
      </w:tblPr>
      <w:tblGrid>
        <w:gridCol w:w="1413"/>
        <w:gridCol w:w="2126"/>
        <w:gridCol w:w="5245"/>
      </w:tblGrid>
      <w:tr w:rsidR="00C57A16" w:rsidRPr="00DD5DD9" w14:paraId="6D2F8C2E" w14:textId="77777777" w:rsidTr="6A9820AC">
        <w:trPr>
          <w:tblHeader/>
        </w:trPr>
        <w:tc>
          <w:tcPr>
            <w:tcW w:w="1413" w:type="dxa"/>
            <w:vAlign w:val="center"/>
          </w:tcPr>
          <w:p w14:paraId="163B586F" w14:textId="77777777" w:rsidR="00C57A16" w:rsidRPr="00DD5DD9" w:rsidRDefault="00C57A16" w:rsidP="00862FF4">
            <w:pPr>
              <w:jc w:val="left"/>
              <w:rPr>
                <w:bCs/>
              </w:rPr>
            </w:pPr>
            <w:r w:rsidRPr="00DD5DD9">
              <w:rPr>
                <w:b/>
                <w:bCs/>
              </w:rPr>
              <w:t>Version</w:t>
            </w:r>
          </w:p>
        </w:tc>
        <w:tc>
          <w:tcPr>
            <w:tcW w:w="2126" w:type="dxa"/>
            <w:vAlign w:val="center"/>
          </w:tcPr>
          <w:p w14:paraId="7DBC6912" w14:textId="4EAB0CE3" w:rsidR="00C57A16" w:rsidRPr="00DD5DD9" w:rsidRDefault="00C57A16" w:rsidP="00862FF4">
            <w:pPr>
              <w:jc w:val="left"/>
              <w:rPr>
                <w:bCs/>
              </w:rPr>
            </w:pPr>
            <w:r w:rsidRPr="00DD5DD9">
              <w:rPr>
                <w:b/>
                <w:bCs/>
              </w:rPr>
              <w:t xml:space="preserve">Date </w:t>
            </w:r>
            <w:r w:rsidR="00A37865" w:rsidRPr="00DD5DD9">
              <w:rPr>
                <w:b/>
                <w:bCs/>
              </w:rPr>
              <w:t>e</w:t>
            </w:r>
            <w:r w:rsidRPr="00DD5DD9">
              <w:rPr>
                <w:b/>
                <w:bCs/>
              </w:rPr>
              <w:t xml:space="preserve">ndorsed by </w:t>
            </w:r>
            <w:r w:rsidR="00F373D2" w:rsidRPr="00DD5DD9">
              <w:rPr>
                <w:b/>
                <w:bCs/>
              </w:rPr>
              <w:t>AHPPC</w:t>
            </w:r>
          </w:p>
        </w:tc>
        <w:tc>
          <w:tcPr>
            <w:tcW w:w="5245" w:type="dxa"/>
          </w:tcPr>
          <w:p w14:paraId="4017D412" w14:textId="3E9431F2" w:rsidR="00C57A16" w:rsidRPr="00DD5DD9" w:rsidRDefault="00C57A16" w:rsidP="00862FF4">
            <w:pPr>
              <w:jc w:val="left"/>
              <w:rPr>
                <w:bCs/>
              </w:rPr>
            </w:pPr>
            <w:r w:rsidRPr="00DD5DD9">
              <w:rPr>
                <w:b/>
                <w:bCs/>
              </w:rPr>
              <w:t>Revision note</w:t>
            </w:r>
          </w:p>
        </w:tc>
      </w:tr>
      <w:tr w:rsidR="00F373D2" w:rsidRPr="00DD5DD9" w14:paraId="71D01301" w14:textId="77777777" w:rsidTr="6A9820AC">
        <w:trPr>
          <w:tblHeader/>
        </w:trPr>
        <w:tc>
          <w:tcPr>
            <w:tcW w:w="1413" w:type="dxa"/>
            <w:vAlign w:val="center"/>
          </w:tcPr>
          <w:p w14:paraId="28D3B1AB" w14:textId="4CC6CC09" w:rsidR="00F373D2" w:rsidRPr="00DD5DD9" w:rsidRDefault="00F373D2" w:rsidP="00862FF4">
            <w:pPr>
              <w:jc w:val="left"/>
            </w:pPr>
            <w:r w:rsidRPr="00DD5DD9">
              <w:t>2.1</w:t>
            </w:r>
          </w:p>
        </w:tc>
        <w:tc>
          <w:tcPr>
            <w:tcW w:w="2126" w:type="dxa"/>
            <w:vAlign w:val="center"/>
          </w:tcPr>
          <w:p w14:paraId="5C53A564" w14:textId="352EE762" w:rsidR="00F373D2" w:rsidRPr="00DD5DD9" w:rsidRDefault="00CA45D5" w:rsidP="00862FF4">
            <w:pPr>
              <w:jc w:val="left"/>
            </w:pPr>
            <w:r>
              <w:t xml:space="preserve">7 March </w:t>
            </w:r>
            <w:r w:rsidR="00F373D2" w:rsidRPr="00DD5DD9">
              <w:t>2022</w:t>
            </w:r>
          </w:p>
        </w:tc>
        <w:tc>
          <w:tcPr>
            <w:tcW w:w="5245" w:type="dxa"/>
          </w:tcPr>
          <w:p w14:paraId="0FFCD6FB" w14:textId="0457BF72" w:rsidR="00F373D2" w:rsidRPr="00DD5DD9" w:rsidRDefault="25B03735" w:rsidP="00862FF4">
            <w:pPr>
              <w:jc w:val="left"/>
            </w:pPr>
            <w:r w:rsidRPr="00DD5DD9">
              <w:t>I</w:t>
            </w:r>
            <w:r w:rsidR="0A7CD022" w:rsidRPr="00DD5DD9">
              <w:t>nclu</w:t>
            </w:r>
            <w:r w:rsidRPr="00DD5DD9">
              <w:t xml:space="preserve">sion of </w:t>
            </w:r>
            <w:r w:rsidR="0A7CD022" w:rsidRPr="00DD5DD9">
              <w:t>Epidemiological Zone 4</w:t>
            </w:r>
            <w:r w:rsidR="5176C10B" w:rsidRPr="00DD5DD9">
              <w:t xml:space="preserve"> and additional updates </w:t>
            </w:r>
            <w:r w:rsidRPr="00DD5DD9">
              <w:t xml:space="preserve">following National Cabinet meeting of </w:t>
            </w:r>
            <w:r w:rsidR="7D74DB28" w:rsidRPr="00DD5DD9">
              <w:t xml:space="preserve">      </w:t>
            </w:r>
            <w:r w:rsidRPr="00DD5DD9">
              <w:t>5 January 2022</w:t>
            </w:r>
            <w:r w:rsidR="0A7CD022" w:rsidRPr="00DD5DD9">
              <w:t>.</w:t>
            </w:r>
          </w:p>
        </w:tc>
      </w:tr>
      <w:tr w:rsidR="00C57A16" w:rsidRPr="00DD5DD9" w14:paraId="253DEC02" w14:textId="77777777" w:rsidTr="6A9820AC">
        <w:tc>
          <w:tcPr>
            <w:tcW w:w="1413" w:type="dxa"/>
          </w:tcPr>
          <w:p w14:paraId="5421B227" w14:textId="77777777" w:rsidR="00C57A16" w:rsidRPr="00DD5DD9" w:rsidRDefault="00C57A16" w:rsidP="00862FF4">
            <w:pPr>
              <w:rPr>
                <w:rFonts w:cstheme="minorHAnsi"/>
                <w:szCs w:val="24"/>
              </w:rPr>
            </w:pPr>
            <w:r w:rsidRPr="00DD5DD9">
              <w:rPr>
                <w:rFonts w:cstheme="minorHAnsi"/>
                <w:szCs w:val="24"/>
              </w:rPr>
              <w:t>2.0</w:t>
            </w:r>
          </w:p>
        </w:tc>
        <w:tc>
          <w:tcPr>
            <w:tcW w:w="2126" w:type="dxa"/>
          </w:tcPr>
          <w:p w14:paraId="2BBC5C4F" w14:textId="77149658" w:rsidR="00C57A16" w:rsidRPr="00DD5DD9" w:rsidRDefault="00A5172A" w:rsidP="00862FF4">
            <w:pPr>
              <w:rPr>
                <w:rFonts w:cstheme="minorHAnsi"/>
                <w:szCs w:val="24"/>
              </w:rPr>
            </w:pPr>
            <w:r w:rsidRPr="00DD5DD9">
              <w:rPr>
                <w:rFonts w:cstheme="minorHAnsi"/>
                <w:szCs w:val="24"/>
              </w:rPr>
              <w:t>16 December 2021</w:t>
            </w:r>
          </w:p>
        </w:tc>
        <w:tc>
          <w:tcPr>
            <w:tcW w:w="5245" w:type="dxa"/>
          </w:tcPr>
          <w:p w14:paraId="742E09E1" w14:textId="1191245C" w:rsidR="00C57A16" w:rsidRPr="00DD5DD9" w:rsidRDefault="007C4C27" w:rsidP="00675737">
            <w:pPr>
              <w:autoSpaceDE w:val="0"/>
              <w:autoSpaceDN w:val="0"/>
              <w:adjustRightInd w:val="0"/>
              <w:ind w:right="-20"/>
              <w:rPr>
                <w:rFonts w:cstheme="minorHAnsi"/>
                <w:spacing w:val="-10"/>
                <w:kern w:val="28"/>
                <w:szCs w:val="24"/>
              </w:rPr>
            </w:pPr>
            <w:r w:rsidRPr="00DD5DD9">
              <w:rPr>
                <w:rFonts w:cstheme="minorHAnsi"/>
                <w:spacing w:val="-10"/>
                <w:kern w:val="28"/>
                <w:szCs w:val="24"/>
              </w:rPr>
              <w:t>Update</w:t>
            </w:r>
            <w:r w:rsidR="00D85AE3" w:rsidRPr="00DD5DD9">
              <w:rPr>
                <w:rFonts w:cstheme="minorHAnsi"/>
                <w:spacing w:val="-10"/>
                <w:kern w:val="28"/>
                <w:szCs w:val="24"/>
              </w:rPr>
              <w:t xml:space="preserve"> of</w:t>
            </w:r>
            <w:r w:rsidRPr="00DD5DD9">
              <w:rPr>
                <w:rFonts w:cstheme="minorHAnsi"/>
                <w:spacing w:val="-10"/>
                <w:kern w:val="28"/>
                <w:szCs w:val="24"/>
              </w:rPr>
              <w:t xml:space="preserve"> </w:t>
            </w:r>
            <w:r w:rsidR="00C57A16" w:rsidRPr="00DD5DD9">
              <w:rPr>
                <w:rFonts w:cstheme="minorHAnsi"/>
                <w:spacing w:val="-10"/>
                <w:kern w:val="28"/>
                <w:szCs w:val="24"/>
              </w:rPr>
              <w:t xml:space="preserve">whole document. </w:t>
            </w:r>
          </w:p>
        </w:tc>
      </w:tr>
      <w:tr w:rsidR="00696FF8" w:rsidRPr="00DD5DD9" w14:paraId="1A79B981" w14:textId="77777777" w:rsidTr="6A9820AC">
        <w:tc>
          <w:tcPr>
            <w:tcW w:w="1413" w:type="dxa"/>
          </w:tcPr>
          <w:p w14:paraId="66446B05" w14:textId="2494DFBB" w:rsidR="00696FF8" w:rsidRPr="00DD5DD9" w:rsidRDefault="00696FF8">
            <w:pPr>
              <w:rPr>
                <w:rFonts w:cstheme="minorHAnsi"/>
                <w:szCs w:val="24"/>
              </w:rPr>
            </w:pPr>
            <w:r w:rsidRPr="00DD5DD9">
              <w:rPr>
                <w:rFonts w:cstheme="minorHAnsi"/>
                <w:szCs w:val="24"/>
              </w:rPr>
              <w:t>1.0</w:t>
            </w:r>
          </w:p>
        </w:tc>
        <w:tc>
          <w:tcPr>
            <w:tcW w:w="2126" w:type="dxa"/>
          </w:tcPr>
          <w:p w14:paraId="69CA7AE7" w14:textId="05FF4C73" w:rsidR="00696FF8" w:rsidRPr="00DD5DD9" w:rsidRDefault="00696FF8">
            <w:pPr>
              <w:rPr>
                <w:rFonts w:cstheme="minorHAnsi"/>
                <w:szCs w:val="24"/>
              </w:rPr>
            </w:pPr>
            <w:r w:rsidRPr="00DD5DD9">
              <w:rPr>
                <w:rFonts w:cstheme="minorHAnsi"/>
                <w:szCs w:val="24"/>
              </w:rPr>
              <w:t>8 February 2021</w:t>
            </w:r>
          </w:p>
        </w:tc>
        <w:tc>
          <w:tcPr>
            <w:tcW w:w="5245" w:type="dxa"/>
          </w:tcPr>
          <w:p w14:paraId="17D9D2D3" w14:textId="130149C5" w:rsidR="00696FF8" w:rsidRPr="00DD5DD9" w:rsidDel="007C4C27" w:rsidRDefault="00696FF8" w:rsidP="00675737">
            <w:pPr>
              <w:autoSpaceDE w:val="0"/>
              <w:autoSpaceDN w:val="0"/>
              <w:adjustRightInd w:val="0"/>
              <w:ind w:right="-20"/>
              <w:rPr>
                <w:rFonts w:cstheme="minorHAnsi"/>
                <w:spacing w:val="-10"/>
                <w:kern w:val="28"/>
                <w:szCs w:val="24"/>
              </w:rPr>
            </w:pPr>
            <w:r w:rsidRPr="00DD5DD9">
              <w:rPr>
                <w:rFonts w:cstheme="minorHAnsi"/>
                <w:spacing w:val="-10"/>
                <w:kern w:val="28"/>
                <w:szCs w:val="24"/>
              </w:rPr>
              <w:t>Initial document</w:t>
            </w:r>
          </w:p>
        </w:tc>
      </w:tr>
    </w:tbl>
    <w:p w14:paraId="32B7DCC4" w14:textId="77777777" w:rsidR="00A5172A" w:rsidRPr="00DD5DD9" w:rsidRDefault="00A5172A">
      <w:pPr>
        <w:pStyle w:val="TOCHeading"/>
        <w:rPr>
          <w:rFonts w:asciiTheme="minorHAnsi" w:eastAsiaTheme="minorHAnsi" w:hAnsiTheme="minorHAnsi" w:cs="Arial"/>
          <w:b/>
          <w:color w:val="auto"/>
          <w:sz w:val="24"/>
          <w:szCs w:val="22"/>
          <w:lang w:val="en-AU"/>
        </w:rPr>
      </w:pPr>
    </w:p>
    <w:p w14:paraId="706C76A2" w14:textId="77777777" w:rsidR="00A5172A" w:rsidRPr="00DD5DD9" w:rsidRDefault="00A5172A">
      <w:pPr>
        <w:spacing w:after="200" w:line="276" w:lineRule="auto"/>
        <w:jc w:val="left"/>
        <w:rPr>
          <w:b/>
        </w:rPr>
      </w:pPr>
      <w:r w:rsidRPr="00DD5DD9">
        <w:rPr>
          <w:b/>
        </w:rPr>
        <w:br w:type="page"/>
      </w:r>
    </w:p>
    <w:sdt>
      <w:sdtPr>
        <w:rPr>
          <w:rFonts w:asciiTheme="minorHAnsi" w:eastAsiaTheme="minorHAnsi" w:hAnsiTheme="minorHAnsi" w:cs="Arial"/>
          <w:color w:val="auto"/>
          <w:sz w:val="24"/>
          <w:szCs w:val="22"/>
          <w:lang w:val="en-AU"/>
        </w:rPr>
        <w:id w:val="-1819256252"/>
        <w:docPartObj>
          <w:docPartGallery w:val="Table of Contents"/>
          <w:docPartUnique/>
        </w:docPartObj>
      </w:sdtPr>
      <w:sdtEndPr>
        <w:rPr>
          <w:b/>
          <w:bCs/>
        </w:rPr>
      </w:sdtEndPr>
      <w:sdtContent>
        <w:p w14:paraId="53A40B37" w14:textId="529D1CF3" w:rsidR="00D21C3F" w:rsidRPr="00A72784" w:rsidRDefault="00D21C3F">
          <w:pPr>
            <w:pStyle w:val="TOCHeading"/>
            <w:rPr>
              <w:lang w:val="en-AU"/>
            </w:rPr>
          </w:pPr>
          <w:r w:rsidRPr="00A72784">
            <w:rPr>
              <w:lang w:val="en-AU"/>
            </w:rPr>
            <w:t>Contents</w:t>
          </w:r>
        </w:p>
        <w:p w14:paraId="2F1100B7" w14:textId="578CBE8E" w:rsidR="00AF1E3D" w:rsidRPr="00A72784" w:rsidRDefault="00D21C3F">
          <w:pPr>
            <w:pStyle w:val="TOC1"/>
            <w:tabs>
              <w:tab w:val="left" w:pos="480"/>
            </w:tabs>
            <w:rPr>
              <w:rFonts w:eastAsiaTheme="minorEastAsia" w:cstheme="minorBidi"/>
              <w:sz w:val="22"/>
              <w:lang w:eastAsia="en-AU"/>
            </w:rPr>
          </w:pPr>
          <w:r w:rsidRPr="00C229FD">
            <w:fldChar w:fldCharType="begin"/>
          </w:r>
          <w:r w:rsidRPr="00DD5DD9">
            <w:instrText xml:space="preserve"> TOC \o "1-3" \h \z \u </w:instrText>
          </w:r>
          <w:r w:rsidRPr="00C229FD">
            <w:fldChar w:fldCharType="separate"/>
          </w:r>
          <w:hyperlink w:anchor="_Toc93492864" w:history="1">
            <w:r w:rsidR="00AF1E3D" w:rsidRPr="00A72784">
              <w:rPr>
                <w:rStyle w:val="Hyperlink"/>
              </w:rPr>
              <w:t>1</w:t>
            </w:r>
            <w:r w:rsidR="00AF1E3D" w:rsidRPr="00A72784">
              <w:rPr>
                <w:rFonts w:eastAsiaTheme="minorEastAsia" w:cstheme="minorBidi"/>
                <w:sz w:val="22"/>
                <w:lang w:eastAsia="en-AU"/>
              </w:rPr>
              <w:tab/>
            </w:r>
            <w:r w:rsidR="00AF1E3D" w:rsidRPr="00A72784">
              <w:rPr>
                <w:rStyle w:val="Hyperlink"/>
              </w:rPr>
              <w:t>Background</w:t>
            </w:r>
            <w:r w:rsidR="00AF1E3D" w:rsidRPr="00A72784">
              <w:rPr>
                <w:webHidden/>
              </w:rPr>
              <w:tab/>
            </w:r>
            <w:r w:rsidR="00AF1E3D" w:rsidRPr="00A72784">
              <w:rPr>
                <w:webHidden/>
              </w:rPr>
              <w:fldChar w:fldCharType="begin"/>
            </w:r>
            <w:r w:rsidR="00AF1E3D" w:rsidRPr="00A72784">
              <w:rPr>
                <w:webHidden/>
              </w:rPr>
              <w:instrText xml:space="preserve"> PAGEREF _Toc93492864 \h </w:instrText>
            </w:r>
            <w:r w:rsidR="00AF1E3D" w:rsidRPr="00A72784">
              <w:rPr>
                <w:webHidden/>
              </w:rPr>
            </w:r>
            <w:r w:rsidR="00AF1E3D" w:rsidRPr="00A72784">
              <w:rPr>
                <w:webHidden/>
              </w:rPr>
              <w:fldChar w:fldCharType="separate"/>
            </w:r>
            <w:r w:rsidR="00AF1E3D" w:rsidRPr="00A72784">
              <w:rPr>
                <w:webHidden/>
              </w:rPr>
              <w:t>3</w:t>
            </w:r>
            <w:r w:rsidR="00AF1E3D" w:rsidRPr="00A72784">
              <w:rPr>
                <w:webHidden/>
              </w:rPr>
              <w:fldChar w:fldCharType="end"/>
            </w:r>
          </w:hyperlink>
        </w:p>
        <w:p w14:paraId="3A5528A6" w14:textId="38FDFD72" w:rsidR="00AF1E3D" w:rsidRPr="00A72784" w:rsidRDefault="00CA45D5">
          <w:pPr>
            <w:pStyle w:val="TOC2"/>
            <w:tabs>
              <w:tab w:val="left" w:pos="880"/>
              <w:tab w:val="right" w:leader="dot" w:pos="9016"/>
            </w:tabs>
            <w:rPr>
              <w:rFonts w:eastAsiaTheme="minorEastAsia" w:cstheme="minorBidi"/>
              <w:sz w:val="22"/>
              <w:lang w:eastAsia="en-AU"/>
            </w:rPr>
          </w:pPr>
          <w:hyperlink w:anchor="_Toc93492867" w:history="1">
            <w:r w:rsidR="00AF1E3D" w:rsidRPr="00A72784">
              <w:rPr>
                <w:rStyle w:val="Hyperlink"/>
              </w:rPr>
              <w:t>1.1</w:t>
            </w:r>
            <w:r w:rsidR="00AF1E3D" w:rsidRPr="00A72784">
              <w:rPr>
                <w:rFonts w:eastAsiaTheme="minorEastAsia" w:cstheme="minorBidi"/>
                <w:sz w:val="22"/>
                <w:lang w:eastAsia="en-AU"/>
              </w:rPr>
              <w:tab/>
            </w:r>
            <w:r w:rsidR="00AF1E3D" w:rsidRPr="00A72784">
              <w:rPr>
                <w:rStyle w:val="Hyperlink"/>
              </w:rPr>
              <w:t>Strategic context</w:t>
            </w:r>
            <w:r w:rsidR="00AF1E3D" w:rsidRPr="00A72784">
              <w:rPr>
                <w:webHidden/>
              </w:rPr>
              <w:tab/>
            </w:r>
            <w:r w:rsidR="00AF1E3D" w:rsidRPr="00A72784">
              <w:rPr>
                <w:webHidden/>
              </w:rPr>
              <w:fldChar w:fldCharType="begin"/>
            </w:r>
            <w:r w:rsidR="00AF1E3D" w:rsidRPr="00A72784">
              <w:rPr>
                <w:webHidden/>
              </w:rPr>
              <w:instrText xml:space="preserve"> PAGEREF _Toc93492867 \h </w:instrText>
            </w:r>
            <w:r w:rsidR="00AF1E3D" w:rsidRPr="00A72784">
              <w:rPr>
                <w:webHidden/>
              </w:rPr>
            </w:r>
            <w:r w:rsidR="00AF1E3D" w:rsidRPr="00A72784">
              <w:rPr>
                <w:webHidden/>
              </w:rPr>
              <w:fldChar w:fldCharType="separate"/>
            </w:r>
            <w:r w:rsidR="00AF1E3D" w:rsidRPr="00A72784">
              <w:rPr>
                <w:webHidden/>
              </w:rPr>
              <w:t>3</w:t>
            </w:r>
            <w:r w:rsidR="00AF1E3D" w:rsidRPr="00A72784">
              <w:rPr>
                <w:webHidden/>
              </w:rPr>
              <w:fldChar w:fldCharType="end"/>
            </w:r>
          </w:hyperlink>
        </w:p>
        <w:p w14:paraId="70053CAC" w14:textId="5C9C2D0C" w:rsidR="00AF1E3D" w:rsidRPr="00A72784" w:rsidRDefault="00CA45D5">
          <w:pPr>
            <w:pStyle w:val="TOC1"/>
            <w:tabs>
              <w:tab w:val="left" w:pos="480"/>
            </w:tabs>
            <w:rPr>
              <w:rFonts w:eastAsiaTheme="minorEastAsia" w:cstheme="minorBidi"/>
              <w:sz w:val="22"/>
              <w:lang w:eastAsia="en-AU"/>
            </w:rPr>
          </w:pPr>
          <w:hyperlink w:anchor="_Toc93492870" w:history="1">
            <w:r w:rsidR="00AF1E3D" w:rsidRPr="00A72784">
              <w:rPr>
                <w:rStyle w:val="Hyperlink"/>
              </w:rPr>
              <w:t>2</w:t>
            </w:r>
            <w:r w:rsidR="00AF1E3D" w:rsidRPr="00A72784">
              <w:rPr>
                <w:rFonts w:eastAsiaTheme="minorEastAsia" w:cstheme="minorBidi"/>
                <w:sz w:val="22"/>
                <w:lang w:eastAsia="en-AU"/>
              </w:rPr>
              <w:tab/>
            </w:r>
            <w:r w:rsidR="00AF1E3D" w:rsidRPr="00A72784">
              <w:rPr>
                <w:rStyle w:val="Hyperlink"/>
              </w:rPr>
              <w:t>Targeting of COVID-19 testing in Australia</w:t>
            </w:r>
            <w:r w:rsidR="00AF1E3D" w:rsidRPr="00A72784">
              <w:rPr>
                <w:webHidden/>
              </w:rPr>
              <w:tab/>
            </w:r>
            <w:r w:rsidR="00AF1E3D" w:rsidRPr="00A72784">
              <w:rPr>
                <w:webHidden/>
              </w:rPr>
              <w:fldChar w:fldCharType="begin"/>
            </w:r>
            <w:r w:rsidR="00AF1E3D" w:rsidRPr="00A72784">
              <w:rPr>
                <w:webHidden/>
              </w:rPr>
              <w:instrText xml:space="preserve"> PAGEREF _Toc93492870 \h </w:instrText>
            </w:r>
            <w:r w:rsidR="00AF1E3D" w:rsidRPr="00A72784">
              <w:rPr>
                <w:webHidden/>
              </w:rPr>
            </w:r>
            <w:r w:rsidR="00AF1E3D" w:rsidRPr="00A72784">
              <w:rPr>
                <w:webHidden/>
              </w:rPr>
              <w:fldChar w:fldCharType="separate"/>
            </w:r>
            <w:r w:rsidR="00AF1E3D" w:rsidRPr="00A72784">
              <w:rPr>
                <w:webHidden/>
              </w:rPr>
              <w:t>3</w:t>
            </w:r>
            <w:r w:rsidR="00AF1E3D" w:rsidRPr="00A72784">
              <w:rPr>
                <w:webHidden/>
              </w:rPr>
              <w:fldChar w:fldCharType="end"/>
            </w:r>
          </w:hyperlink>
        </w:p>
        <w:p w14:paraId="13F5808F" w14:textId="2E3A3DAF" w:rsidR="00AF1E3D" w:rsidRPr="00A72784" w:rsidRDefault="00CA45D5">
          <w:pPr>
            <w:pStyle w:val="TOC1"/>
            <w:tabs>
              <w:tab w:val="left" w:pos="480"/>
            </w:tabs>
            <w:rPr>
              <w:rFonts w:eastAsiaTheme="minorEastAsia" w:cstheme="minorBidi"/>
              <w:sz w:val="22"/>
              <w:lang w:eastAsia="en-AU"/>
            </w:rPr>
          </w:pPr>
          <w:hyperlink w:anchor="_Toc93492871" w:history="1">
            <w:r w:rsidR="00AF1E3D" w:rsidRPr="00A72784">
              <w:rPr>
                <w:rStyle w:val="Hyperlink"/>
              </w:rPr>
              <w:t>3</w:t>
            </w:r>
            <w:r w:rsidR="00AF1E3D" w:rsidRPr="00A72784">
              <w:rPr>
                <w:rFonts w:eastAsiaTheme="minorEastAsia" w:cstheme="minorBidi"/>
                <w:sz w:val="22"/>
                <w:lang w:eastAsia="en-AU"/>
              </w:rPr>
              <w:tab/>
            </w:r>
            <w:r w:rsidR="00AF1E3D" w:rsidRPr="00A72784">
              <w:rPr>
                <w:rStyle w:val="Hyperlink"/>
              </w:rPr>
              <w:t>Testing priorities by Epidemiological Zone and Priority Group</w:t>
            </w:r>
            <w:r w:rsidR="00AF1E3D" w:rsidRPr="00A72784">
              <w:rPr>
                <w:webHidden/>
              </w:rPr>
              <w:tab/>
            </w:r>
            <w:r w:rsidR="00AF1E3D" w:rsidRPr="00A72784">
              <w:rPr>
                <w:webHidden/>
              </w:rPr>
              <w:fldChar w:fldCharType="begin"/>
            </w:r>
            <w:r w:rsidR="00AF1E3D" w:rsidRPr="00A72784">
              <w:rPr>
                <w:webHidden/>
              </w:rPr>
              <w:instrText xml:space="preserve"> PAGEREF _Toc93492871 \h </w:instrText>
            </w:r>
            <w:r w:rsidR="00AF1E3D" w:rsidRPr="00A72784">
              <w:rPr>
                <w:webHidden/>
              </w:rPr>
            </w:r>
            <w:r w:rsidR="00AF1E3D" w:rsidRPr="00A72784">
              <w:rPr>
                <w:webHidden/>
              </w:rPr>
              <w:fldChar w:fldCharType="separate"/>
            </w:r>
            <w:r w:rsidR="00AF1E3D" w:rsidRPr="00A72784">
              <w:rPr>
                <w:webHidden/>
              </w:rPr>
              <w:t>4</w:t>
            </w:r>
            <w:r w:rsidR="00AF1E3D" w:rsidRPr="00A72784">
              <w:rPr>
                <w:webHidden/>
              </w:rPr>
              <w:fldChar w:fldCharType="end"/>
            </w:r>
          </w:hyperlink>
        </w:p>
        <w:p w14:paraId="4C519AFB" w14:textId="17DBB370" w:rsidR="00AF1E3D" w:rsidRPr="00C229FD" w:rsidRDefault="00CA45D5">
          <w:pPr>
            <w:pStyle w:val="TOC2"/>
            <w:tabs>
              <w:tab w:val="left" w:pos="880"/>
              <w:tab w:val="right" w:leader="dot" w:pos="9016"/>
            </w:tabs>
            <w:rPr>
              <w:rFonts w:eastAsiaTheme="minorEastAsia" w:cstheme="minorBidi"/>
              <w:sz w:val="22"/>
              <w:lang w:eastAsia="en-AU"/>
            </w:rPr>
          </w:pPr>
          <w:hyperlink w:anchor="_Toc93492875" w:history="1">
            <w:r w:rsidR="00AF1E3D" w:rsidRPr="00C229FD">
              <w:rPr>
                <w:rStyle w:val="Hyperlink"/>
              </w:rPr>
              <w:t>3.1</w:t>
            </w:r>
            <w:r w:rsidR="00AF1E3D" w:rsidRPr="00C229FD">
              <w:rPr>
                <w:rFonts w:eastAsiaTheme="minorEastAsia" w:cstheme="minorBidi"/>
                <w:sz w:val="22"/>
                <w:lang w:eastAsia="en-AU"/>
              </w:rPr>
              <w:tab/>
            </w:r>
            <w:r w:rsidR="00AF1E3D" w:rsidRPr="00C229FD">
              <w:rPr>
                <w:rStyle w:val="Hyperlink"/>
              </w:rPr>
              <w:t>Priority groups for testing</w:t>
            </w:r>
            <w:r w:rsidR="00AF1E3D" w:rsidRPr="00C229FD">
              <w:rPr>
                <w:webHidden/>
              </w:rPr>
              <w:tab/>
            </w:r>
            <w:r w:rsidR="00AF1E3D" w:rsidRPr="00C229FD">
              <w:rPr>
                <w:webHidden/>
              </w:rPr>
              <w:fldChar w:fldCharType="begin"/>
            </w:r>
            <w:r w:rsidR="00AF1E3D" w:rsidRPr="00C229FD">
              <w:rPr>
                <w:webHidden/>
              </w:rPr>
              <w:instrText xml:space="preserve"> PAGEREF _Toc93492875 \h </w:instrText>
            </w:r>
            <w:r w:rsidR="00AF1E3D" w:rsidRPr="00C229FD">
              <w:rPr>
                <w:webHidden/>
              </w:rPr>
            </w:r>
            <w:r w:rsidR="00AF1E3D" w:rsidRPr="00C229FD">
              <w:rPr>
                <w:webHidden/>
              </w:rPr>
              <w:fldChar w:fldCharType="separate"/>
            </w:r>
            <w:r w:rsidR="00AF1E3D" w:rsidRPr="00C229FD">
              <w:rPr>
                <w:webHidden/>
              </w:rPr>
              <w:t>7</w:t>
            </w:r>
            <w:r w:rsidR="00AF1E3D" w:rsidRPr="00C229FD">
              <w:rPr>
                <w:webHidden/>
              </w:rPr>
              <w:fldChar w:fldCharType="end"/>
            </w:r>
          </w:hyperlink>
        </w:p>
        <w:p w14:paraId="71B36F64" w14:textId="634BA873" w:rsidR="00AF1E3D" w:rsidRPr="00C229FD" w:rsidRDefault="00CA45D5">
          <w:pPr>
            <w:pStyle w:val="TOC2"/>
            <w:tabs>
              <w:tab w:val="left" w:pos="480"/>
              <w:tab w:val="right" w:leader="dot" w:pos="9016"/>
            </w:tabs>
            <w:rPr>
              <w:rFonts w:eastAsiaTheme="minorEastAsia" w:cstheme="minorBidi"/>
              <w:sz w:val="22"/>
              <w:lang w:eastAsia="en-AU"/>
            </w:rPr>
          </w:pPr>
          <w:hyperlink w:anchor="_Toc93492876" w:history="1">
            <w:r w:rsidR="00AF1E3D" w:rsidRPr="00C229FD">
              <w:rPr>
                <w:rFonts w:eastAsiaTheme="minorEastAsia" w:cstheme="minorBidi"/>
                <w:sz w:val="22"/>
                <w:lang w:eastAsia="en-AU"/>
              </w:rPr>
              <w:tab/>
            </w:r>
            <w:r w:rsidR="00AF1E3D" w:rsidRPr="00C229FD">
              <w:rPr>
                <w:rStyle w:val="Hyperlink"/>
              </w:rPr>
              <w:t>Epidemiological Zones.</w:t>
            </w:r>
            <w:r w:rsidR="00AF1E3D" w:rsidRPr="00C229FD">
              <w:rPr>
                <w:webHidden/>
              </w:rPr>
              <w:tab/>
            </w:r>
            <w:r w:rsidR="00AF1E3D" w:rsidRPr="00C229FD">
              <w:rPr>
                <w:webHidden/>
              </w:rPr>
              <w:fldChar w:fldCharType="begin"/>
            </w:r>
            <w:r w:rsidR="00AF1E3D" w:rsidRPr="00C229FD">
              <w:rPr>
                <w:webHidden/>
              </w:rPr>
              <w:instrText xml:space="preserve"> PAGEREF _Toc93492876 \h </w:instrText>
            </w:r>
            <w:r w:rsidR="00AF1E3D" w:rsidRPr="00C229FD">
              <w:rPr>
                <w:webHidden/>
              </w:rPr>
            </w:r>
            <w:r w:rsidR="00AF1E3D" w:rsidRPr="00C229FD">
              <w:rPr>
                <w:webHidden/>
              </w:rPr>
              <w:fldChar w:fldCharType="separate"/>
            </w:r>
            <w:r w:rsidR="00AF1E3D" w:rsidRPr="00C229FD">
              <w:rPr>
                <w:webHidden/>
              </w:rPr>
              <w:t>8</w:t>
            </w:r>
            <w:r w:rsidR="00AF1E3D" w:rsidRPr="00C229FD">
              <w:rPr>
                <w:webHidden/>
              </w:rPr>
              <w:fldChar w:fldCharType="end"/>
            </w:r>
          </w:hyperlink>
        </w:p>
        <w:p w14:paraId="0BC531DD" w14:textId="345CC9E4" w:rsidR="00AF1E3D" w:rsidRPr="00C229FD" w:rsidRDefault="00CA45D5">
          <w:pPr>
            <w:pStyle w:val="TOC2"/>
            <w:tabs>
              <w:tab w:val="right" w:leader="dot" w:pos="9016"/>
            </w:tabs>
            <w:rPr>
              <w:rFonts w:eastAsiaTheme="minorEastAsia" w:cstheme="minorBidi"/>
              <w:sz w:val="22"/>
              <w:lang w:eastAsia="en-AU"/>
            </w:rPr>
          </w:pPr>
          <w:hyperlink w:anchor="_Toc93492877" w:history="1">
            <w:r w:rsidR="00AF1E3D" w:rsidRPr="00C229FD">
              <w:rPr>
                <w:rStyle w:val="Hyperlink"/>
              </w:rPr>
              <w:t>3.2</w:t>
            </w:r>
            <w:r w:rsidR="00AF1E3D" w:rsidRPr="00C229FD">
              <w:rPr>
                <w:webHidden/>
              </w:rPr>
              <w:tab/>
            </w:r>
            <w:r w:rsidR="00AF1E3D" w:rsidRPr="00C229FD">
              <w:rPr>
                <w:webHidden/>
              </w:rPr>
              <w:fldChar w:fldCharType="begin"/>
            </w:r>
            <w:r w:rsidR="00AF1E3D" w:rsidRPr="00C229FD">
              <w:rPr>
                <w:webHidden/>
              </w:rPr>
              <w:instrText xml:space="preserve"> PAGEREF _Toc93492877 \h </w:instrText>
            </w:r>
            <w:r w:rsidR="00AF1E3D" w:rsidRPr="00C229FD">
              <w:rPr>
                <w:webHidden/>
              </w:rPr>
            </w:r>
            <w:r w:rsidR="00AF1E3D" w:rsidRPr="00C229FD">
              <w:rPr>
                <w:webHidden/>
              </w:rPr>
              <w:fldChar w:fldCharType="separate"/>
            </w:r>
            <w:r w:rsidR="00AF1E3D" w:rsidRPr="00C229FD">
              <w:rPr>
                <w:webHidden/>
              </w:rPr>
              <w:t>8</w:t>
            </w:r>
            <w:r w:rsidR="00AF1E3D" w:rsidRPr="00C229FD">
              <w:rPr>
                <w:webHidden/>
              </w:rPr>
              <w:fldChar w:fldCharType="end"/>
            </w:r>
          </w:hyperlink>
        </w:p>
        <w:p w14:paraId="2716995E" w14:textId="576450BA" w:rsidR="00AF1E3D" w:rsidRPr="00C229FD" w:rsidRDefault="00CA45D5">
          <w:pPr>
            <w:pStyle w:val="TOC3"/>
            <w:tabs>
              <w:tab w:val="left" w:pos="1320"/>
              <w:tab w:val="right" w:leader="dot" w:pos="9016"/>
            </w:tabs>
            <w:rPr>
              <w:rFonts w:eastAsiaTheme="minorEastAsia" w:cstheme="minorBidi"/>
              <w:sz w:val="22"/>
              <w:lang w:eastAsia="en-AU"/>
            </w:rPr>
          </w:pPr>
          <w:hyperlink w:anchor="_Toc93492879" w:history="1">
            <w:r w:rsidR="00AF1E3D" w:rsidRPr="00C229FD">
              <w:rPr>
                <w:rStyle w:val="Hyperlink"/>
              </w:rPr>
              <w:t>3.2.1</w:t>
            </w:r>
            <w:r w:rsidR="00AF1E3D" w:rsidRPr="00C229FD">
              <w:rPr>
                <w:rFonts w:eastAsiaTheme="minorEastAsia" w:cstheme="minorBidi"/>
                <w:sz w:val="22"/>
                <w:lang w:eastAsia="en-AU"/>
              </w:rPr>
              <w:tab/>
            </w:r>
            <w:r w:rsidR="00AF1E3D" w:rsidRPr="00C229FD">
              <w:rPr>
                <w:rStyle w:val="Hyperlink"/>
              </w:rPr>
              <w:t>Epidemiological Zone 1 – No community transmission</w:t>
            </w:r>
            <w:r w:rsidR="00AF1E3D" w:rsidRPr="00C229FD">
              <w:rPr>
                <w:webHidden/>
              </w:rPr>
              <w:tab/>
            </w:r>
            <w:r w:rsidR="00AF1E3D" w:rsidRPr="00C229FD">
              <w:rPr>
                <w:webHidden/>
              </w:rPr>
              <w:fldChar w:fldCharType="begin"/>
            </w:r>
            <w:r w:rsidR="00AF1E3D" w:rsidRPr="00C229FD">
              <w:rPr>
                <w:webHidden/>
              </w:rPr>
              <w:instrText xml:space="preserve"> PAGEREF _Toc93492879 \h </w:instrText>
            </w:r>
            <w:r w:rsidR="00AF1E3D" w:rsidRPr="00C229FD">
              <w:rPr>
                <w:webHidden/>
              </w:rPr>
            </w:r>
            <w:r w:rsidR="00AF1E3D" w:rsidRPr="00C229FD">
              <w:rPr>
                <w:webHidden/>
              </w:rPr>
              <w:fldChar w:fldCharType="separate"/>
            </w:r>
            <w:r w:rsidR="00AF1E3D" w:rsidRPr="00C229FD">
              <w:rPr>
                <w:webHidden/>
              </w:rPr>
              <w:t>9</w:t>
            </w:r>
            <w:r w:rsidR="00AF1E3D" w:rsidRPr="00C229FD">
              <w:rPr>
                <w:webHidden/>
              </w:rPr>
              <w:fldChar w:fldCharType="end"/>
            </w:r>
          </w:hyperlink>
        </w:p>
        <w:p w14:paraId="290679D3" w14:textId="07033A4F" w:rsidR="00AF1E3D" w:rsidRPr="00C229FD" w:rsidRDefault="00CA45D5">
          <w:pPr>
            <w:pStyle w:val="TOC3"/>
            <w:tabs>
              <w:tab w:val="left" w:pos="1320"/>
              <w:tab w:val="right" w:leader="dot" w:pos="9016"/>
            </w:tabs>
            <w:rPr>
              <w:rFonts w:eastAsiaTheme="minorEastAsia" w:cstheme="minorBidi"/>
              <w:sz w:val="22"/>
              <w:lang w:eastAsia="en-AU"/>
            </w:rPr>
          </w:pPr>
          <w:hyperlink w:anchor="_Toc93492880" w:history="1">
            <w:r w:rsidR="00AF1E3D" w:rsidRPr="00C229FD">
              <w:rPr>
                <w:rStyle w:val="Hyperlink"/>
              </w:rPr>
              <w:t>3.2.2</w:t>
            </w:r>
            <w:r w:rsidR="00AF1E3D" w:rsidRPr="00C229FD">
              <w:rPr>
                <w:rFonts w:eastAsiaTheme="minorEastAsia" w:cstheme="minorBidi"/>
                <w:sz w:val="22"/>
                <w:lang w:eastAsia="en-AU"/>
              </w:rPr>
              <w:tab/>
            </w:r>
            <w:r w:rsidR="00AF1E3D" w:rsidRPr="00C229FD">
              <w:rPr>
                <w:rStyle w:val="Hyperlink"/>
              </w:rPr>
              <w:t>Epidemiological Zone 2 – Community transmission</w:t>
            </w:r>
            <w:r w:rsidR="00AF1E3D" w:rsidRPr="00C229FD">
              <w:rPr>
                <w:webHidden/>
              </w:rPr>
              <w:tab/>
            </w:r>
            <w:r w:rsidR="00AF1E3D" w:rsidRPr="00C229FD">
              <w:rPr>
                <w:webHidden/>
              </w:rPr>
              <w:fldChar w:fldCharType="begin"/>
            </w:r>
            <w:r w:rsidR="00AF1E3D" w:rsidRPr="00C229FD">
              <w:rPr>
                <w:webHidden/>
              </w:rPr>
              <w:instrText xml:space="preserve"> PAGEREF _Toc93492880 \h </w:instrText>
            </w:r>
            <w:r w:rsidR="00AF1E3D" w:rsidRPr="00C229FD">
              <w:rPr>
                <w:webHidden/>
              </w:rPr>
            </w:r>
            <w:r w:rsidR="00AF1E3D" w:rsidRPr="00C229FD">
              <w:rPr>
                <w:webHidden/>
              </w:rPr>
              <w:fldChar w:fldCharType="separate"/>
            </w:r>
            <w:r w:rsidR="00AF1E3D" w:rsidRPr="00C229FD">
              <w:rPr>
                <w:webHidden/>
              </w:rPr>
              <w:t>9</w:t>
            </w:r>
            <w:r w:rsidR="00AF1E3D" w:rsidRPr="00C229FD">
              <w:rPr>
                <w:webHidden/>
              </w:rPr>
              <w:fldChar w:fldCharType="end"/>
            </w:r>
          </w:hyperlink>
        </w:p>
        <w:p w14:paraId="787C62D9" w14:textId="127E0B57" w:rsidR="00AF1E3D" w:rsidRPr="00C229FD" w:rsidRDefault="00CA45D5">
          <w:pPr>
            <w:pStyle w:val="TOC3"/>
            <w:tabs>
              <w:tab w:val="left" w:pos="1320"/>
              <w:tab w:val="right" w:leader="dot" w:pos="9016"/>
            </w:tabs>
            <w:rPr>
              <w:rFonts w:eastAsiaTheme="minorEastAsia" w:cstheme="minorBidi"/>
              <w:sz w:val="22"/>
              <w:lang w:eastAsia="en-AU"/>
            </w:rPr>
          </w:pPr>
          <w:hyperlink w:anchor="_Toc93492881" w:history="1">
            <w:r w:rsidR="00AF1E3D" w:rsidRPr="00C229FD">
              <w:rPr>
                <w:rStyle w:val="Hyperlink"/>
              </w:rPr>
              <w:t>3.2.3</w:t>
            </w:r>
            <w:r w:rsidR="00AF1E3D" w:rsidRPr="00C229FD">
              <w:rPr>
                <w:rFonts w:eastAsiaTheme="minorEastAsia" w:cstheme="minorBidi"/>
                <w:sz w:val="22"/>
                <w:lang w:eastAsia="en-AU"/>
              </w:rPr>
              <w:tab/>
            </w:r>
            <w:r w:rsidR="00AF1E3D" w:rsidRPr="00C229FD">
              <w:rPr>
                <w:rStyle w:val="Hyperlink"/>
              </w:rPr>
              <w:t>Epidemiological Zone 3 – Community transmission placing burden on response capacity</w:t>
            </w:r>
            <w:r w:rsidR="00AF1E3D" w:rsidRPr="00C229FD">
              <w:rPr>
                <w:webHidden/>
              </w:rPr>
              <w:tab/>
            </w:r>
            <w:r w:rsidR="00AF1E3D" w:rsidRPr="00C229FD">
              <w:rPr>
                <w:webHidden/>
              </w:rPr>
              <w:fldChar w:fldCharType="begin"/>
            </w:r>
            <w:r w:rsidR="00AF1E3D" w:rsidRPr="00C229FD">
              <w:rPr>
                <w:webHidden/>
              </w:rPr>
              <w:instrText xml:space="preserve"> PAGEREF _Toc93492881 \h </w:instrText>
            </w:r>
            <w:r w:rsidR="00AF1E3D" w:rsidRPr="00C229FD">
              <w:rPr>
                <w:webHidden/>
              </w:rPr>
            </w:r>
            <w:r w:rsidR="00AF1E3D" w:rsidRPr="00C229FD">
              <w:rPr>
                <w:webHidden/>
              </w:rPr>
              <w:fldChar w:fldCharType="separate"/>
            </w:r>
            <w:r w:rsidR="00AF1E3D" w:rsidRPr="00C229FD">
              <w:rPr>
                <w:webHidden/>
              </w:rPr>
              <w:t>11</w:t>
            </w:r>
            <w:r w:rsidR="00AF1E3D" w:rsidRPr="00C229FD">
              <w:rPr>
                <w:webHidden/>
              </w:rPr>
              <w:fldChar w:fldCharType="end"/>
            </w:r>
          </w:hyperlink>
        </w:p>
        <w:p w14:paraId="56E91ECF" w14:textId="74102E30" w:rsidR="00AF1E3D" w:rsidRPr="00C229FD" w:rsidRDefault="00CA45D5">
          <w:pPr>
            <w:pStyle w:val="TOC3"/>
            <w:tabs>
              <w:tab w:val="left" w:pos="1320"/>
              <w:tab w:val="right" w:leader="dot" w:pos="9016"/>
            </w:tabs>
            <w:rPr>
              <w:rFonts w:eastAsiaTheme="minorEastAsia" w:cstheme="minorBidi"/>
              <w:sz w:val="22"/>
              <w:lang w:eastAsia="en-AU"/>
            </w:rPr>
          </w:pPr>
          <w:hyperlink w:anchor="_Toc93492882" w:history="1">
            <w:r w:rsidR="00AF1E3D" w:rsidRPr="00C229FD">
              <w:rPr>
                <w:rStyle w:val="Hyperlink"/>
              </w:rPr>
              <w:t>3.2.4</w:t>
            </w:r>
            <w:r w:rsidR="00AF1E3D" w:rsidRPr="00C229FD">
              <w:rPr>
                <w:rFonts w:eastAsiaTheme="minorEastAsia" w:cstheme="minorBidi"/>
                <w:sz w:val="22"/>
                <w:lang w:eastAsia="en-AU"/>
              </w:rPr>
              <w:tab/>
            </w:r>
            <w:r w:rsidR="00AF1E3D" w:rsidRPr="00C229FD">
              <w:rPr>
                <w:rStyle w:val="Hyperlink"/>
              </w:rPr>
              <w:t>Epidemiological Zone 4 – Community transmission exceeding response capacity</w:t>
            </w:r>
            <w:r w:rsidR="00AF1E3D" w:rsidRPr="00C229FD">
              <w:rPr>
                <w:webHidden/>
              </w:rPr>
              <w:tab/>
            </w:r>
            <w:r w:rsidR="00AF1E3D" w:rsidRPr="00C229FD">
              <w:rPr>
                <w:webHidden/>
              </w:rPr>
              <w:fldChar w:fldCharType="begin"/>
            </w:r>
            <w:r w:rsidR="00AF1E3D" w:rsidRPr="00C229FD">
              <w:rPr>
                <w:webHidden/>
              </w:rPr>
              <w:instrText xml:space="preserve"> PAGEREF _Toc93492882 \h </w:instrText>
            </w:r>
            <w:r w:rsidR="00AF1E3D" w:rsidRPr="00C229FD">
              <w:rPr>
                <w:webHidden/>
              </w:rPr>
            </w:r>
            <w:r w:rsidR="00AF1E3D" w:rsidRPr="00C229FD">
              <w:rPr>
                <w:webHidden/>
              </w:rPr>
              <w:fldChar w:fldCharType="separate"/>
            </w:r>
            <w:r w:rsidR="00AF1E3D" w:rsidRPr="00C229FD">
              <w:rPr>
                <w:webHidden/>
              </w:rPr>
              <w:t>12</w:t>
            </w:r>
            <w:r w:rsidR="00AF1E3D" w:rsidRPr="00C229FD">
              <w:rPr>
                <w:webHidden/>
              </w:rPr>
              <w:fldChar w:fldCharType="end"/>
            </w:r>
          </w:hyperlink>
        </w:p>
        <w:p w14:paraId="484FCE54" w14:textId="567E4396" w:rsidR="00AF1E3D" w:rsidRPr="00C229FD" w:rsidRDefault="00CA45D5">
          <w:pPr>
            <w:pStyle w:val="TOC1"/>
            <w:tabs>
              <w:tab w:val="left" w:pos="480"/>
            </w:tabs>
            <w:rPr>
              <w:rFonts w:eastAsiaTheme="minorEastAsia" w:cstheme="minorBidi"/>
              <w:sz w:val="22"/>
              <w:lang w:eastAsia="en-AU"/>
            </w:rPr>
          </w:pPr>
          <w:hyperlink w:anchor="_Toc93492883" w:history="1">
            <w:r w:rsidR="00AF1E3D" w:rsidRPr="00C229FD">
              <w:rPr>
                <w:rStyle w:val="Hyperlink"/>
              </w:rPr>
              <w:t>4</w:t>
            </w:r>
            <w:r w:rsidR="00AF1E3D" w:rsidRPr="00C229FD">
              <w:rPr>
                <w:rFonts w:eastAsiaTheme="minorEastAsia" w:cstheme="minorBidi"/>
                <w:sz w:val="22"/>
                <w:lang w:eastAsia="en-AU"/>
              </w:rPr>
              <w:tab/>
            </w:r>
            <w:r w:rsidR="00AF1E3D" w:rsidRPr="00C229FD">
              <w:rPr>
                <w:rStyle w:val="Hyperlink"/>
              </w:rPr>
              <w:t>Testing technology and methodology by Epidemiological Zone</w:t>
            </w:r>
            <w:r w:rsidR="00AF1E3D" w:rsidRPr="00C229FD">
              <w:rPr>
                <w:webHidden/>
              </w:rPr>
              <w:tab/>
            </w:r>
            <w:r w:rsidR="00AF1E3D" w:rsidRPr="00C229FD">
              <w:rPr>
                <w:webHidden/>
              </w:rPr>
              <w:fldChar w:fldCharType="begin"/>
            </w:r>
            <w:r w:rsidR="00AF1E3D" w:rsidRPr="00C229FD">
              <w:rPr>
                <w:webHidden/>
              </w:rPr>
              <w:instrText xml:space="preserve"> PAGEREF _Toc93492883 \h </w:instrText>
            </w:r>
            <w:r w:rsidR="00AF1E3D" w:rsidRPr="00C229FD">
              <w:rPr>
                <w:webHidden/>
              </w:rPr>
            </w:r>
            <w:r w:rsidR="00AF1E3D" w:rsidRPr="00C229FD">
              <w:rPr>
                <w:webHidden/>
              </w:rPr>
              <w:fldChar w:fldCharType="separate"/>
            </w:r>
            <w:r w:rsidR="00AF1E3D" w:rsidRPr="00C229FD">
              <w:rPr>
                <w:webHidden/>
              </w:rPr>
              <w:t>13</w:t>
            </w:r>
            <w:r w:rsidR="00AF1E3D" w:rsidRPr="00C229FD">
              <w:rPr>
                <w:webHidden/>
              </w:rPr>
              <w:fldChar w:fldCharType="end"/>
            </w:r>
          </w:hyperlink>
        </w:p>
        <w:p w14:paraId="38AB5245" w14:textId="3E8EB4D6" w:rsidR="00AF1E3D" w:rsidRPr="00C229FD" w:rsidRDefault="00CA45D5">
          <w:pPr>
            <w:pStyle w:val="TOC1"/>
            <w:tabs>
              <w:tab w:val="left" w:pos="480"/>
            </w:tabs>
            <w:rPr>
              <w:rFonts w:eastAsiaTheme="minorEastAsia" w:cstheme="minorBidi"/>
              <w:sz w:val="22"/>
              <w:lang w:eastAsia="en-AU"/>
            </w:rPr>
          </w:pPr>
          <w:hyperlink w:anchor="_Toc93492884" w:history="1">
            <w:r w:rsidR="00AF1E3D" w:rsidRPr="00C229FD">
              <w:rPr>
                <w:rStyle w:val="Hyperlink"/>
              </w:rPr>
              <w:t>5</w:t>
            </w:r>
            <w:r w:rsidR="00AF1E3D" w:rsidRPr="00C229FD">
              <w:rPr>
                <w:rFonts w:eastAsiaTheme="minorEastAsia" w:cstheme="minorBidi"/>
                <w:sz w:val="22"/>
                <w:lang w:eastAsia="en-AU"/>
              </w:rPr>
              <w:tab/>
            </w:r>
            <w:r w:rsidR="00AF1E3D" w:rsidRPr="00C229FD">
              <w:rPr>
                <w:rStyle w:val="Hyperlink"/>
              </w:rPr>
              <w:t>Workplace surveillance</w:t>
            </w:r>
            <w:r w:rsidR="00AF1E3D" w:rsidRPr="00C229FD">
              <w:rPr>
                <w:webHidden/>
              </w:rPr>
              <w:tab/>
            </w:r>
            <w:r w:rsidR="00AF1E3D" w:rsidRPr="00C229FD">
              <w:rPr>
                <w:webHidden/>
              </w:rPr>
              <w:fldChar w:fldCharType="begin"/>
            </w:r>
            <w:r w:rsidR="00AF1E3D" w:rsidRPr="00C229FD">
              <w:rPr>
                <w:webHidden/>
              </w:rPr>
              <w:instrText xml:space="preserve"> PAGEREF _Toc93492884 \h </w:instrText>
            </w:r>
            <w:r w:rsidR="00AF1E3D" w:rsidRPr="00C229FD">
              <w:rPr>
                <w:webHidden/>
              </w:rPr>
            </w:r>
            <w:r w:rsidR="00AF1E3D" w:rsidRPr="00C229FD">
              <w:rPr>
                <w:webHidden/>
              </w:rPr>
              <w:fldChar w:fldCharType="separate"/>
            </w:r>
            <w:r w:rsidR="00AF1E3D" w:rsidRPr="00C229FD">
              <w:rPr>
                <w:webHidden/>
              </w:rPr>
              <w:t>18</w:t>
            </w:r>
            <w:r w:rsidR="00AF1E3D" w:rsidRPr="00C229FD">
              <w:rPr>
                <w:webHidden/>
              </w:rPr>
              <w:fldChar w:fldCharType="end"/>
            </w:r>
          </w:hyperlink>
        </w:p>
        <w:p w14:paraId="1F7FEE2C" w14:textId="7B0EC7EE" w:rsidR="00AF1E3D" w:rsidRPr="00C229FD" w:rsidRDefault="00CA45D5">
          <w:pPr>
            <w:pStyle w:val="TOC1"/>
            <w:tabs>
              <w:tab w:val="left" w:pos="480"/>
            </w:tabs>
            <w:rPr>
              <w:rFonts w:eastAsiaTheme="minorEastAsia" w:cstheme="minorBidi"/>
              <w:sz w:val="22"/>
              <w:lang w:eastAsia="en-AU"/>
            </w:rPr>
          </w:pPr>
          <w:hyperlink w:anchor="_Toc93492886" w:history="1">
            <w:r w:rsidR="00AF1E3D" w:rsidRPr="00C229FD">
              <w:rPr>
                <w:rStyle w:val="Hyperlink"/>
              </w:rPr>
              <w:t>6</w:t>
            </w:r>
            <w:r w:rsidR="00AF1E3D" w:rsidRPr="00C229FD">
              <w:rPr>
                <w:rFonts w:eastAsiaTheme="minorEastAsia" w:cstheme="minorBidi"/>
                <w:sz w:val="22"/>
                <w:lang w:eastAsia="en-AU"/>
              </w:rPr>
              <w:tab/>
            </w:r>
            <w:r w:rsidR="00AF1E3D" w:rsidRPr="00C229FD">
              <w:rPr>
                <w:rStyle w:val="Hyperlink"/>
              </w:rPr>
              <w:t>Data collection requirements</w:t>
            </w:r>
            <w:r w:rsidR="00AF1E3D" w:rsidRPr="00C229FD">
              <w:rPr>
                <w:webHidden/>
              </w:rPr>
              <w:tab/>
            </w:r>
            <w:r w:rsidR="00AF1E3D" w:rsidRPr="00C229FD">
              <w:rPr>
                <w:webHidden/>
              </w:rPr>
              <w:fldChar w:fldCharType="begin"/>
            </w:r>
            <w:r w:rsidR="00AF1E3D" w:rsidRPr="00C229FD">
              <w:rPr>
                <w:webHidden/>
              </w:rPr>
              <w:instrText xml:space="preserve"> PAGEREF _Toc93492886 \h </w:instrText>
            </w:r>
            <w:r w:rsidR="00AF1E3D" w:rsidRPr="00C229FD">
              <w:rPr>
                <w:webHidden/>
              </w:rPr>
            </w:r>
            <w:r w:rsidR="00AF1E3D" w:rsidRPr="00C229FD">
              <w:rPr>
                <w:webHidden/>
              </w:rPr>
              <w:fldChar w:fldCharType="separate"/>
            </w:r>
            <w:r w:rsidR="00AF1E3D" w:rsidRPr="00C229FD">
              <w:rPr>
                <w:webHidden/>
              </w:rPr>
              <w:t>19</w:t>
            </w:r>
            <w:r w:rsidR="00AF1E3D" w:rsidRPr="00C229FD">
              <w:rPr>
                <w:webHidden/>
              </w:rPr>
              <w:fldChar w:fldCharType="end"/>
            </w:r>
          </w:hyperlink>
        </w:p>
        <w:p w14:paraId="09E0BDF1" w14:textId="10412C4F" w:rsidR="00AF1E3D" w:rsidRPr="00C229FD" w:rsidRDefault="00CA45D5">
          <w:pPr>
            <w:pStyle w:val="TOC1"/>
            <w:tabs>
              <w:tab w:val="left" w:pos="480"/>
            </w:tabs>
            <w:rPr>
              <w:rFonts w:eastAsiaTheme="minorEastAsia" w:cstheme="minorBidi"/>
              <w:sz w:val="22"/>
              <w:lang w:eastAsia="en-AU"/>
            </w:rPr>
          </w:pPr>
          <w:hyperlink w:anchor="_Toc93492887" w:history="1">
            <w:r w:rsidR="00AF1E3D" w:rsidRPr="00C229FD">
              <w:rPr>
                <w:rStyle w:val="Hyperlink"/>
              </w:rPr>
              <w:t>7</w:t>
            </w:r>
            <w:r w:rsidR="00AF1E3D" w:rsidRPr="00C229FD">
              <w:rPr>
                <w:rFonts w:eastAsiaTheme="minorEastAsia" w:cstheme="minorBidi"/>
                <w:sz w:val="22"/>
                <w:lang w:eastAsia="en-AU"/>
              </w:rPr>
              <w:tab/>
            </w:r>
            <w:r w:rsidR="00AF1E3D" w:rsidRPr="00C229FD">
              <w:rPr>
                <w:rStyle w:val="Hyperlink"/>
              </w:rPr>
              <w:t>Key enablers and barriers to testing</w:t>
            </w:r>
            <w:r w:rsidR="00AF1E3D" w:rsidRPr="00C229FD">
              <w:rPr>
                <w:webHidden/>
              </w:rPr>
              <w:tab/>
            </w:r>
            <w:r w:rsidR="00AF1E3D" w:rsidRPr="00C229FD">
              <w:rPr>
                <w:webHidden/>
              </w:rPr>
              <w:fldChar w:fldCharType="begin"/>
            </w:r>
            <w:r w:rsidR="00AF1E3D" w:rsidRPr="00C229FD">
              <w:rPr>
                <w:webHidden/>
              </w:rPr>
              <w:instrText xml:space="preserve"> PAGEREF _Toc93492887 \h </w:instrText>
            </w:r>
            <w:r w:rsidR="00AF1E3D" w:rsidRPr="00C229FD">
              <w:rPr>
                <w:webHidden/>
              </w:rPr>
            </w:r>
            <w:r w:rsidR="00AF1E3D" w:rsidRPr="00C229FD">
              <w:rPr>
                <w:webHidden/>
              </w:rPr>
              <w:fldChar w:fldCharType="separate"/>
            </w:r>
            <w:r w:rsidR="00AF1E3D" w:rsidRPr="00C229FD">
              <w:rPr>
                <w:webHidden/>
              </w:rPr>
              <w:t>20</w:t>
            </w:r>
            <w:r w:rsidR="00AF1E3D" w:rsidRPr="00C229FD">
              <w:rPr>
                <w:webHidden/>
              </w:rPr>
              <w:fldChar w:fldCharType="end"/>
            </w:r>
          </w:hyperlink>
        </w:p>
        <w:p w14:paraId="0DE3839F" w14:textId="7F2A210D" w:rsidR="00AF1E3D" w:rsidRPr="00C229FD" w:rsidRDefault="00CA45D5">
          <w:pPr>
            <w:pStyle w:val="TOC2"/>
            <w:tabs>
              <w:tab w:val="left" w:pos="880"/>
              <w:tab w:val="right" w:leader="dot" w:pos="9016"/>
            </w:tabs>
            <w:rPr>
              <w:rFonts w:eastAsiaTheme="minorEastAsia" w:cstheme="minorBidi"/>
              <w:sz w:val="22"/>
              <w:lang w:eastAsia="en-AU"/>
            </w:rPr>
          </w:pPr>
          <w:hyperlink w:anchor="_Toc93492888" w:history="1">
            <w:r w:rsidR="00AF1E3D" w:rsidRPr="00C229FD">
              <w:rPr>
                <w:rStyle w:val="Hyperlink"/>
              </w:rPr>
              <w:t>7.1</w:t>
            </w:r>
            <w:r w:rsidR="00AF1E3D" w:rsidRPr="00C229FD">
              <w:rPr>
                <w:rFonts w:eastAsiaTheme="minorEastAsia" w:cstheme="minorBidi"/>
                <w:sz w:val="22"/>
                <w:lang w:eastAsia="en-AU"/>
              </w:rPr>
              <w:tab/>
            </w:r>
            <w:r w:rsidR="00AF1E3D" w:rsidRPr="00C229FD">
              <w:rPr>
                <w:rStyle w:val="Hyperlink"/>
              </w:rPr>
              <w:t>Laboratory capacity</w:t>
            </w:r>
            <w:r w:rsidR="00AF1E3D" w:rsidRPr="00C229FD">
              <w:rPr>
                <w:webHidden/>
              </w:rPr>
              <w:tab/>
            </w:r>
            <w:r w:rsidR="00AF1E3D" w:rsidRPr="00C229FD">
              <w:rPr>
                <w:webHidden/>
              </w:rPr>
              <w:fldChar w:fldCharType="begin"/>
            </w:r>
            <w:r w:rsidR="00AF1E3D" w:rsidRPr="00C229FD">
              <w:rPr>
                <w:webHidden/>
              </w:rPr>
              <w:instrText xml:space="preserve"> PAGEREF _Toc93492888 \h </w:instrText>
            </w:r>
            <w:r w:rsidR="00AF1E3D" w:rsidRPr="00C229FD">
              <w:rPr>
                <w:webHidden/>
              </w:rPr>
            </w:r>
            <w:r w:rsidR="00AF1E3D" w:rsidRPr="00C229FD">
              <w:rPr>
                <w:webHidden/>
              </w:rPr>
              <w:fldChar w:fldCharType="separate"/>
            </w:r>
            <w:r w:rsidR="00AF1E3D" w:rsidRPr="00C229FD">
              <w:rPr>
                <w:webHidden/>
              </w:rPr>
              <w:t>20</w:t>
            </w:r>
            <w:r w:rsidR="00AF1E3D" w:rsidRPr="00C229FD">
              <w:rPr>
                <w:webHidden/>
              </w:rPr>
              <w:fldChar w:fldCharType="end"/>
            </w:r>
          </w:hyperlink>
        </w:p>
        <w:p w14:paraId="6C3D1FA9" w14:textId="72BF378B" w:rsidR="00AF1E3D" w:rsidRPr="00C229FD" w:rsidRDefault="00CA45D5">
          <w:pPr>
            <w:pStyle w:val="TOC2"/>
            <w:tabs>
              <w:tab w:val="left" w:pos="880"/>
              <w:tab w:val="right" w:leader="dot" w:pos="9016"/>
            </w:tabs>
            <w:rPr>
              <w:rFonts w:eastAsiaTheme="minorEastAsia" w:cstheme="minorBidi"/>
              <w:sz w:val="22"/>
              <w:lang w:eastAsia="en-AU"/>
            </w:rPr>
          </w:pPr>
          <w:hyperlink w:anchor="_Toc93492890" w:history="1">
            <w:r w:rsidR="00AF1E3D" w:rsidRPr="00C229FD">
              <w:rPr>
                <w:rStyle w:val="Hyperlink"/>
              </w:rPr>
              <w:t>7.2</w:t>
            </w:r>
            <w:r w:rsidR="00AF1E3D" w:rsidRPr="00C229FD">
              <w:rPr>
                <w:rFonts w:eastAsiaTheme="minorEastAsia" w:cstheme="minorBidi"/>
                <w:sz w:val="22"/>
                <w:lang w:eastAsia="en-AU"/>
              </w:rPr>
              <w:tab/>
            </w:r>
            <w:r w:rsidR="00AF1E3D" w:rsidRPr="00C229FD">
              <w:rPr>
                <w:rStyle w:val="Hyperlink"/>
              </w:rPr>
              <w:t>Accreditation</w:t>
            </w:r>
            <w:r w:rsidR="00AF1E3D" w:rsidRPr="00C229FD">
              <w:rPr>
                <w:webHidden/>
              </w:rPr>
              <w:tab/>
            </w:r>
            <w:r w:rsidR="00AF1E3D" w:rsidRPr="00C229FD">
              <w:rPr>
                <w:webHidden/>
              </w:rPr>
              <w:fldChar w:fldCharType="begin"/>
            </w:r>
            <w:r w:rsidR="00AF1E3D" w:rsidRPr="00C229FD">
              <w:rPr>
                <w:webHidden/>
              </w:rPr>
              <w:instrText xml:space="preserve"> PAGEREF _Toc93492890 \h </w:instrText>
            </w:r>
            <w:r w:rsidR="00AF1E3D" w:rsidRPr="00C229FD">
              <w:rPr>
                <w:webHidden/>
              </w:rPr>
            </w:r>
            <w:r w:rsidR="00AF1E3D" w:rsidRPr="00C229FD">
              <w:rPr>
                <w:webHidden/>
              </w:rPr>
              <w:fldChar w:fldCharType="separate"/>
            </w:r>
            <w:r w:rsidR="00AF1E3D" w:rsidRPr="00C229FD">
              <w:rPr>
                <w:webHidden/>
              </w:rPr>
              <w:t>20</w:t>
            </w:r>
            <w:r w:rsidR="00AF1E3D" w:rsidRPr="00C229FD">
              <w:rPr>
                <w:webHidden/>
              </w:rPr>
              <w:fldChar w:fldCharType="end"/>
            </w:r>
          </w:hyperlink>
        </w:p>
        <w:p w14:paraId="7FF4795F" w14:textId="6DA40FE6" w:rsidR="00AF1E3D" w:rsidRPr="00C229FD" w:rsidRDefault="00CA45D5">
          <w:pPr>
            <w:pStyle w:val="TOC2"/>
            <w:tabs>
              <w:tab w:val="left" w:pos="880"/>
              <w:tab w:val="right" w:leader="dot" w:pos="9016"/>
            </w:tabs>
            <w:rPr>
              <w:rFonts w:eastAsiaTheme="minorEastAsia" w:cstheme="minorBidi"/>
              <w:sz w:val="22"/>
              <w:lang w:eastAsia="en-AU"/>
            </w:rPr>
          </w:pPr>
          <w:hyperlink w:anchor="_Toc93492891" w:history="1">
            <w:r w:rsidR="00AF1E3D" w:rsidRPr="00C229FD">
              <w:rPr>
                <w:rStyle w:val="Hyperlink"/>
              </w:rPr>
              <w:t>7.3</w:t>
            </w:r>
            <w:r w:rsidR="00AF1E3D" w:rsidRPr="00C229FD">
              <w:rPr>
                <w:rFonts w:eastAsiaTheme="minorEastAsia" w:cstheme="minorBidi"/>
                <w:sz w:val="22"/>
                <w:lang w:eastAsia="en-AU"/>
              </w:rPr>
              <w:tab/>
            </w:r>
            <w:r w:rsidR="00AF1E3D" w:rsidRPr="00C229FD">
              <w:rPr>
                <w:rStyle w:val="Hyperlink"/>
              </w:rPr>
              <w:t>Maximum Daily Throughput Capacity</w:t>
            </w:r>
            <w:r w:rsidR="00AF1E3D" w:rsidRPr="00C229FD">
              <w:rPr>
                <w:webHidden/>
              </w:rPr>
              <w:tab/>
            </w:r>
            <w:r w:rsidR="00AF1E3D" w:rsidRPr="00C229FD">
              <w:rPr>
                <w:webHidden/>
              </w:rPr>
              <w:fldChar w:fldCharType="begin"/>
            </w:r>
            <w:r w:rsidR="00AF1E3D" w:rsidRPr="00C229FD">
              <w:rPr>
                <w:webHidden/>
              </w:rPr>
              <w:instrText xml:space="preserve"> PAGEREF _Toc93492891 \h </w:instrText>
            </w:r>
            <w:r w:rsidR="00AF1E3D" w:rsidRPr="00C229FD">
              <w:rPr>
                <w:webHidden/>
              </w:rPr>
            </w:r>
            <w:r w:rsidR="00AF1E3D" w:rsidRPr="00C229FD">
              <w:rPr>
                <w:webHidden/>
              </w:rPr>
              <w:fldChar w:fldCharType="separate"/>
            </w:r>
            <w:r w:rsidR="00AF1E3D" w:rsidRPr="00C229FD">
              <w:rPr>
                <w:webHidden/>
              </w:rPr>
              <w:t>20</w:t>
            </w:r>
            <w:r w:rsidR="00AF1E3D" w:rsidRPr="00C229FD">
              <w:rPr>
                <w:webHidden/>
              </w:rPr>
              <w:fldChar w:fldCharType="end"/>
            </w:r>
          </w:hyperlink>
        </w:p>
        <w:p w14:paraId="60E12FC4" w14:textId="328CF870" w:rsidR="00AF1E3D" w:rsidRPr="00C229FD" w:rsidRDefault="00CA45D5">
          <w:pPr>
            <w:pStyle w:val="TOC2"/>
            <w:tabs>
              <w:tab w:val="left" w:pos="880"/>
              <w:tab w:val="right" w:leader="dot" w:pos="9016"/>
            </w:tabs>
            <w:rPr>
              <w:rFonts w:eastAsiaTheme="minorEastAsia" w:cstheme="minorBidi"/>
              <w:sz w:val="22"/>
              <w:lang w:eastAsia="en-AU"/>
            </w:rPr>
          </w:pPr>
          <w:hyperlink w:anchor="_Toc93492892" w:history="1">
            <w:r w:rsidR="00AF1E3D" w:rsidRPr="00C229FD">
              <w:rPr>
                <w:rStyle w:val="Hyperlink"/>
              </w:rPr>
              <w:t>7.4</w:t>
            </w:r>
            <w:r w:rsidR="00AF1E3D" w:rsidRPr="00C229FD">
              <w:rPr>
                <w:rFonts w:eastAsiaTheme="minorEastAsia" w:cstheme="minorBidi"/>
                <w:sz w:val="22"/>
                <w:lang w:eastAsia="en-AU"/>
              </w:rPr>
              <w:tab/>
            </w:r>
            <w:r w:rsidR="00AF1E3D" w:rsidRPr="00C229FD">
              <w:rPr>
                <w:rStyle w:val="Hyperlink"/>
              </w:rPr>
              <w:t>Supply of testing consumables</w:t>
            </w:r>
            <w:r w:rsidR="00AF1E3D" w:rsidRPr="00C229FD">
              <w:rPr>
                <w:webHidden/>
              </w:rPr>
              <w:tab/>
            </w:r>
            <w:r w:rsidR="00AF1E3D" w:rsidRPr="00C229FD">
              <w:rPr>
                <w:webHidden/>
              </w:rPr>
              <w:fldChar w:fldCharType="begin"/>
            </w:r>
            <w:r w:rsidR="00AF1E3D" w:rsidRPr="00C229FD">
              <w:rPr>
                <w:webHidden/>
              </w:rPr>
              <w:instrText xml:space="preserve"> PAGEREF _Toc93492892 \h </w:instrText>
            </w:r>
            <w:r w:rsidR="00AF1E3D" w:rsidRPr="00C229FD">
              <w:rPr>
                <w:webHidden/>
              </w:rPr>
            </w:r>
            <w:r w:rsidR="00AF1E3D" w:rsidRPr="00C229FD">
              <w:rPr>
                <w:webHidden/>
              </w:rPr>
              <w:fldChar w:fldCharType="separate"/>
            </w:r>
            <w:r w:rsidR="00AF1E3D" w:rsidRPr="00C229FD">
              <w:rPr>
                <w:webHidden/>
              </w:rPr>
              <w:t>21</w:t>
            </w:r>
            <w:r w:rsidR="00AF1E3D" w:rsidRPr="00C229FD">
              <w:rPr>
                <w:webHidden/>
              </w:rPr>
              <w:fldChar w:fldCharType="end"/>
            </w:r>
          </w:hyperlink>
        </w:p>
        <w:p w14:paraId="39F24E97" w14:textId="659C13CA" w:rsidR="00AF1E3D" w:rsidRPr="00C229FD" w:rsidRDefault="00CA45D5">
          <w:pPr>
            <w:pStyle w:val="TOC2"/>
            <w:tabs>
              <w:tab w:val="left" w:pos="880"/>
              <w:tab w:val="right" w:leader="dot" w:pos="9016"/>
            </w:tabs>
            <w:rPr>
              <w:rFonts w:eastAsiaTheme="minorEastAsia" w:cstheme="minorBidi"/>
              <w:sz w:val="22"/>
              <w:lang w:eastAsia="en-AU"/>
            </w:rPr>
          </w:pPr>
          <w:hyperlink w:anchor="_Toc93492893" w:history="1">
            <w:r w:rsidR="00AF1E3D" w:rsidRPr="00C229FD">
              <w:rPr>
                <w:rStyle w:val="Hyperlink"/>
              </w:rPr>
              <w:t>7.5</w:t>
            </w:r>
            <w:r w:rsidR="00AF1E3D" w:rsidRPr="00C229FD">
              <w:rPr>
                <w:rFonts w:eastAsiaTheme="minorEastAsia" w:cstheme="minorBidi"/>
                <w:sz w:val="22"/>
                <w:lang w:eastAsia="en-AU"/>
              </w:rPr>
              <w:tab/>
            </w:r>
            <w:r w:rsidR="00AF1E3D" w:rsidRPr="00C229FD">
              <w:rPr>
                <w:rStyle w:val="Hyperlink"/>
              </w:rPr>
              <w:t>Workforce</w:t>
            </w:r>
            <w:r w:rsidR="00AF1E3D" w:rsidRPr="00C229FD">
              <w:rPr>
                <w:webHidden/>
              </w:rPr>
              <w:tab/>
            </w:r>
            <w:r w:rsidR="00AF1E3D" w:rsidRPr="00C229FD">
              <w:rPr>
                <w:webHidden/>
              </w:rPr>
              <w:fldChar w:fldCharType="begin"/>
            </w:r>
            <w:r w:rsidR="00AF1E3D" w:rsidRPr="00C229FD">
              <w:rPr>
                <w:webHidden/>
              </w:rPr>
              <w:instrText xml:space="preserve"> PAGEREF _Toc93492893 \h </w:instrText>
            </w:r>
            <w:r w:rsidR="00AF1E3D" w:rsidRPr="00C229FD">
              <w:rPr>
                <w:webHidden/>
              </w:rPr>
            </w:r>
            <w:r w:rsidR="00AF1E3D" w:rsidRPr="00C229FD">
              <w:rPr>
                <w:webHidden/>
              </w:rPr>
              <w:fldChar w:fldCharType="separate"/>
            </w:r>
            <w:r w:rsidR="00AF1E3D" w:rsidRPr="00C229FD">
              <w:rPr>
                <w:webHidden/>
              </w:rPr>
              <w:t>21</w:t>
            </w:r>
            <w:r w:rsidR="00AF1E3D" w:rsidRPr="00C229FD">
              <w:rPr>
                <w:webHidden/>
              </w:rPr>
              <w:fldChar w:fldCharType="end"/>
            </w:r>
          </w:hyperlink>
        </w:p>
        <w:p w14:paraId="1FBDCF46" w14:textId="78EBA13B" w:rsidR="00AF1E3D" w:rsidRPr="00C229FD" w:rsidRDefault="00CA45D5">
          <w:pPr>
            <w:pStyle w:val="TOC2"/>
            <w:tabs>
              <w:tab w:val="left" w:pos="880"/>
              <w:tab w:val="right" w:leader="dot" w:pos="9016"/>
            </w:tabs>
            <w:rPr>
              <w:rFonts w:eastAsiaTheme="minorEastAsia" w:cstheme="minorBidi"/>
              <w:sz w:val="22"/>
              <w:lang w:eastAsia="en-AU"/>
            </w:rPr>
          </w:pPr>
          <w:hyperlink w:anchor="_Toc93492894" w:history="1">
            <w:r w:rsidR="00AF1E3D" w:rsidRPr="00C229FD">
              <w:rPr>
                <w:rStyle w:val="Hyperlink"/>
              </w:rPr>
              <w:t>7.6</w:t>
            </w:r>
            <w:r w:rsidR="00AF1E3D" w:rsidRPr="00C229FD">
              <w:rPr>
                <w:rFonts w:eastAsiaTheme="minorEastAsia" w:cstheme="minorBidi"/>
                <w:sz w:val="22"/>
                <w:lang w:eastAsia="en-AU"/>
              </w:rPr>
              <w:tab/>
            </w:r>
            <w:r w:rsidR="00AF1E3D" w:rsidRPr="00C229FD">
              <w:rPr>
                <w:rStyle w:val="Hyperlink"/>
              </w:rPr>
              <w:t>Test request prioritisation in laboratories</w:t>
            </w:r>
            <w:r w:rsidR="00AF1E3D" w:rsidRPr="00C229FD">
              <w:rPr>
                <w:webHidden/>
              </w:rPr>
              <w:tab/>
            </w:r>
            <w:r w:rsidR="00AF1E3D" w:rsidRPr="00C229FD">
              <w:rPr>
                <w:webHidden/>
              </w:rPr>
              <w:fldChar w:fldCharType="begin"/>
            </w:r>
            <w:r w:rsidR="00AF1E3D" w:rsidRPr="00C229FD">
              <w:rPr>
                <w:webHidden/>
              </w:rPr>
              <w:instrText xml:space="preserve"> PAGEREF _Toc93492894 \h </w:instrText>
            </w:r>
            <w:r w:rsidR="00AF1E3D" w:rsidRPr="00C229FD">
              <w:rPr>
                <w:webHidden/>
              </w:rPr>
            </w:r>
            <w:r w:rsidR="00AF1E3D" w:rsidRPr="00C229FD">
              <w:rPr>
                <w:webHidden/>
              </w:rPr>
              <w:fldChar w:fldCharType="separate"/>
            </w:r>
            <w:r w:rsidR="00AF1E3D" w:rsidRPr="00C229FD">
              <w:rPr>
                <w:webHidden/>
              </w:rPr>
              <w:t>21</w:t>
            </w:r>
            <w:r w:rsidR="00AF1E3D" w:rsidRPr="00C229FD">
              <w:rPr>
                <w:webHidden/>
              </w:rPr>
              <w:fldChar w:fldCharType="end"/>
            </w:r>
          </w:hyperlink>
        </w:p>
        <w:p w14:paraId="4FC570CB" w14:textId="4F91A81D" w:rsidR="00AF1E3D" w:rsidRPr="00C229FD" w:rsidRDefault="00CA45D5">
          <w:pPr>
            <w:pStyle w:val="TOC2"/>
            <w:tabs>
              <w:tab w:val="left" w:pos="880"/>
              <w:tab w:val="right" w:leader="dot" w:pos="9016"/>
            </w:tabs>
            <w:rPr>
              <w:rFonts w:eastAsiaTheme="minorEastAsia" w:cstheme="minorBidi"/>
              <w:sz w:val="22"/>
              <w:lang w:eastAsia="en-AU"/>
            </w:rPr>
          </w:pPr>
          <w:hyperlink w:anchor="_Toc93492895" w:history="1">
            <w:r w:rsidR="00AF1E3D" w:rsidRPr="00C229FD">
              <w:rPr>
                <w:rStyle w:val="Hyperlink"/>
              </w:rPr>
              <w:t>7.7</w:t>
            </w:r>
            <w:r w:rsidR="00AF1E3D" w:rsidRPr="00C229FD">
              <w:rPr>
                <w:rFonts w:eastAsiaTheme="minorEastAsia" w:cstheme="minorBidi"/>
                <w:sz w:val="22"/>
                <w:lang w:eastAsia="en-AU"/>
              </w:rPr>
              <w:tab/>
            </w:r>
            <w:r w:rsidR="00AF1E3D" w:rsidRPr="00C229FD">
              <w:rPr>
                <w:rStyle w:val="Hyperlink"/>
              </w:rPr>
              <w:t>Community and clinician engagement</w:t>
            </w:r>
            <w:r w:rsidR="00AF1E3D" w:rsidRPr="00C229FD">
              <w:rPr>
                <w:webHidden/>
              </w:rPr>
              <w:tab/>
            </w:r>
            <w:r w:rsidR="00AF1E3D" w:rsidRPr="00C229FD">
              <w:rPr>
                <w:webHidden/>
              </w:rPr>
              <w:fldChar w:fldCharType="begin"/>
            </w:r>
            <w:r w:rsidR="00AF1E3D" w:rsidRPr="00C229FD">
              <w:rPr>
                <w:webHidden/>
              </w:rPr>
              <w:instrText xml:space="preserve"> PAGEREF _Toc93492895 \h </w:instrText>
            </w:r>
            <w:r w:rsidR="00AF1E3D" w:rsidRPr="00C229FD">
              <w:rPr>
                <w:webHidden/>
              </w:rPr>
            </w:r>
            <w:r w:rsidR="00AF1E3D" w:rsidRPr="00C229FD">
              <w:rPr>
                <w:webHidden/>
              </w:rPr>
              <w:fldChar w:fldCharType="separate"/>
            </w:r>
            <w:r w:rsidR="00AF1E3D" w:rsidRPr="00C229FD">
              <w:rPr>
                <w:webHidden/>
              </w:rPr>
              <w:t>21</w:t>
            </w:r>
            <w:r w:rsidR="00AF1E3D" w:rsidRPr="00C229FD">
              <w:rPr>
                <w:webHidden/>
              </w:rPr>
              <w:fldChar w:fldCharType="end"/>
            </w:r>
          </w:hyperlink>
        </w:p>
        <w:p w14:paraId="6484F6B5" w14:textId="378666F5" w:rsidR="00AF1E3D" w:rsidRPr="00C229FD" w:rsidRDefault="00CA45D5">
          <w:pPr>
            <w:pStyle w:val="TOC1"/>
            <w:tabs>
              <w:tab w:val="left" w:pos="480"/>
            </w:tabs>
            <w:rPr>
              <w:rFonts w:eastAsiaTheme="minorEastAsia" w:cstheme="minorBidi"/>
              <w:sz w:val="22"/>
              <w:lang w:eastAsia="en-AU"/>
            </w:rPr>
          </w:pPr>
          <w:hyperlink w:anchor="_Toc93492896" w:history="1">
            <w:r w:rsidR="00AF1E3D" w:rsidRPr="00C229FD">
              <w:rPr>
                <w:rStyle w:val="Hyperlink"/>
              </w:rPr>
              <w:t>8</w:t>
            </w:r>
            <w:r w:rsidR="00AF1E3D" w:rsidRPr="00C229FD">
              <w:rPr>
                <w:rFonts w:eastAsiaTheme="minorEastAsia" w:cstheme="minorBidi"/>
                <w:sz w:val="22"/>
                <w:lang w:eastAsia="en-AU"/>
              </w:rPr>
              <w:tab/>
            </w:r>
            <w:r w:rsidR="00AF1E3D" w:rsidRPr="00C229FD">
              <w:rPr>
                <w:rStyle w:val="Hyperlink"/>
              </w:rPr>
              <w:t>Barriers and disincentives to testing</w:t>
            </w:r>
            <w:r w:rsidR="00AF1E3D" w:rsidRPr="00C229FD">
              <w:rPr>
                <w:webHidden/>
              </w:rPr>
              <w:tab/>
            </w:r>
            <w:r w:rsidR="00AF1E3D" w:rsidRPr="00C229FD">
              <w:rPr>
                <w:webHidden/>
              </w:rPr>
              <w:fldChar w:fldCharType="begin"/>
            </w:r>
            <w:r w:rsidR="00AF1E3D" w:rsidRPr="00C229FD">
              <w:rPr>
                <w:webHidden/>
              </w:rPr>
              <w:instrText xml:space="preserve"> PAGEREF _Toc93492896 \h </w:instrText>
            </w:r>
            <w:r w:rsidR="00AF1E3D" w:rsidRPr="00C229FD">
              <w:rPr>
                <w:webHidden/>
              </w:rPr>
            </w:r>
            <w:r w:rsidR="00AF1E3D" w:rsidRPr="00C229FD">
              <w:rPr>
                <w:webHidden/>
              </w:rPr>
              <w:fldChar w:fldCharType="separate"/>
            </w:r>
            <w:r w:rsidR="00AF1E3D" w:rsidRPr="00C229FD">
              <w:rPr>
                <w:webHidden/>
              </w:rPr>
              <w:t>22</w:t>
            </w:r>
            <w:r w:rsidR="00AF1E3D" w:rsidRPr="00C229FD">
              <w:rPr>
                <w:webHidden/>
              </w:rPr>
              <w:fldChar w:fldCharType="end"/>
            </w:r>
          </w:hyperlink>
        </w:p>
        <w:p w14:paraId="5BF96B39" w14:textId="23F1CE3F" w:rsidR="00AF1E3D" w:rsidRPr="00C229FD" w:rsidRDefault="00CA45D5">
          <w:pPr>
            <w:pStyle w:val="TOC1"/>
            <w:rPr>
              <w:rFonts w:eastAsiaTheme="minorEastAsia" w:cstheme="minorBidi"/>
              <w:sz w:val="22"/>
              <w:lang w:eastAsia="en-AU"/>
            </w:rPr>
          </w:pPr>
          <w:hyperlink w:anchor="_Toc93492897" w:history="1">
            <w:r w:rsidR="00AF1E3D" w:rsidRPr="00C229FD">
              <w:rPr>
                <w:rStyle w:val="Hyperlink"/>
              </w:rPr>
              <w:t>Annex A: Current and emerging SARS-CoV-2 testing technology and methods</w:t>
            </w:r>
            <w:r w:rsidR="00AF1E3D" w:rsidRPr="00C229FD">
              <w:rPr>
                <w:webHidden/>
              </w:rPr>
              <w:tab/>
            </w:r>
            <w:r w:rsidR="00AF1E3D" w:rsidRPr="00C229FD">
              <w:rPr>
                <w:webHidden/>
              </w:rPr>
              <w:fldChar w:fldCharType="begin"/>
            </w:r>
            <w:r w:rsidR="00AF1E3D" w:rsidRPr="00C229FD">
              <w:rPr>
                <w:webHidden/>
              </w:rPr>
              <w:instrText xml:space="preserve"> PAGEREF _Toc93492897 \h </w:instrText>
            </w:r>
            <w:r w:rsidR="00AF1E3D" w:rsidRPr="00C229FD">
              <w:rPr>
                <w:webHidden/>
              </w:rPr>
            </w:r>
            <w:r w:rsidR="00AF1E3D" w:rsidRPr="00C229FD">
              <w:rPr>
                <w:webHidden/>
              </w:rPr>
              <w:fldChar w:fldCharType="separate"/>
            </w:r>
            <w:r w:rsidR="00AF1E3D" w:rsidRPr="00C229FD">
              <w:rPr>
                <w:webHidden/>
              </w:rPr>
              <w:t>24</w:t>
            </w:r>
            <w:r w:rsidR="00AF1E3D" w:rsidRPr="00C229FD">
              <w:rPr>
                <w:webHidden/>
              </w:rPr>
              <w:fldChar w:fldCharType="end"/>
            </w:r>
          </w:hyperlink>
        </w:p>
        <w:p w14:paraId="574F0FED" w14:textId="4E3A7A75" w:rsidR="00D21C3F" w:rsidRPr="00DD5DD9" w:rsidRDefault="00D21C3F">
          <w:r w:rsidRPr="00C229FD">
            <w:rPr>
              <w:b/>
              <w:bCs/>
            </w:rPr>
            <w:fldChar w:fldCharType="end"/>
          </w:r>
        </w:p>
      </w:sdtContent>
    </w:sdt>
    <w:p w14:paraId="0D45D583" w14:textId="77777777" w:rsidR="00AB1942" w:rsidRPr="00DD5DD9" w:rsidRDefault="00AB1942">
      <w:pPr>
        <w:spacing w:after="200" w:line="276" w:lineRule="auto"/>
        <w:jc w:val="left"/>
        <w:rPr>
          <w:b/>
          <w:sz w:val="28"/>
          <w:szCs w:val="26"/>
        </w:rPr>
      </w:pPr>
      <w:r w:rsidRPr="00DD5DD9">
        <w:br w:type="page"/>
      </w:r>
    </w:p>
    <w:p w14:paraId="08179174" w14:textId="0BBCF455" w:rsidR="00ED4B95" w:rsidRPr="00DD5DD9" w:rsidRDefault="490F7D7B" w:rsidP="00076FCA">
      <w:pPr>
        <w:pStyle w:val="Heading1"/>
      </w:pPr>
      <w:bookmarkStart w:id="1" w:name="_Toc1261391265"/>
      <w:bookmarkStart w:id="2" w:name="_Toc1109899516"/>
      <w:bookmarkStart w:id="3" w:name="_Toc93492864"/>
      <w:r w:rsidRPr="00DD5DD9">
        <w:lastRenderedPageBreak/>
        <w:t>Background</w:t>
      </w:r>
      <w:bookmarkEnd w:id="0"/>
      <w:bookmarkEnd w:id="1"/>
      <w:bookmarkEnd w:id="2"/>
      <w:bookmarkEnd w:id="3"/>
    </w:p>
    <w:p w14:paraId="01D54E62" w14:textId="637966A1" w:rsidR="008F0450" w:rsidRPr="00DD5DD9" w:rsidRDefault="462C47A0" w:rsidP="00AE2DEB">
      <w:pPr>
        <w:tabs>
          <w:tab w:val="left" w:pos="2127"/>
        </w:tabs>
        <w:jc w:val="left"/>
      </w:pPr>
      <w:r w:rsidRPr="00DD5DD9">
        <w:t>In Australia, t</w:t>
      </w:r>
      <w:r w:rsidR="6979CE6D" w:rsidRPr="00DD5DD9">
        <w:rPr>
          <w:rFonts w:cs="Calibri Light"/>
        </w:rPr>
        <w:t>esting</w:t>
      </w:r>
      <w:r w:rsidRPr="00DD5DD9">
        <w:rPr>
          <w:rFonts w:cs="Calibri Light"/>
        </w:rPr>
        <w:t xml:space="preserve"> </w:t>
      </w:r>
      <w:r w:rsidR="23BDA764" w:rsidRPr="00DD5DD9">
        <w:rPr>
          <w:rFonts w:cs="Calibri Light"/>
        </w:rPr>
        <w:t>to detect SARS-COV-2</w:t>
      </w:r>
      <w:r w:rsidR="008F0450" w:rsidRPr="00DD5DD9">
        <w:rPr>
          <w:rFonts w:cs="Calibri Light"/>
        </w:rPr>
        <w:t xml:space="preserve"> (</w:t>
      </w:r>
      <w:r w:rsidR="008F0450" w:rsidRPr="00DD5DD9">
        <w:t>the virus that causes COVID-19)</w:t>
      </w:r>
      <w:r w:rsidR="23BDA764" w:rsidRPr="00DD5DD9">
        <w:rPr>
          <w:rFonts w:cs="Calibri Light"/>
        </w:rPr>
        <w:t xml:space="preserve"> </w:t>
      </w:r>
      <w:r w:rsidRPr="00DD5DD9">
        <w:rPr>
          <w:rFonts w:cs="Calibri Light"/>
        </w:rPr>
        <w:t>is</w:t>
      </w:r>
      <w:r w:rsidR="008F0450" w:rsidRPr="00DD5DD9">
        <w:rPr>
          <w:rFonts w:cs="Calibri Light"/>
        </w:rPr>
        <w:t>,</w:t>
      </w:r>
      <w:r w:rsidRPr="00DD5DD9">
        <w:rPr>
          <w:rFonts w:cs="Calibri Light"/>
        </w:rPr>
        <w:t xml:space="preserve"> and will continue to</w:t>
      </w:r>
      <w:r w:rsidR="6979CE6D" w:rsidRPr="00DD5DD9">
        <w:rPr>
          <w:rFonts w:cs="Calibri Light"/>
        </w:rPr>
        <w:t xml:space="preserve"> remain</w:t>
      </w:r>
      <w:r w:rsidR="00BB0A96" w:rsidRPr="00DD5DD9">
        <w:rPr>
          <w:rFonts w:cs="Calibri Light"/>
        </w:rPr>
        <w:t>,</w:t>
      </w:r>
      <w:r w:rsidR="3142000E" w:rsidRPr="00DD5DD9">
        <w:rPr>
          <w:rFonts w:cs="Calibri Light"/>
        </w:rPr>
        <w:t xml:space="preserve"> </w:t>
      </w:r>
      <w:r w:rsidR="6979CE6D" w:rsidRPr="00DD5DD9">
        <w:rPr>
          <w:rFonts w:cs="Calibri Light"/>
        </w:rPr>
        <w:t>a key pillar in the control of COVID-19</w:t>
      </w:r>
      <w:r w:rsidR="4C245917" w:rsidRPr="00DD5DD9">
        <w:rPr>
          <w:rFonts w:cs="Calibri Light"/>
        </w:rPr>
        <w:t>. As</w:t>
      </w:r>
      <w:r w:rsidR="7C50297E" w:rsidRPr="00DD5DD9">
        <w:rPr>
          <w:rFonts w:cs="Calibri Light"/>
        </w:rPr>
        <w:t xml:space="preserve"> the </w:t>
      </w:r>
      <w:r w:rsidR="6979CE6D" w:rsidRPr="00DD5DD9">
        <w:rPr>
          <w:rFonts w:cs="Calibri Light"/>
        </w:rPr>
        <w:t>pandemic</w:t>
      </w:r>
      <w:r w:rsidR="7C50297E" w:rsidRPr="00DD5DD9">
        <w:rPr>
          <w:rFonts w:cs="Calibri Light"/>
        </w:rPr>
        <w:t xml:space="preserve"> evolves, so will testing methods and implementation strategies</w:t>
      </w:r>
      <w:r w:rsidR="2BDD82EC" w:rsidRPr="00DD5DD9">
        <w:t xml:space="preserve">. </w:t>
      </w:r>
      <w:r w:rsidR="6979CE6D" w:rsidRPr="00DD5DD9">
        <w:rPr>
          <w:rFonts w:cs="Calibri Light"/>
        </w:rPr>
        <w:t xml:space="preserve">Testing enables COVID-19 cases </w:t>
      </w:r>
      <w:r w:rsidR="62B513FD" w:rsidRPr="00DD5DD9">
        <w:rPr>
          <w:rFonts w:cs="Calibri Light"/>
        </w:rPr>
        <w:t xml:space="preserve">to be identified </w:t>
      </w:r>
      <w:r w:rsidR="6979CE6D" w:rsidRPr="00DD5DD9">
        <w:rPr>
          <w:rFonts w:cs="Calibri Light"/>
        </w:rPr>
        <w:t xml:space="preserve">early and is a </w:t>
      </w:r>
      <w:r w:rsidR="50F1B700" w:rsidRPr="00DD5DD9">
        <w:rPr>
          <w:rFonts w:cs="Calibri Light"/>
        </w:rPr>
        <w:t>critical</w:t>
      </w:r>
      <w:r w:rsidR="6979CE6D" w:rsidRPr="00DD5DD9">
        <w:rPr>
          <w:rFonts w:cs="Calibri Light"/>
        </w:rPr>
        <w:t xml:space="preserve"> component of the ‘test’, ‘trace’, ‘isolate’ and ‘quarantine’ </w:t>
      </w:r>
      <w:r w:rsidR="5EF98688" w:rsidRPr="00DD5DD9">
        <w:rPr>
          <w:rFonts w:cs="Calibri Light"/>
        </w:rPr>
        <w:t xml:space="preserve">(TTIQ) </w:t>
      </w:r>
      <w:r w:rsidR="6979CE6D" w:rsidRPr="00DD5DD9">
        <w:rPr>
          <w:rFonts w:cs="Calibri Light"/>
        </w:rPr>
        <w:t xml:space="preserve">framework, aimed at </w:t>
      </w:r>
      <w:r w:rsidR="6979CE6D" w:rsidRPr="00DD5DD9">
        <w:t xml:space="preserve">reducing community transmission of SARS-CoV-2. This will protect those most vulnerable </w:t>
      </w:r>
      <w:r w:rsidR="23BDA764" w:rsidRPr="00DD5DD9">
        <w:t xml:space="preserve">persons </w:t>
      </w:r>
      <w:r w:rsidR="6979CE6D" w:rsidRPr="00DD5DD9">
        <w:rPr>
          <w:rFonts w:cs="Calibri Light"/>
        </w:rPr>
        <w:t>by minimising the risk of serious illness, hospitalisation and death from COVID-19.</w:t>
      </w:r>
      <w:r w:rsidR="008F0450" w:rsidRPr="00DD5DD9">
        <w:rPr>
          <w:rFonts w:cs="Calibri Light"/>
        </w:rPr>
        <w:t xml:space="preserve"> </w:t>
      </w:r>
    </w:p>
    <w:p w14:paraId="1020E0A2" w14:textId="12999E9C" w:rsidR="008F0450" w:rsidRPr="00DD5DD9" w:rsidRDefault="6979CE6D" w:rsidP="00076FCA">
      <w:pPr>
        <w:tabs>
          <w:tab w:val="left" w:pos="2127"/>
        </w:tabs>
        <w:spacing w:after="0"/>
        <w:jc w:val="left"/>
      </w:pPr>
      <w:r w:rsidRPr="00DD5DD9">
        <w:t xml:space="preserve">We accept that outbreaks will remain a risk. A </w:t>
      </w:r>
      <w:r w:rsidR="50F1B700" w:rsidRPr="00DD5DD9">
        <w:t>critical</w:t>
      </w:r>
      <w:r w:rsidRPr="00DD5DD9">
        <w:t xml:space="preserve"> priority of the public health response is to </w:t>
      </w:r>
      <w:r w:rsidR="4BD1D1A3" w:rsidRPr="00DD5DD9">
        <w:t xml:space="preserve">break chains of transmission in the community by </w:t>
      </w:r>
      <w:r w:rsidRPr="00DD5DD9">
        <w:t>rapidly detect</w:t>
      </w:r>
      <w:r w:rsidR="4BD1D1A3" w:rsidRPr="00DD5DD9">
        <w:t>ing</w:t>
      </w:r>
      <w:r w:rsidRPr="00DD5DD9">
        <w:t xml:space="preserve"> infections, identify</w:t>
      </w:r>
      <w:r w:rsidR="4BD1D1A3" w:rsidRPr="00DD5DD9">
        <w:t>ing</w:t>
      </w:r>
      <w:r w:rsidRPr="00DD5DD9">
        <w:t xml:space="preserve"> their source and </w:t>
      </w:r>
      <w:r w:rsidR="4BD1D1A3" w:rsidRPr="00DD5DD9">
        <w:t>implementing</w:t>
      </w:r>
      <w:r w:rsidRPr="00DD5DD9">
        <w:t xml:space="preserve"> a range of public health measures</w:t>
      </w:r>
      <w:r w:rsidR="4BD1D1A3" w:rsidRPr="00DD5DD9">
        <w:t>.</w:t>
      </w:r>
      <w:r w:rsidRPr="00DD5DD9">
        <w:t xml:space="preserve"> Targeted</w:t>
      </w:r>
      <w:r w:rsidR="7D3700DD" w:rsidRPr="00DD5DD9">
        <w:t xml:space="preserve"> and sustainable</w:t>
      </w:r>
      <w:r w:rsidRPr="00DD5DD9">
        <w:t xml:space="preserve"> testing is crucial to support </w:t>
      </w:r>
      <w:r w:rsidR="6C0CD5DB" w:rsidRPr="00DD5DD9">
        <w:t xml:space="preserve">a </w:t>
      </w:r>
      <w:r w:rsidRPr="00DD5DD9">
        <w:t>rapid and successful outbreak response.</w:t>
      </w:r>
      <w:r w:rsidR="008F0450" w:rsidRPr="00DD5DD9">
        <w:t xml:space="preserve"> Targeted testing also needs to consider the epidemiological setting and vaccination status of the local population. However, when testing capacity is overwhelmed, </w:t>
      </w:r>
      <w:r w:rsidR="00A17198" w:rsidRPr="00DD5DD9">
        <w:t xml:space="preserve">for example, in the event of a large-scale outbreak, </w:t>
      </w:r>
      <w:r w:rsidR="008F0450" w:rsidRPr="00DD5DD9">
        <w:t xml:space="preserve">strategies </w:t>
      </w:r>
      <w:r w:rsidR="00A17198" w:rsidRPr="00DD5DD9">
        <w:t xml:space="preserve">need to adapt </w:t>
      </w:r>
      <w:r w:rsidR="008F0450" w:rsidRPr="00DD5DD9">
        <w:t>to maintain reasonable testing turnaround times and ensure appropriate and timely clinical care can be provided</w:t>
      </w:r>
      <w:r w:rsidR="00A17198" w:rsidRPr="00DD5DD9">
        <w:t>.</w:t>
      </w:r>
    </w:p>
    <w:p w14:paraId="5D529A54" w14:textId="77777777" w:rsidR="0098527A" w:rsidRPr="00DD5DD9" w:rsidRDefault="0098527A" w:rsidP="00076FCA">
      <w:pPr>
        <w:tabs>
          <w:tab w:val="left" w:pos="2127"/>
        </w:tabs>
        <w:spacing w:after="0"/>
        <w:jc w:val="left"/>
      </w:pPr>
    </w:p>
    <w:p w14:paraId="215338C3" w14:textId="02C6D367" w:rsidR="00F701BD" w:rsidRPr="00DD5DD9" w:rsidRDefault="490F7D7B" w:rsidP="00076FCA">
      <w:pPr>
        <w:pStyle w:val="Heading2"/>
      </w:pPr>
      <w:bookmarkStart w:id="4" w:name="_Toc93492865"/>
      <w:bookmarkStart w:id="5" w:name="_Toc93492866"/>
      <w:bookmarkStart w:id="6" w:name="_Toc56505889"/>
      <w:bookmarkStart w:id="7" w:name="_Toc56712997"/>
      <w:bookmarkStart w:id="8" w:name="_Toc57127199"/>
      <w:bookmarkStart w:id="9" w:name="_Toc57149377"/>
      <w:bookmarkStart w:id="10" w:name="_Toc57187364"/>
      <w:bookmarkStart w:id="11" w:name="_Toc58453389"/>
      <w:bookmarkStart w:id="12" w:name="_Toc58453477"/>
      <w:bookmarkStart w:id="13" w:name="_Toc1629396698"/>
      <w:bookmarkStart w:id="14" w:name="_Toc2121222360"/>
      <w:bookmarkStart w:id="15" w:name="_Toc93492867"/>
      <w:bookmarkEnd w:id="4"/>
      <w:bookmarkEnd w:id="5"/>
      <w:r w:rsidRPr="00DD5DD9">
        <w:t>Strategic context</w:t>
      </w:r>
      <w:bookmarkEnd w:id="6"/>
      <w:bookmarkEnd w:id="7"/>
      <w:bookmarkEnd w:id="8"/>
      <w:bookmarkEnd w:id="9"/>
      <w:bookmarkEnd w:id="10"/>
      <w:bookmarkEnd w:id="11"/>
      <w:bookmarkEnd w:id="12"/>
      <w:bookmarkEnd w:id="13"/>
      <w:bookmarkEnd w:id="14"/>
      <w:bookmarkEnd w:id="15"/>
    </w:p>
    <w:p w14:paraId="68DEB1FF" w14:textId="6EE9F1F3" w:rsidR="00812AE6" w:rsidRPr="00DD5DD9" w:rsidRDefault="00556C3E" w:rsidP="00F00EA6">
      <w:pPr>
        <w:tabs>
          <w:tab w:val="left" w:pos="2127"/>
        </w:tabs>
        <w:jc w:val="left"/>
      </w:pPr>
      <w:r w:rsidRPr="00DD5DD9">
        <w:t>State</w:t>
      </w:r>
      <w:r w:rsidR="00A76F54" w:rsidRPr="00DD5DD9">
        <w:t xml:space="preserve"> and territory public health authorities</w:t>
      </w:r>
      <w:r w:rsidRPr="00DD5DD9">
        <w:t xml:space="preserve"> administer t</w:t>
      </w:r>
      <w:r w:rsidR="00A76F54" w:rsidRPr="00DD5DD9">
        <w:t xml:space="preserve">esting </w:t>
      </w:r>
      <w:r w:rsidR="007C1CE6" w:rsidRPr="00DD5DD9">
        <w:t xml:space="preserve">programs </w:t>
      </w:r>
      <w:r w:rsidR="00A76F54" w:rsidRPr="00DD5DD9">
        <w:t xml:space="preserve">for public health investigation. </w:t>
      </w:r>
      <w:r w:rsidR="00812AE6" w:rsidRPr="00DD5DD9">
        <w:t>This</w:t>
      </w:r>
      <w:r w:rsidR="006A7CA6" w:rsidRPr="00DD5DD9">
        <w:t xml:space="preserve"> document provides a national </w:t>
      </w:r>
      <w:r w:rsidR="00812AE6" w:rsidRPr="00DD5DD9">
        <w:t xml:space="preserve">framework </w:t>
      </w:r>
      <w:r w:rsidR="00751D98" w:rsidRPr="00C229FD">
        <w:t>that outlines</w:t>
      </w:r>
      <w:r w:rsidR="002D4A2F" w:rsidRPr="00C229FD">
        <w:t xml:space="preserve"> minimum requirements </w:t>
      </w:r>
      <w:r w:rsidR="00812AE6" w:rsidRPr="00DD5DD9">
        <w:t xml:space="preserve">to guide local approaches to testing. Individual state and </w:t>
      </w:r>
      <w:r w:rsidR="007C1CE6" w:rsidRPr="00DD5DD9">
        <w:t xml:space="preserve">territory </w:t>
      </w:r>
      <w:r w:rsidR="00E3574D" w:rsidRPr="00DD5DD9">
        <w:t xml:space="preserve">public health authorities </w:t>
      </w:r>
      <w:r w:rsidR="001E4E0A" w:rsidRPr="00DD5DD9">
        <w:t>can apply</w:t>
      </w:r>
      <w:r w:rsidR="00812AE6" w:rsidRPr="00DD5DD9">
        <w:t xml:space="preserve"> this framework </w:t>
      </w:r>
      <w:r w:rsidR="001E4E0A" w:rsidRPr="00DD5DD9">
        <w:t xml:space="preserve">to fit </w:t>
      </w:r>
      <w:r w:rsidR="00812AE6" w:rsidRPr="00DD5DD9">
        <w:t>their local circumstances.</w:t>
      </w:r>
      <w:r w:rsidR="00230E11" w:rsidRPr="00DD5DD9">
        <w:t xml:space="preserve"> States and territories are not obligated to adopt this </w:t>
      </w:r>
      <w:r w:rsidR="00B8426B" w:rsidRPr="00DD5DD9">
        <w:t>framework;</w:t>
      </w:r>
      <w:r w:rsidR="00230E11" w:rsidRPr="00DD5DD9">
        <w:t xml:space="preserve"> however a consistent national approach is encouraged.</w:t>
      </w:r>
    </w:p>
    <w:p w14:paraId="6A47C0D5" w14:textId="10D36609" w:rsidR="00F1219D" w:rsidRPr="00DD5DD9" w:rsidRDefault="140A67F7" w:rsidP="6A7B07D3">
      <w:pPr>
        <w:tabs>
          <w:tab w:val="left" w:pos="2127"/>
        </w:tabs>
        <w:jc w:val="left"/>
      </w:pPr>
      <w:r w:rsidRPr="00DD5DD9">
        <w:t xml:space="preserve">This framework for </w:t>
      </w:r>
      <w:r w:rsidR="12350075" w:rsidRPr="00DD5DD9">
        <w:t xml:space="preserve">COVID-19 </w:t>
      </w:r>
      <w:r w:rsidRPr="00DD5DD9">
        <w:t>testing in Australia</w:t>
      </w:r>
      <w:r w:rsidR="580FD6AD" w:rsidRPr="00DD5DD9">
        <w:t xml:space="preserve"> </w:t>
      </w:r>
      <w:r w:rsidR="59FA646D" w:rsidRPr="00DD5DD9">
        <w:t xml:space="preserve">is </w:t>
      </w:r>
      <w:r w:rsidR="54123C99" w:rsidRPr="00DD5DD9">
        <w:t xml:space="preserve">updated as </w:t>
      </w:r>
      <w:r w:rsidR="1C6CA4CC" w:rsidRPr="00DD5DD9">
        <w:t xml:space="preserve">required to align with the evolving </w:t>
      </w:r>
      <w:r w:rsidR="28CE2705" w:rsidRPr="00DD5DD9">
        <w:t xml:space="preserve">COVID-19 </w:t>
      </w:r>
      <w:r w:rsidR="1C6CA4CC" w:rsidRPr="00DD5DD9">
        <w:t>situatio</w:t>
      </w:r>
      <w:r w:rsidR="1AE3C3FC" w:rsidRPr="00DD5DD9">
        <w:t>n</w:t>
      </w:r>
      <w:r w:rsidR="56D6738C" w:rsidRPr="00DD5DD9">
        <w:t>.</w:t>
      </w:r>
      <w:r w:rsidR="580FD6AD" w:rsidRPr="00DD5DD9">
        <w:t xml:space="preserve"> It </w:t>
      </w:r>
      <w:r w:rsidRPr="00DD5DD9">
        <w:t>is consistent with the COVID-19</w:t>
      </w:r>
      <w:r w:rsidRPr="00DD5DD9">
        <w:rPr>
          <w:i/>
          <w:iCs/>
        </w:rPr>
        <w:t xml:space="preserve"> </w:t>
      </w:r>
      <w:hyperlink r:id="rId15">
        <w:r w:rsidRPr="00DD5DD9">
          <w:rPr>
            <w:rStyle w:val="Hyperlink"/>
            <w:i/>
            <w:iCs/>
          </w:rPr>
          <w:t>Communicable Diseases Network Australia (CDNA) National Guidelines for Public Health Units</w:t>
        </w:r>
      </w:hyperlink>
      <w:r w:rsidRPr="00DD5DD9">
        <w:rPr>
          <w:i/>
          <w:iCs/>
        </w:rPr>
        <w:t xml:space="preserve"> </w:t>
      </w:r>
      <w:r w:rsidRPr="00DD5DD9">
        <w:t xml:space="preserve">(‘National Guidelines’). </w:t>
      </w:r>
      <w:r w:rsidR="34CE141B" w:rsidRPr="00DD5DD9">
        <w:t>I</w:t>
      </w:r>
      <w:r w:rsidRPr="00DD5DD9">
        <w:t>t is supported by the</w:t>
      </w:r>
      <w:r w:rsidR="56D6738C" w:rsidRPr="00DD5DD9">
        <w:t xml:space="preserve"> </w:t>
      </w:r>
      <w:hyperlink r:id="rId16">
        <w:r w:rsidR="56D6738C" w:rsidRPr="00DD5DD9">
          <w:rPr>
            <w:rStyle w:val="Hyperlink"/>
            <w:i/>
            <w:iCs/>
          </w:rPr>
          <w:t>Australian National Disease</w:t>
        </w:r>
        <w:r w:rsidRPr="00DD5DD9">
          <w:rPr>
            <w:rStyle w:val="Hyperlink"/>
          </w:rPr>
          <w:t xml:space="preserve"> </w:t>
        </w:r>
        <w:r w:rsidRPr="00DD5DD9">
          <w:rPr>
            <w:rStyle w:val="Hyperlink"/>
            <w:i/>
            <w:iCs/>
          </w:rPr>
          <w:t>Surveillance Plan</w:t>
        </w:r>
        <w:r w:rsidR="56D6738C" w:rsidRPr="00DD5DD9">
          <w:rPr>
            <w:rStyle w:val="Hyperlink"/>
            <w:i/>
            <w:iCs/>
          </w:rPr>
          <w:t xml:space="preserve"> for COVID-19</w:t>
        </w:r>
      </w:hyperlink>
      <w:r w:rsidRPr="00DD5DD9">
        <w:t>, which includes the monitoring of testing ra</w:t>
      </w:r>
      <w:r w:rsidR="5FDE3DE7" w:rsidRPr="00DD5DD9">
        <w:t xml:space="preserve">tes among its </w:t>
      </w:r>
      <w:r w:rsidR="693D5494" w:rsidRPr="00DD5DD9">
        <w:t>main</w:t>
      </w:r>
      <w:r w:rsidR="5FDE3DE7" w:rsidRPr="00DD5DD9">
        <w:t xml:space="preserve"> components</w:t>
      </w:r>
      <w:r w:rsidR="34CE141B" w:rsidRPr="00DD5DD9">
        <w:t xml:space="preserve">. </w:t>
      </w:r>
    </w:p>
    <w:p w14:paraId="4B580B90" w14:textId="00250830" w:rsidR="00C836EC" w:rsidRPr="00DD5DD9" w:rsidRDefault="00F1219D" w:rsidP="00F00EA6">
      <w:pPr>
        <w:tabs>
          <w:tab w:val="left" w:pos="2127"/>
        </w:tabs>
        <w:jc w:val="left"/>
      </w:pPr>
      <w:r w:rsidRPr="00DD5DD9">
        <w:t>In addition to this framework, t</w:t>
      </w:r>
      <w:r w:rsidR="00B80979" w:rsidRPr="00DD5DD9">
        <w:t xml:space="preserve">he </w:t>
      </w:r>
      <w:hyperlink r:id="rId17" w:history="1">
        <w:r w:rsidR="00B80979" w:rsidRPr="00DD5DD9">
          <w:rPr>
            <w:rStyle w:val="Hyperlink"/>
            <w:i/>
          </w:rPr>
          <w:t>Public Health Laboratory Network (PHLN) Guidance on Laboratory Testing for SARS-CoV-2</w:t>
        </w:r>
      </w:hyperlink>
      <w:r w:rsidR="00322CE1" w:rsidRPr="00DD5DD9">
        <w:rPr>
          <w:i/>
        </w:rPr>
        <w:t xml:space="preserve"> </w:t>
      </w:r>
      <w:r w:rsidR="006175FF" w:rsidRPr="00DD5DD9">
        <w:t>o</w:t>
      </w:r>
      <w:r w:rsidR="001E4E0A" w:rsidRPr="00DD5DD9">
        <w:t>utlines testing and specimen collection approaches.</w:t>
      </w:r>
      <w:r w:rsidR="00AD403A" w:rsidRPr="00DD5DD9">
        <w:t xml:space="preserve"> </w:t>
      </w:r>
      <w:r w:rsidR="00C836EC" w:rsidRPr="00DD5DD9">
        <w:t xml:space="preserve">The </w:t>
      </w:r>
      <w:hyperlink r:id="rId18" w:history="1">
        <w:r w:rsidR="00AE031A" w:rsidRPr="00DD5DD9">
          <w:rPr>
            <w:rStyle w:val="Hyperlink"/>
            <w:i/>
            <w:iCs/>
          </w:rPr>
          <w:t>CDNA National Guidelines for the Prevention, Control and Public Health Management of COVID-19 Outbreaks in Residential Care Facilities i</w:t>
        </w:r>
        <w:r w:rsidR="00AE031A" w:rsidRPr="00C229FD">
          <w:rPr>
            <w:rStyle w:val="Hyperlink"/>
            <w:i/>
            <w:iCs/>
          </w:rPr>
          <w:t>n Australia</w:t>
        </w:r>
      </w:hyperlink>
      <w:r w:rsidR="00AE031A" w:rsidRPr="00DD5DD9">
        <w:rPr>
          <w:rStyle w:val="Hyperlink"/>
          <w:u w:val="none"/>
        </w:rPr>
        <w:t xml:space="preserve"> </w:t>
      </w:r>
      <w:r w:rsidR="00AE031A" w:rsidRPr="00DD5DD9">
        <w:rPr>
          <w:rStyle w:val="Hyperlink"/>
          <w:color w:val="auto"/>
          <w:u w:val="none"/>
        </w:rPr>
        <w:t>covers</w:t>
      </w:r>
      <w:r w:rsidR="00AE031A" w:rsidRPr="00DD5DD9">
        <w:rPr>
          <w:rStyle w:val="Hyperlink"/>
          <w:u w:val="none"/>
        </w:rPr>
        <w:t xml:space="preserve"> </w:t>
      </w:r>
      <w:r w:rsidR="00AE031A" w:rsidRPr="00DD5DD9">
        <w:rPr>
          <w:rStyle w:val="Hyperlink"/>
          <w:color w:val="auto"/>
          <w:u w:val="none"/>
        </w:rPr>
        <w:t>m</w:t>
      </w:r>
      <w:r w:rsidR="00AE031A" w:rsidRPr="00DD5DD9">
        <w:t>anaging</w:t>
      </w:r>
      <w:r w:rsidR="00C836EC" w:rsidRPr="00DD5DD9">
        <w:t xml:space="preserve"> COVID-19 outbreaks and associated testing in residential care settings, including for aged care and disability care</w:t>
      </w:r>
      <w:r w:rsidR="00757C9A" w:rsidRPr="00DD5DD9">
        <w:rPr>
          <w:i/>
          <w:iCs/>
        </w:rPr>
        <w:t>.</w:t>
      </w:r>
      <w:r w:rsidR="00704DF6" w:rsidRPr="00DD5DD9">
        <w:rPr>
          <w:i/>
          <w:iCs/>
        </w:rPr>
        <w:t xml:space="preserve"> </w:t>
      </w:r>
      <w:r w:rsidR="00C836EC" w:rsidRPr="00DD5DD9">
        <w:t xml:space="preserve">The </w:t>
      </w:r>
      <w:hyperlink r:id="rId19" w:history="1">
        <w:r w:rsidR="00C836EC" w:rsidRPr="00DD5DD9">
          <w:rPr>
            <w:rStyle w:val="Hyperlink"/>
            <w:i/>
          </w:rPr>
          <w:t>CDNA National Guidelines for remote Aboriginal and Torres Strait Islander communities for COVID-19</w:t>
        </w:r>
      </w:hyperlink>
      <w:r w:rsidR="006175FF" w:rsidRPr="00DD5DD9">
        <w:t xml:space="preserve"> </w:t>
      </w:r>
      <w:r w:rsidR="00AE031A" w:rsidRPr="00DD5DD9">
        <w:t>cover</w:t>
      </w:r>
      <w:r w:rsidR="00AD403A" w:rsidRPr="00DD5DD9">
        <w:t>s</w:t>
      </w:r>
      <w:r w:rsidR="00C836EC" w:rsidRPr="00DD5DD9">
        <w:t xml:space="preserve"> testing in remote communities</w:t>
      </w:r>
      <w:bookmarkStart w:id="16" w:name="_Ref52195851"/>
      <w:r w:rsidR="00757C9A" w:rsidRPr="00DD5DD9">
        <w:t>.</w:t>
      </w:r>
      <w:bookmarkEnd w:id="16"/>
      <w:r w:rsidR="00C836EC" w:rsidRPr="00DD5DD9">
        <w:t xml:space="preserve"> The modelling work </w:t>
      </w:r>
      <w:r w:rsidR="001E4E0A" w:rsidRPr="00DD5DD9">
        <w:t xml:space="preserve">referred to </w:t>
      </w:r>
      <w:r w:rsidR="00C836EC" w:rsidRPr="00DD5DD9">
        <w:t xml:space="preserve">in this guidance </w:t>
      </w:r>
      <w:r w:rsidR="001E4E0A" w:rsidRPr="00DD5DD9">
        <w:t>has more</w:t>
      </w:r>
      <w:r w:rsidR="00C836EC" w:rsidRPr="00DD5DD9">
        <w:t xml:space="preserve"> information about the potential impact of testing strategies in remote and regional settings.</w:t>
      </w:r>
    </w:p>
    <w:p w14:paraId="4DD22C11" w14:textId="07E08848" w:rsidR="00A72FCD" w:rsidRPr="00DD5DD9" w:rsidRDefault="00A76F54" w:rsidP="0028691C">
      <w:pPr>
        <w:tabs>
          <w:tab w:val="left" w:pos="2127"/>
        </w:tabs>
        <w:spacing w:after="0"/>
        <w:jc w:val="left"/>
      </w:pPr>
      <w:r w:rsidRPr="00DD5DD9">
        <w:t xml:space="preserve">Finally, </w:t>
      </w:r>
      <w:proofErr w:type="spellStart"/>
      <w:r w:rsidRPr="00DD5DD9">
        <w:t>s</w:t>
      </w:r>
      <w:r w:rsidR="001E4E0A" w:rsidRPr="00DD5DD9">
        <w:t>erosurveillance</w:t>
      </w:r>
      <w:proofErr w:type="spellEnd"/>
      <w:r w:rsidR="001E4E0A" w:rsidRPr="00DD5DD9">
        <w:t xml:space="preserve"> is the term used for t</w:t>
      </w:r>
      <w:r w:rsidR="00A72FCD" w:rsidRPr="00DD5DD9">
        <w:t xml:space="preserve">esting </w:t>
      </w:r>
      <w:r w:rsidR="003C1C54" w:rsidRPr="00DD5DD9">
        <w:t xml:space="preserve">to detect antibodies to SARS-COV-2 </w:t>
      </w:r>
      <w:r w:rsidR="00A72FCD" w:rsidRPr="00DD5DD9">
        <w:t xml:space="preserve">to understand </w:t>
      </w:r>
      <w:r w:rsidR="001E4E0A" w:rsidRPr="00DD5DD9">
        <w:t xml:space="preserve">how many people have had past SARS-CoV-2 infection </w:t>
      </w:r>
      <w:r w:rsidR="00A72FCD" w:rsidRPr="00DD5DD9">
        <w:t>at the community level</w:t>
      </w:r>
      <w:r w:rsidR="001E4E0A" w:rsidRPr="00DD5DD9">
        <w:t xml:space="preserve">. This is </w:t>
      </w:r>
      <w:r w:rsidR="00A72FCD" w:rsidRPr="00DD5DD9">
        <w:t>out</w:t>
      </w:r>
      <w:r w:rsidR="00B21DF8" w:rsidRPr="00DD5DD9">
        <w:t xml:space="preserve">side the </w:t>
      </w:r>
      <w:r w:rsidR="00A72FCD" w:rsidRPr="00DD5DD9">
        <w:t>scope</w:t>
      </w:r>
      <w:r w:rsidR="00D527DE" w:rsidRPr="00DD5DD9">
        <w:t xml:space="preserve"> of this </w:t>
      </w:r>
      <w:r w:rsidR="00B21DF8" w:rsidRPr="00DD5DD9">
        <w:t xml:space="preserve">framework and is </w:t>
      </w:r>
      <w:r w:rsidR="00A72FCD" w:rsidRPr="00DD5DD9">
        <w:t xml:space="preserve">described in the </w:t>
      </w:r>
      <w:hyperlink r:id="rId20" w:history="1">
        <w:r w:rsidRPr="00DD5DD9">
          <w:rPr>
            <w:rStyle w:val="Hyperlink"/>
            <w:i/>
            <w:iCs/>
          </w:rPr>
          <w:t>Australian National Disease Surveillance Plan for COVID-19</w:t>
        </w:r>
      </w:hyperlink>
      <w:r w:rsidR="00A72FCD" w:rsidRPr="00DD5DD9">
        <w:t>.</w:t>
      </w:r>
    </w:p>
    <w:p w14:paraId="4BD8DB24" w14:textId="6B88DC6E" w:rsidR="0036419D" w:rsidRPr="00DD5DD9" w:rsidRDefault="0036419D" w:rsidP="0028691C">
      <w:pPr>
        <w:spacing w:after="0" w:line="276" w:lineRule="auto"/>
        <w:jc w:val="left"/>
      </w:pPr>
    </w:p>
    <w:p w14:paraId="3F1E4D4E" w14:textId="23482139" w:rsidR="00F701BD" w:rsidRPr="00DD5DD9" w:rsidRDefault="490F7D7B" w:rsidP="0028691C">
      <w:pPr>
        <w:pStyle w:val="Heading1"/>
      </w:pPr>
      <w:bookmarkStart w:id="17" w:name="_Toc93492868"/>
      <w:bookmarkStart w:id="18" w:name="_Toc93492869"/>
      <w:bookmarkStart w:id="19" w:name="_Toc56505890"/>
      <w:bookmarkStart w:id="20" w:name="_Toc1663909925"/>
      <w:bookmarkStart w:id="21" w:name="_Toc1037707711"/>
      <w:bookmarkStart w:id="22" w:name="_Toc93492870"/>
      <w:bookmarkEnd w:id="17"/>
      <w:bookmarkEnd w:id="18"/>
      <w:r w:rsidRPr="00DD5DD9">
        <w:t xml:space="preserve">Targeting of </w:t>
      </w:r>
      <w:r w:rsidR="6E434D46" w:rsidRPr="00DD5DD9">
        <w:t xml:space="preserve">COVID-19 </w:t>
      </w:r>
      <w:r w:rsidR="7A0877B7" w:rsidRPr="00DD5DD9">
        <w:t xml:space="preserve">testing </w:t>
      </w:r>
      <w:r w:rsidR="6E434D46" w:rsidRPr="00DD5DD9">
        <w:t>in Australia</w:t>
      </w:r>
      <w:bookmarkEnd w:id="19"/>
      <w:bookmarkEnd w:id="20"/>
      <w:bookmarkEnd w:id="21"/>
      <w:bookmarkEnd w:id="22"/>
    </w:p>
    <w:p w14:paraId="1486EF81" w14:textId="77474824" w:rsidR="00324E9E" w:rsidRPr="00DD5DD9" w:rsidRDefault="001E4E0A" w:rsidP="00F00EA6">
      <w:pPr>
        <w:tabs>
          <w:tab w:val="left" w:pos="2127"/>
        </w:tabs>
        <w:jc w:val="left"/>
      </w:pPr>
      <w:r w:rsidRPr="00DD5DD9">
        <w:t>E</w:t>
      </w:r>
      <w:r w:rsidR="006049E8" w:rsidRPr="00DD5DD9">
        <w:t>ffective, efficient</w:t>
      </w:r>
      <w:r w:rsidR="003C1C54" w:rsidRPr="00DD5DD9">
        <w:t>,</w:t>
      </w:r>
      <w:r w:rsidR="006049E8" w:rsidRPr="00DD5DD9">
        <w:t xml:space="preserve"> and equitable</w:t>
      </w:r>
      <w:r w:rsidRPr="00DD5DD9">
        <w:t xml:space="preserve"> testing needs </w:t>
      </w:r>
      <w:r w:rsidR="00324E9E" w:rsidRPr="00DD5DD9">
        <w:t xml:space="preserve">to </w:t>
      </w:r>
      <w:r w:rsidR="00AE031A" w:rsidRPr="00DD5DD9">
        <w:t>focus on</w:t>
      </w:r>
      <w:r w:rsidR="00324E9E" w:rsidRPr="00DD5DD9">
        <w:t>:</w:t>
      </w:r>
    </w:p>
    <w:p w14:paraId="0A646672" w14:textId="2DB8097A" w:rsidR="00324E9E" w:rsidRPr="00DD5DD9" w:rsidRDefault="006049E8" w:rsidP="006175FF">
      <w:pPr>
        <w:pStyle w:val="ListParagraph"/>
        <w:numPr>
          <w:ilvl w:val="0"/>
          <w:numId w:val="11"/>
        </w:numPr>
        <w:tabs>
          <w:tab w:val="left" w:pos="2127"/>
        </w:tabs>
        <w:jc w:val="left"/>
      </w:pPr>
      <w:r w:rsidRPr="00DD5DD9">
        <w:lastRenderedPageBreak/>
        <w:t>the local epidemiology</w:t>
      </w:r>
    </w:p>
    <w:p w14:paraId="7C271DF4" w14:textId="6ED150CB" w:rsidR="00324E9E" w:rsidRPr="00DD5DD9" w:rsidRDefault="005E3ED4" w:rsidP="006175FF">
      <w:pPr>
        <w:pStyle w:val="ListParagraph"/>
        <w:numPr>
          <w:ilvl w:val="0"/>
          <w:numId w:val="11"/>
        </w:numPr>
        <w:tabs>
          <w:tab w:val="left" w:pos="2127"/>
        </w:tabs>
        <w:jc w:val="left"/>
      </w:pPr>
      <w:r w:rsidRPr="00DD5DD9">
        <w:t>the community</w:t>
      </w:r>
    </w:p>
    <w:p w14:paraId="0B15C8DA" w14:textId="04A77E39" w:rsidR="00324E9E" w:rsidRPr="00DD5DD9" w:rsidRDefault="00D527DE" w:rsidP="006175FF">
      <w:pPr>
        <w:pStyle w:val="ListParagraph"/>
        <w:numPr>
          <w:ilvl w:val="0"/>
          <w:numId w:val="11"/>
        </w:numPr>
        <w:tabs>
          <w:tab w:val="left" w:pos="2127"/>
        </w:tabs>
        <w:jc w:val="left"/>
      </w:pPr>
      <w:r w:rsidRPr="00DD5DD9">
        <w:t>the public health and laboratory capacity</w:t>
      </w:r>
      <w:r w:rsidR="005E3ED4" w:rsidRPr="00DD5DD9">
        <w:t>.</w:t>
      </w:r>
    </w:p>
    <w:p w14:paraId="32CEC95F" w14:textId="26778D06" w:rsidR="006049E8" w:rsidRPr="00DD5DD9" w:rsidRDefault="005E3ED4" w:rsidP="00324E9E">
      <w:pPr>
        <w:tabs>
          <w:tab w:val="left" w:pos="2127"/>
        </w:tabs>
        <w:jc w:val="left"/>
      </w:pPr>
      <w:r w:rsidRPr="00DD5DD9">
        <w:t xml:space="preserve">The </w:t>
      </w:r>
      <w:r w:rsidR="00324E9E" w:rsidRPr="00DD5DD9">
        <w:t xml:space="preserve">testing </w:t>
      </w:r>
      <w:r w:rsidRPr="00DD5DD9">
        <w:t xml:space="preserve">approach must be </w:t>
      </w:r>
      <w:r w:rsidR="006049E8" w:rsidRPr="00DD5DD9">
        <w:t xml:space="preserve">responsive to change over time. Testing must also strike the right balance between maintaining epidemic control and protecting the sustainability of laboratory and testing site capacity. </w:t>
      </w:r>
      <w:r w:rsidR="00D00E3A" w:rsidRPr="00DD5DD9">
        <w:t>To</w:t>
      </w:r>
      <w:r w:rsidR="006049E8" w:rsidRPr="00DD5DD9">
        <w:t xml:space="preserve"> be objective-driven and sustainable, this framework outlines approaches to testing in geographical </w:t>
      </w:r>
      <w:r w:rsidR="00B43E7E" w:rsidRPr="00DD5DD9">
        <w:t xml:space="preserve">zones </w:t>
      </w:r>
      <w:r w:rsidR="006049E8" w:rsidRPr="00DD5DD9">
        <w:t xml:space="preserve">categorised according to </w:t>
      </w:r>
      <w:r w:rsidR="00DB39BA" w:rsidRPr="00DD5DD9">
        <w:t xml:space="preserve">four </w:t>
      </w:r>
      <w:r w:rsidR="00CA1E16" w:rsidRPr="00DD5DD9">
        <w:t xml:space="preserve">epidemiological contexts, </w:t>
      </w:r>
      <w:r w:rsidR="00BE084D" w:rsidRPr="00DD5DD9">
        <w:t xml:space="preserve">referred to as </w:t>
      </w:r>
      <w:r w:rsidR="00CA1E16" w:rsidRPr="00DD5DD9">
        <w:t>‘Epidemiological Zones’</w:t>
      </w:r>
      <w:r w:rsidR="006049E8" w:rsidRPr="00DD5DD9">
        <w:t xml:space="preserve">. Testing approaches for each </w:t>
      </w:r>
      <w:r w:rsidR="00B43E7E" w:rsidRPr="00DD5DD9">
        <w:t xml:space="preserve">Epidemiological </w:t>
      </w:r>
      <w:r w:rsidR="00890818" w:rsidRPr="00DD5DD9">
        <w:t>Zone</w:t>
      </w:r>
      <w:r w:rsidR="006049E8" w:rsidRPr="00DD5DD9">
        <w:t>, outlined below, focus on:</w:t>
      </w:r>
    </w:p>
    <w:p w14:paraId="42101176" w14:textId="5369DCFF" w:rsidR="006049E8" w:rsidRPr="00DD5DD9" w:rsidRDefault="00890818" w:rsidP="005244D4">
      <w:pPr>
        <w:pStyle w:val="ListParagraph"/>
        <w:numPr>
          <w:ilvl w:val="0"/>
          <w:numId w:val="11"/>
        </w:numPr>
        <w:tabs>
          <w:tab w:val="left" w:pos="2127"/>
        </w:tabs>
        <w:jc w:val="left"/>
      </w:pPr>
      <w:r w:rsidRPr="00DD5DD9">
        <w:t>p</w:t>
      </w:r>
      <w:r w:rsidR="006049E8" w:rsidRPr="00DD5DD9">
        <w:t>riorit</w:t>
      </w:r>
      <w:r w:rsidRPr="00DD5DD9">
        <w:t>is</w:t>
      </w:r>
      <w:r w:rsidR="004B1091" w:rsidRPr="00DD5DD9">
        <w:t xml:space="preserve">ing </w:t>
      </w:r>
      <w:r w:rsidR="006049E8" w:rsidRPr="00DD5DD9">
        <w:t xml:space="preserve">groups for testing </w:t>
      </w:r>
      <w:r w:rsidR="00F701BD" w:rsidRPr="00DD5DD9">
        <w:t xml:space="preserve">based on greatest risk </w:t>
      </w:r>
      <w:r w:rsidR="00D76E43" w:rsidRPr="00DD5DD9">
        <w:t xml:space="preserve">(Section </w:t>
      </w:r>
      <w:r w:rsidR="0036419D" w:rsidRPr="00DD5DD9">
        <w:t>3</w:t>
      </w:r>
      <w:r w:rsidR="00D76E43" w:rsidRPr="00DD5DD9">
        <w:t>)</w:t>
      </w:r>
    </w:p>
    <w:p w14:paraId="54C8059B" w14:textId="59BE0FB1" w:rsidR="00890818" w:rsidRPr="00DD5DD9" w:rsidRDefault="00890818" w:rsidP="005244D4">
      <w:pPr>
        <w:pStyle w:val="ListParagraph"/>
        <w:numPr>
          <w:ilvl w:val="0"/>
          <w:numId w:val="11"/>
        </w:numPr>
        <w:tabs>
          <w:tab w:val="left" w:pos="2127"/>
        </w:tabs>
        <w:jc w:val="left"/>
      </w:pPr>
      <w:r w:rsidRPr="00DD5DD9">
        <w:t>adopt</w:t>
      </w:r>
      <w:r w:rsidR="004B1091" w:rsidRPr="00DD5DD9">
        <w:t xml:space="preserve">ing </w:t>
      </w:r>
      <w:r w:rsidR="006049E8" w:rsidRPr="00DD5DD9">
        <w:t>relevant testing methodologies and technologies</w:t>
      </w:r>
      <w:r w:rsidR="00F701BD" w:rsidRPr="00DD5DD9">
        <w:t xml:space="preserve"> </w:t>
      </w:r>
      <w:r w:rsidR="00BE084D" w:rsidRPr="00DD5DD9">
        <w:t xml:space="preserve">that </w:t>
      </w:r>
      <w:r w:rsidR="00F701BD" w:rsidRPr="00DD5DD9">
        <w:t>best suit the epidemiological context</w:t>
      </w:r>
      <w:r w:rsidR="00D76E43" w:rsidRPr="00DD5DD9">
        <w:t xml:space="preserve"> (Section </w:t>
      </w:r>
      <w:r w:rsidR="00581606" w:rsidRPr="00DD5DD9">
        <w:t>4</w:t>
      </w:r>
      <w:r w:rsidR="00D76E43" w:rsidRPr="00DD5DD9">
        <w:t>)</w:t>
      </w:r>
      <w:r w:rsidR="006049E8" w:rsidRPr="00DD5DD9">
        <w:t>.</w:t>
      </w:r>
    </w:p>
    <w:p w14:paraId="731D3859" w14:textId="6B6CD4DC" w:rsidR="00661374" w:rsidRPr="00DD5DD9" w:rsidRDefault="7120A826" w:rsidP="00F00EA6">
      <w:pPr>
        <w:tabs>
          <w:tab w:val="left" w:pos="2127"/>
        </w:tabs>
        <w:jc w:val="left"/>
      </w:pPr>
      <w:r w:rsidRPr="00DD5DD9">
        <w:t>S</w:t>
      </w:r>
      <w:r w:rsidR="48D88271" w:rsidRPr="00DD5DD9">
        <w:t xml:space="preserve">tate and territory </w:t>
      </w:r>
      <w:r w:rsidR="64842687" w:rsidRPr="00DD5DD9">
        <w:t xml:space="preserve">governments </w:t>
      </w:r>
      <w:r w:rsidR="48D88271" w:rsidRPr="00DD5DD9">
        <w:t xml:space="preserve">should consider the </w:t>
      </w:r>
      <w:r w:rsidR="45AE223D" w:rsidRPr="00DD5DD9">
        <w:t>best</w:t>
      </w:r>
      <w:r w:rsidR="48D88271" w:rsidRPr="00DD5DD9">
        <w:t xml:space="preserve"> distribution of testing in their own context, </w:t>
      </w:r>
      <w:r w:rsidR="45AE223D" w:rsidRPr="00DD5DD9">
        <w:t>for</w:t>
      </w:r>
      <w:r w:rsidR="48D88271" w:rsidRPr="00DD5DD9">
        <w:t xml:space="preserve"> the </w:t>
      </w:r>
      <w:r w:rsidRPr="00DD5DD9">
        <w:t xml:space="preserve">identified </w:t>
      </w:r>
      <w:r w:rsidR="48D88271" w:rsidRPr="00DD5DD9">
        <w:t>priority groups.</w:t>
      </w:r>
    </w:p>
    <w:p w14:paraId="355B5454" w14:textId="492EFAC6" w:rsidR="00D00E3A" w:rsidRPr="00DD5DD9" w:rsidRDefault="74B5346D" w:rsidP="005F403F">
      <w:pPr>
        <w:tabs>
          <w:tab w:val="left" w:pos="2127"/>
        </w:tabs>
        <w:jc w:val="left"/>
      </w:pPr>
      <w:r w:rsidRPr="00DD5DD9">
        <w:t xml:space="preserve">On 30 July 2021, National Cabinet agreed to a plan to transition Australia’s National COVID-19 </w:t>
      </w:r>
      <w:r w:rsidR="18AB0A4D" w:rsidRPr="00DD5DD9">
        <w:t>r</w:t>
      </w:r>
      <w:r w:rsidRPr="00DD5DD9">
        <w:t xml:space="preserve">esponse from </w:t>
      </w:r>
      <w:r w:rsidR="7CAEA6F2" w:rsidRPr="00DD5DD9">
        <w:t>a</w:t>
      </w:r>
      <w:r w:rsidRPr="00DD5DD9">
        <w:t xml:space="preserve"> pre</w:t>
      </w:r>
      <w:r w:rsidR="18AB0A4D" w:rsidRPr="00DD5DD9">
        <w:t>-</w:t>
      </w:r>
      <w:r w:rsidRPr="00DD5DD9">
        <w:t xml:space="preserve">vaccination setting, </w:t>
      </w:r>
      <w:r w:rsidR="18AB0A4D" w:rsidRPr="00DD5DD9">
        <w:t>focused</w:t>
      </w:r>
      <w:r w:rsidRPr="00DD5DD9">
        <w:t xml:space="preserve"> on continued suppression of community transmission</w:t>
      </w:r>
      <w:r w:rsidR="18AB0A4D" w:rsidRPr="00DD5DD9">
        <w:t>,</w:t>
      </w:r>
      <w:r w:rsidRPr="00DD5DD9">
        <w:t xml:space="preserve"> to </w:t>
      </w:r>
      <w:r w:rsidR="18AB0A4D" w:rsidRPr="00DD5DD9">
        <w:t xml:space="preserve">a </w:t>
      </w:r>
      <w:r w:rsidRPr="00DD5DD9">
        <w:t>post</w:t>
      </w:r>
      <w:r w:rsidR="18AB0A4D" w:rsidRPr="00DD5DD9">
        <w:t>-</w:t>
      </w:r>
      <w:r w:rsidRPr="00DD5DD9">
        <w:t xml:space="preserve">vaccination setting focused on </w:t>
      </w:r>
      <w:r w:rsidR="45AE223D" w:rsidRPr="00DD5DD9">
        <w:t>preventing</w:t>
      </w:r>
      <w:r w:rsidRPr="00DD5DD9">
        <w:t xml:space="preserve"> serious illness, hospitalisation and fatality</w:t>
      </w:r>
      <w:r w:rsidR="005F403F" w:rsidRPr="00DD5DD9">
        <w:t xml:space="preserve"> consistent with public health management of other infectious diseases</w:t>
      </w:r>
      <w:r w:rsidRPr="00DD5DD9">
        <w:t xml:space="preserve">. State and territory </w:t>
      </w:r>
      <w:r w:rsidR="55A340CF" w:rsidRPr="00DD5DD9">
        <w:t xml:space="preserve">governments </w:t>
      </w:r>
      <w:r w:rsidRPr="00DD5DD9">
        <w:t xml:space="preserve">should also consider the </w:t>
      </w:r>
      <w:r w:rsidR="45AE223D" w:rsidRPr="00DD5DD9">
        <w:t>best</w:t>
      </w:r>
      <w:r w:rsidRPr="00DD5DD9">
        <w:t xml:space="preserve"> testing strategy in the context of this plan.</w:t>
      </w:r>
    </w:p>
    <w:p w14:paraId="416B8ADD" w14:textId="3F120FD1" w:rsidR="00D76E43" w:rsidRPr="00DD5DD9" w:rsidRDefault="00246980" w:rsidP="00D76E43">
      <w:pPr>
        <w:tabs>
          <w:tab w:val="left" w:pos="2127"/>
        </w:tabs>
        <w:jc w:val="left"/>
      </w:pPr>
      <w:r w:rsidRPr="00DD5DD9">
        <w:t>A</w:t>
      </w:r>
      <w:r w:rsidR="5DA5A7DF" w:rsidRPr="00DD5DD9">
        <w:t xml:space="preserve">s the pandemic evolves, new diagnostic testing technologies for SARS-CoV-2 </w:t>
      </w:r>
      <w:r w:rsidR="609A64FF" w:rsidRPr="00DD5DD9">
        <w:t>continue to emerge</w:t>
      </w:r>
      <w:r w:rsidR="5DA5A7DF" w:rsidRPr="00DD5DD9">
        <w:t xml:space="preserve"> in the domestic and international markets. </w:t>
      </w:r>
      <w:r w:rsidR="7120A826" w:rsidRPr="00DD5DD9">
        <w:t>This</w:t>
      </w:r>
      <w:r w:rsidR="5DA5A7DF" w:rsidRPr="00DD5DD9">
        <w:t xml:space="preserve"> offers Australia the opportunity to </w:t>
      </w:r>
      <w:r w:rsidR="208699A1" w:rsidRPr="00DD5DD9">
        <w:t xml:space="preserve">investigate </w:t>
      </w:r>
      <w:r w:rsidR="5DA5A7DF" w:rsidRPr="00DD5DD9">
        <w:t>testing strategies that may complement gold standard laboratory-based methods.</w:t>
      </w:r>
      <w:r w:rsidR="0B706CB1" w:rsidRPr="00DD5DD9">
        <w:t xml:space="preserve"> Information and guidance on new testing technology will </w:t>
      </w:r>
      <w:r w:rsidR="309726F2" w:rsidRPr="00DD5DD9">
        <w:t xml:space="preserve">continue to </w:t>
      </w:r>
      <w:r w:rsidR="0B706CB1" w:rsidRPr="00DD5DD9">
        <w:t>be included in future revisions of this document as evidence emerges.</w:t>
      </w:r>
    </w:p>
    <w:p w14:paraId="55BB27D6" w14:textId="5D3953CB" w:rsidR="00D76E43" w:rsidRPr="00DD5DD9" w:rsidRDefault="67EDDE52" w:rsidP="00D76E43">
      <w:pPr>
        <w:tabs>
          <w:tab w:val="left" w:pos="2127"/>
        </w:tabs>
        <w:jc w:val="left"/>
      </w:pPr>
      <w:r w:rsidRPr="00DD5DD9">
        <w:t xml:space="preserve">PHLN </w:t>
      </w:r>
      <w:r w:rsidR="351E375A" w:rsidRPr="00DD5DD9">
        <w:t>and CDNA</w:t>
      </w:r>
      <w:r w:rsidR="1DFBE178" w:rsidRPr="00DD5DD9">
        <w:t xml:space="preserve"> </w:t>
      </w:r>
      <w:r w:rsidR="000413C4" w:rsidRPr="00DD5DD9">
        <w:t xml:space="preserve">members </w:t>
      </w:r>
      <w:r w:rsidR="1DFBE178" w:rsidRPr="00DD5DD9">
        <w:t>continue to</w:t>
      </w:r>
      <w:r w:rsidRPr="00DD5DD9">
        <w:t xml:space="preserve"> </w:t>
      </w:r>
      <w:r w:rsidR="2CE33A56" w:rsidRPr="00DD5DD9">
        <w:t>give</w:t>
      </w:r>
      <w:r w:rsidRPr="00DD5DD9">
        <w:t xml:space="preserve"> evidence-based strategic advice on the role and options for use of emerging testing technology to inform Australia’s testing strategy for COVID-19. </w:t>
      </w:r>
      <w:r w:rsidR="5050E354" w:rsidRPr="00DD5DD9">
        <w:t>These advisory groups consider the public health opportunities and the technical benefits and limitations of devices designed to diagnose SARS-CoV-2 infection. Provision of this advice assists to minimise inappropriate use of devices by health or non-health sector users.</w:t>
      </w:r>
    </w:p>
    <w:p w14:paraId="6A7C05C1" w14:textId="7A0A9128" w:rsidR="005F403F" w:rsidRPr="00DD5DD9" w:rsidRDefault="005F403F" w:rsidP="005F403F">
      <w:pPr>
        <w:tabs>
          <w:tab w:val="left" w:pos="2127"/>
        </w:tabs>
        <w:jc w:val="left"/>
      </w:pPr>
      <w:r w:rsidRPr="00DD5DD9">
        <w:t xml:space="preserve">Section </w:t>
      </w:r>
      <w:r w:rsidRPr="00B82371">
        <w:fldChar w:fldCharType="begin"/>
      </w:r>
      <w:r w:rsidRPr="00DD5DD9">
        <w:instrText xml:space="preserve"> REF _Ref56509347 \r \h  \* MERGEFORMAT </w:instrText>
      </w:r>
      <w:r w:rsidRPr="00B82371">
        <w:fldChar w:fldCharType="separate"/>
      </w:r>
      <w:r w:rsidRPr="00DD5DD9">
        <w:t>7</w:t>
      </w:r>
      <w:r w:rsidRPr="00B82371">
        <w:fldChar w:fldCharType="end"/>
      </w:r>
      <w:r w:rsidRPr="00DD5DD9">
        <w:t xml:space="preserve"> outlines data collection requirements to understand the amount of testing being done. Section </w:t>
      </w:r>
      <w:r w:rsidRPr="00B82371">
        <w:fldChar w:fldCharType="begin"/>
      </w:r>
      <w:r w:rsidRPr="00DD5DD9">
        <w:instrText xml:space="preserve"> REF _Ref56509379 \r \h </w:instrText>
      </w:r>
      <w:r w:rsidRPr="00C229FD">
        <w:instrText xml:space="preserve"> \* MERGEFORMAT </w:instrText>
      </w:r>
      <w:r w:rsidRPr="00B82371">
        <w:fldChar w:fldCharType="separate"/>
      </w:r>
      <w:r w:rsidRPr="00DD5DD9">
        <w:t>8</w:t>
      </w:r>
      <w:r w:rsidRPr="00B82371">
        <w:fldChar w:fldCharType="end"/>
      </w:r>
      <w:r w:rsidRPr="00DD5DD9">
        <w:t xml:space="preserve"> describes the main enablers to testing.</w:t>
      </w:r>
    </w:p>
    <w:p w14:paraId="62A9D976" w14:textId="5AFB1CEE" w:rsidR="0098527A" w:rsidRPr="00DD5DD9" w:rsidRDefault="008E19A8" w:rsidP="00382100">
      <w:pPr>
        <w:tabs>
          <w:tab w:val="left" w:pos="2127"/>
        </w:tabs>
        <w:spacing w:after="0"/>
        <w:jc w:val="left"/>
      </w:pPr>
      <w:r w:rsidRPr="00DD5DD9">
        <w:t>Annex A contains t</w:t>
      </w:r>
      <w:r w:rsidR="00D76E43" w:rsidRPr="00DD5DD9">
        <w:t xml:space="preserve">echnical guidance on </w:t>
      </w:r>
      <w:r w:rsidRPr="00DD5DD9">
        <w:t xml:space="preserve">applying </w:t>
      </w:r>
      <w:r w:rsidR="00D76E43" w:rsidRPr="00DD5DD9">
        <w:t>emerging SARS-CoV-2 testing techn</w:t>
      </w:r>
      <w:r w:rsidR="007100DC" w:rsidRPr="00DD5DD9">
        <w:t>ology in Australia</w:t>
      </w:r>
      <w:r w:rsidR="00D76E43" w:rsidRPr="00DD5DD9">
        <w:t xml:space="preserve">. </w:t>
      </w:r>
      <w:r w:rsidR="00A71C41" w:rsidRPr="00DD5DD9">
        <w:t>Health and non-health sector industry groups</w:t>
      </w:r>
      <w:r w:rsidR="001B6F7E" w:rsidRPr="00DD5DD9">
        <w:t xml:space="preserve"> that do not have expertise </w:t>
      </w:r>
      <w:r w:rsidR="00D76E43" w:rsidRPr="00DD5DD9">
        <w:t xml:space="preserve">should seek expert public health </w:t>
      </w:r>
      <w:r w:rsidR="00A71C41" w:rsidRPr="00DD5DD9">
        <w:t xml:space="preserve">authority </w:t>
      </w:r>
      <w:r w:rsidR="00D76E43" w:rsidRPr="00DD5DD9">
        <w:t>advice prior to their use.</w:t>
      </w:r>
    </w:p>
    <w:p w14:paraId="6E91C9C6" w14:textId="77777777" w:rsidR="0098527A" w:rsidRPr="00DD5DD9" w:rsidRDefault="0098527A" w:rsidP="00382100">
      <w:pPr>
        <w:tabs>
          <w:tab w:val="left" w:pos="2127"/>
        </w:tabs>
        <w:spacing w:after="0"/>
        <w:jc w:val="left"/>
      </w:pPr>
    </w:p>
    <w:p w14:paraId="42F67FC2" w14:textId="39D1C294" w:rsidR="0098527A" w:rsidRPr="00DD5DD9" w:rsidRDefault="0098527A" w:rsidP="0098527A">
      <w:pPr>
        <w:pStyle w:val="Heading1"/>
      </w:pPr>
      <w:bookmarkStart w:id="23" w:name="_Toc93492871"/>
      <w:r w:rsidRPr="00DD5DD9">
        <w:t xml:space="preserve">Testing priorities by Epidemiological Zone </w:t>
      </w:r>
      <w:r w:rsidR="00A35AE5" w:rsidRPr="00DD5DD9">
        <w:t>and Priority Group</w:t>
      </w:r>
      <w:bookmarkEnd w:id="23"/>
    </w:p>
    <w:p w14:paraId="5D7DAD5F" w14:textId="595D5698" w:rsidR="006A53C9" w:rsidRDefault="0098527A" w:rsidP="00C229FD">
      <w:pPr>
        <w:sectPr w:rsidR="006A53C9" w:rsidSect="00E02D74">
          <w:footerReference w:type="default" r:id="rId21"/>
          <w:headerReference w:type="first" r:id="rId22"/>
          <w:pgSz w:w="11906" w:h="16838"/>
          <w:pgMar w:top="1440" w:right="1440" w:bottom="992" w:left="1440" w:header="709" w:footer="709" w:gutter="0"/>
          <w:cols w:space="708"/>
          <w:docGrid w:linePitch="360"/>
        </w:sectPr>
      </w:pPr>
      <w:r w:rsidRPr="00DD5DD9">
        <w:t>Broadly defined Epidemiological Zones</w:t>
      </w:r>
      <w:r w:rsidR="00AE6C73" w:rsidRPr="00DD5DD9">
        <w:t xml:space="preserve"> are described in this framework to</w:t>
      </w:r>
      <w:r w:rsidRPr="00DD5DD9">
        <w:t xml:space="preserve"> guide jurisdictions on testing approaches to meet the relevant public health aims. There may be more than one Epidemiological Zone occurring at the same time in a jurisdiction. This requires different, localised approaches to testing and consideration of local vaccination rates. </w:t>
      </w:r>
      <w:r w:rsidR="00E44FB1" w:rsidRPr="00DD5DD9">
        <w:t>A summary of testing prioritisation is at Table 1, with each Epidemiological Zone addressed in more detail in the sections below.</w:t>
      </w:r>
    </w:p>
    <w:p w14:paraId="74E8BEB3" w14:textId="4FB4D9B9" w:rsidR="000256B1" w:rsidRPr="00DD5DD9" w:rsidRDefault="6D4EB3DA" w:rsidP="008A5B87">
      <w:pPr>
        <w:rPr>
          <w:b/>
          <w:bCs/>
        </w:rPr>
      </w:pPr>
      <w:r w:rsidRPr="00DD5DD9">
        <w:rPr>
          <w:b/>
          <w:bCs/>
        </w:rPr>
        <w:lastRenderedPageBreak/>
        <w:t>Table 1. Summary of testing prioriti</w:t>
      </w:r>
      <w:r w:rsidR="6500E096" w:rsidRPr="00DD5DD9">
        <w:rPr>
          <w:b/>
          <w:bCs/>
        </w:rPr>
        <w:t>e</w:t>
      </w:r>
      <w:r w:rsidRPr="00DD5DD9">
        <w:rPr>
          <w:b/>
          <w:bCs/>
        </w:rPr>
        <w:t xml:space="preserve">s by </w:t>
      </w:r>
      <w:r w:rsidR="4E649D7D" w:rsidRPr="00DD5DD9">
        <w:rPr>
          <w:b/>
          <w:bCs/>
        </w:rPr>
        <w:t>E</w:t>
      </w:r>
      <w:r w:rsidRPr="00DD5DD9">
        <w:rPr>
          <w:b/>
          <w:bCs/>
        </w:rPr>
        <w:t>pidemiological Zone</w:t>
      </w:r>
      <w:r w:rsidR="00A35AE5" w:rsidRPr="00DD5DD9">
        <w:rPr>
          <w:rStyle w:val="FootnoteReference"/>
          <w:b/>
          <w:bCs/>
        </w:rPr>
        <w:footnoteReference w:id="2"/>
      </w:r>
    </w:p>
    <w:tbl>
      <w:tblPr>
        <w:tblStyle w:val="TableGrid"/>
        <w:tblW w:w="14410" w:type="dxa"/>
        <w:tblLook w:val="04A0" w:firstRow="1" w:lastRow="0" w:firstColumn="1" w:lastColumn="0" w:noHBand="0" w:noVBand="1"/>
      </w:tblPr>
      <w:tblGrid>
        <w:gridCol w:w="1555"/>
        <w:gridCol w:w="3213"/>
        <w:gridCol w:w="3214"/>
        <w:gridCol w:w="3214"/>
        <w:gridCol w:w="3214"/>
      </w:tblGrid>
      <w:tr w:rsidR="001B3F79" w:rsidRPr="00DD5DD9" w14:paraId="209AA070" w14:textId="0A8DFD40" w:rsidTr="008A5B87">
        <w:trPr>
          <w:trHeight w:val="523"/>
          <w:tblHeader/>
        </w:trPr>
        <w:tc>
          <w:tcPr>
            <w:tcW w:w="1555" w:type="dxa"/>
          </w:tcPr>
          <w:p w14:paraId="64C83825" w14:textId="5A3CE707" w:rsidR="001B3F79" w:rsidRPr="00DD5DD9" w:rsidRDefault="001B3F79" w:rsidP="00A77919">
            <w:pPr>
              <w:rPr>
                <w:b/>
                <w:color w:val="1F497D" w:themeColor="text2"/>
                <w:sz w:val="18"/>
                <w:szCs w:val="18"/>
              </w:rPr>
            </w:pPr>
            <w:r w:rsidRPr="00DD5DD9">
              <w:rPr>
                <w:b/>
                <w:color w:val="1F497D" w:themeColor="text2"/>
                <w:sz w:val="18"/>
                <w:szCs w:val="18"/>
              </w:rPr>
              <w:t>Priority Group</w:t>
            </w:r>
          </w:p>
        </w:tc>
        <w:tc>
          <w:tcPr>
            <w:tcW w:w="3213" w:type="dxa"/>
          </w:tcPr>
          <w:p w14:paraId="701EC00D" w14:textId="33C6C9A4" w:rsidR="001B3F79" w:rsidRPr="00DD5DD9" w:rsidRDefault="001B3F79" w:rsidP="00B16FA8">
            <w:pPr>
              <w:jc w:val="center"/>
              <w:rPr>
                <w:b/>
                <w:color w:val="1F497D" w:themeColor="text2"/>
                <w:sz w:val="18"/>
                <w:szCs w:val="18"/>
              </w:rPr>
            </w:pPr>
            <w:r w:rsidRPr="00DD5DD9">
              <w:rPr>
                <w:b/>
                <w:color w:val="1F497D" w:themeColor="text2"/>
                <w:sz w:val="18"/>
                <w:szCs w:val="18"/>
              </w:rPr>
              <w:t xml:space="preserve">Epidemiological Zone 1 </w:t>
            </w:r>
            <w:r w:rsidRPr="00DD5DD9">
              <w:rPr>
                <w:b/>
                <w:color w:val="1F497D" w:themeColor="text2"/>
                <w:sz w:val="18"/>
                <w:szCs w:val="18"/>
              </w:rPr>
              <w:br/>
              <w:t>No community transmission</w:t>
            </w:r>
          </w:p>
        </w:tc>
        <w:tc>
          <w:tcPr>
            <w:tcW w:w="3214" w:type="dxa"/>
          </w:tcPr>
          <w:p w14:paraId="66BAA00A" w14:textId="4EB94062" w:rsidR="001B3F79" w:rsidRPr="00DD5DD9" w:rsidRDefault="001B3F79" w:rsidP="00B16FA8">
            <w:pPr>
              <w:jc w:val="center"/>
              <w:rPr>
                <w:b/>
                <w:color w:val="1F497D" w:themeColor="text2"/>
                <w:sz w:val="18"/>
                <w:szCs w:val="18"/>
              </w:rPr>
            </w:pPr>
            <w:r w:rsidRPr="00DD5DD9">
              <w:rPr>
                <w:b/>
                <w:color w:val="1F497D" w:themeColor="text2"/>
                <w:sz w:val="18"/>
                <w:szCs w:val="18"/>
              </w:rPr>
              <w:t>Epidemiological Zone 2 Community transmission</w:t>
            </w:r>
          </w:p>
        </w:tc>
        <w:tc>
          <w:tcPr>
            <w:tcW w:w="3214" w:type="dxa"/>
          </w:tcPr>
          <w:p w14:paraId="77169D6A" w14:textId="438A6AEA" w:rsidR="001B3F79" w:rsidRPr="00DD5DD9" w:rsidRDefault="001B3F79" w:rsidP="006903E4">
            <w:pPr>
              <w:jc w:val="center"/>
              <w:rPr>
                <w:b/>
                <w:color w:val="1F497D" w:themeColor="text2"/>
                <w:sz w:val="18"/>
                <w:szCs w:val="18"/>
              </w:rPr>
            </w:pPr>
            <w:r w:rsidRPr="00DD5DD9">
              <w:rPr>
                <w:b/>
                <w:color w:val="1F497D" w:themeColor="text2"/>
                <w:sz w:val="18"/>
                <w:szCs w:val="18"/>
              </w:rPr>
              <w:t>Epidemiological Zone 3 Community transmission placing burden on response capacity</w:t>
            </w:r>
          </w:p>
        </w:tc>
        <w:tc>
          <w:tcPr>
            <w:tcW w:w="3214" w:type="dxa"/>
          </w:tcPr>
          <w:p w14:paraId="043930CF" w14:textId="78A0A6AF" w:rsidR="001B3F79" w:rsidRPr="00DD5DD9" w:rsidRDefault="007039E4" w:rsidP="006903E4">
            <w:pPr>
              <w:jc w:val="center"/>
              <w:rPr>
                <w:b/>
                <w:color w:val="1F497D" w:themeColor="text2"/>
                <w:sz w:val="18"/>
                <w:szCs w:val="18"/>
              </w:rPr>
            </w:pPr>
            <w:r w:rsidRPr="00DD5DD9">
              <w:rPr>
                <w:b/>
                <w:color w:val="1F497D" w:themeColor="text2"/>
                <w:sz w:val="18"/>
                <w:szCs w:val="18"/>
              </w:rPr>
              <w:t>Epidemiological Zone 4 Community transmission exceeds response capacity</w:t>
            </w:r>
          </w:p>
        </w:tc>
      </w:tr>
      <w:tr w:rsidR="001B3F79" w:rsidRPr="00DD5DD9" w14:paraId="1FA6A15D" w14:textId="21121D4A" w:rsidTr="008A5B87">
        <w:trPr>
          <w:trHeight w:val="995"/>
        </w:trPr>
        <w:tc>
          <w:tcPr>
            <w:tcW w:w="1555" w:type="dxa"/>
          </w:tcPr>
          <w:p w14:paraId="6709A561" w14:textId="35038EF7" w:rsidR="001B3F79" w:rsidRPr="00DD5DD9" w:rsidRDefault="001B3F79" w:rsidP="008A5B87">
            <w:pPr>
              <w:jc w:val="left"/>
              <w:rPr>
                <w:b/>
                <w:color w:val="1F497D" w:themeColor="text2"/>
                <w:sz w:val="18"/>
                <w:szCs w:val="18"/>
              </w:rPr>
            </w:pPr>
            <w:r w:rsidRPr="00DD5DD9">
              <w:rPr>
                <w:b/>
                <w:color w:val="1F497D" w:themeColor="text2"/>
                <w:sz w:val="18"/>
                <w:szCs w:val="18"/>
              </w:rPr>
              <w:t>1. People with COVID-19 compatible symptoms</w:t>
            </w:r>
          </w:p>
        </w:tc>
        <w:tc>
          <w:tcPr>
            <w:tcW w:w="3213" w:type="dxa"/>
          </w:tcPr>
          <w:p w14:paraId="4C848FEC" w14:textId="26EDE8D9" w:rsidR="001B3F79" w:rsidRPr="00DD5DD9" w:rsidRDefault="001B3F79" w:rsidP="00A77919">
            <w:pPr>
              <w:rPr>
                <w:sz w:val="18"/>
                <w:szCs w:val="18"/>
              </w:rPr>
            </w:pPr>
            <w:r w:rsidRPr="00DD5DD9">
              <w:rPr>
                <w:sz w:val="18"/>
                <w:szCs w:val="18"/>
              </w:rPr>
              <w:t>High priority.</w:t>
            </w:r>
          </w:p>
          <w:p w14:paraId="781A5905" w14:textId="7925A6D4" w:rsidR="001B3F79" w:rsidRPr="00DD5DD9" w:rsidRDefault="04996BD2" w:rsidP="0B9EBA93">
            <w:pPr>
              <w:jc w:val="left"/>
              <w:rPr>
                <w:sz w:val="18"/>
                <w:szCs w:val="18"/>
              </w:rPr>
            </w:pPr>
            <w:r w:rsidRPr="00DD5DD9">
              <w:rPr>
                <w:sz w:val="18"/>
                <w:szCs w:val="18"/>
              </w:rPr>
              <w:t xml:space="preserve">Particularly important to test patients </w:t>
            </w:r>
            <w:r w:rsidR="0098527A" w:rsidRPr="00DD5DD9">
              <w:rPr>
                <w:sz w:val="18"/>
                <w:szCs w:val="18"/>
              </w:rPr>
              <w:t xml:space="preserve">by </w:t>
            </w:r>
            <w:r w:rsidR="009A5866" w:rsidRPr="00DD5DD9">
              <w:rPr>
                <w:sz w:val="18"/>
                <w:szCs w:val="18"/>
              </w:rPr>
              <w:t>gold standard</w:t>
            </w:r>
            <w:r w:rsidR="004C4341" w:rsidRPr="00DD5DD9">
              <w:rPr>
                <w:sz w:val="18"/>
                <w:szCs w:val="18"/>
              </w:rPr>
              <w:t xml:space="preserve"> nucleic acid amplification (</w:t>
            </w:r>
            <w:r w:rsidR="0098527A" w:rsidRPr="00DD5DD9">
              <w:rPr>
                <w:sz w:val="18"/>
                <w:szCs w:val="18"/>
              </w:rPr>
              <w:t>NAA</w:t>
            </w:r>
            <w:r w:rsidR="004C4341" w:rsidRPr="00DD5DD9">
              <w:rPr>
                <w:sz w:val="18"/>
                <w:szCs w:val="18"/>
              </w:rPr>
              <w:t>)</w:t>
            </w:r>
            <w:r w:rsidR="0098527A" w:rsidRPr="00DD5DD9">
              <w:rPr>
                <w:sz w:val="18"/>
                <w:szCs w:val="18"/>
              </w:rPr>
              <w:t xml:space="preserve"> </w:t>
            </w:r>
            <w:r w:rsidR="004C4341" w:rsidRPr="00DD5DD9">
              <w:rPr>
                <w:sz w:val="18"/>
                <w:szCs w:val="18"/>
              </w:rPr>
              <w:t xml:space="preserve">testing </w:t>
            </w:r>
            <w:r w:rsidR="0098527A" w:rsidRPr="00DD5DD9">
              <w:rPr>
                <w:sz w:val="18"/>
                <w:szCs w:val="18"/>
              </w:rPr>
              <w:t xml:space="preserve">who </w:t>
            </w:r>
            <w:r w:rsidRPr="00DD5DD9">
              <w:rPr>
                <w:sz w:val="18"/>
                <w:szCs w:val="18"/>
              </w:rPr>
              <w:t>present to hospital with pneumonia or acute respiratory infection.</w:t>
            </w:r>
          </w:p>
        </w:tc>
        <w:tc>
          <w:tcPr>
            <w:tcW w:w="3214" w:type="dxa"/>
          </w:tcPr>
          <w:p w14:paraId="2C006DA2" w14:textId="77777777" w:rsidR="001B3F79" w:rsidRPr="00DD5DD9" w:rsidRDefault="001B3F79" w:rsidP="00E36034">
            <w:pPr>
              <w:rPr>
                <w:sz w:val="18"/>
                <w:szCs w:val="18"/>
              </w:rPr>
            </w:pPr>
            <w:r w:rsidRPr="00DD5DD9">
              <w:rPr>
                <w:sz w:val="18"/>
                <w:szCs w:val="18"/>
              </w:rPr>
              <w:t>High priority.</w:t>
            </w:r>
          </w:p>
          <w:p w14:paraId="79FAE1C5" w14:textId="77777777" w:rsidR="001B3F79" w:rsidRPr="00DD5DD9" w:rsidRDefault="001B3F79" w:rsidP="00F43FF6">
            <w:pPr>
              <w:jc w:val="left"/>
              <w:rPr>
                <w:sz w:val="18"/>
                <w:szCs w:val="18"/>
              </w:rPr>
            </w:pPr>
            <w:r w:rsidRPr="00DD5DD9">
              <w:rPr>
                <w:sz w:val="18"/>
                <w:szCs w:val="18"/>
              </w:rPr>
              <w:t>Particularly important to promote in areas where there may be concern for potentially undetected chains of transmission.</w:t>
            </w:r>
          </w:p>
          <w:p w14:paraId="25D60C67" w14:textId="6067031C" w:rsidR="004C4341" w:rsidRPr="00DD5DD9" w:rsidRDefault="004C4341" w:rsidP="00F43FF6">
            <w:pPr>
              <w:jc w:val="left"/>
              <w:rPr>
                <w:sz w:val="18"/>
                <w:szCs w:val="18"/>
              </w:rPr>
            </w:pPr>
            <w:r w:rsidRPr="00DD5DD9">
              <w:rPr>
                <w:sz w:val="18"/>
                <w:szCs w:val="18"/>
              </w:rPr>
              <w:t xml:space="preserve">In this epidemiological context, use the </w:t>
            </w:r>
            <w:r w:rsidR="009A5866" w:rsidRPr="00DD5DD9">
              <w:rPr>
                <w:sz w:val="18"/>
                <w:szCs w:val="18"/>
              </w:rPr>
              <w:t>gold standard</w:t>
            </w:r>
            <w:r w:rsidRPr="00DD5DD9">
              <w:rPr>
                <w:sz w:val="18"/>
                <w:szCs w:val="18"/>
              </w:rPr>
              <w:t xml:space="preserve"> NAA test where available.</w:t>
            </w:r>
            <w:r w:rsidR="00B75681" w:rsidRPr="00DD5DD9">
              <w:rPr>
                <w:rStyle w:val="FootnoteReference"/>
                <w:sz w:val="18"/>
                <w:szCs w:val="18"/>
              </w:rPr>
              <w:footnoteReference w:id="3"/>
            </w:r>
          </w:p>
        </w:tc>
        <w:tc>
          <w:tcPr>
            <w:tcW w:w="3214" w:type="dxa"/>
          </w:tcPr>
          <w:p w14:paraId="114474AB" w14:textId="6AEF3FDB" w:rsidR="001B3F79" w:rsidRPr="00DD5DD9" w:rsidRDefault="7811B8FF" w:rsidP="6A7B07D3">
            <w:pPr>
              <w:jc w:val="left"/>
              <w:rPr>
                <w:sz w:val="18"/>
                <w:szCs w:val="18"/>
              </w:rPr>
            </w:pPr>
            <w:r w:rsidRPr="00DD5DD9">
              <w:rPr>
                <w:sz w:val="18"/>
                <w:szCs w:val="18"/>
              </w:rPr>
              <w:t>As per Epidemiological Zone 2.</w:t>
            </w:r>
          </w:p>
        </w:tc>
        <w:tc>
          <w:tcPr>
            <w:tcW w:w="3214" w:type="dxa"/>
          </w:tcPr>
          <w:p w14:paraId="449614F7" w14:textId="4A40EA6A" w:rsidR="004C4341" w:rsidRPr="00DD5DD9" w:rsidRDefault="004C4341" w:rsidP="004C4341">
            <w:pPr>
              <w:jc w:val="left"/>
              <w:rPr>
                <w:sz w:val="18"/>
                <w:szCs w:val="18"/>
              </w:rPr>
            </w:pPr>
            <w:r w:rsidRPr="00DD5DD9">
              <w:rPr>
                <w:sz w:val="18"/>
                <w:szCs w:val="18"/>
              </w:rPr>
              <w:t xml:space="preserve">Testing of people with COVID-19 compatible symptoms should be prioritised. As per Epidemiological Zone 2, however rapid antigen tests may also be used if PCR capacity is overwhelmed to </w:t>
            </w:r>
            <w:r w:rsidR="00CA6636" w:rsidRPr="00DD5DD9">
              <w:rPr>
                <w:sz w:val="18"/>
                <w:szCs w:val="18"/>
              </w:rPr>
              <w:t>meet the</w:t>
            </w:r>
            <w:r w:rsidRPr="00DD5DD9">
              <w:rPr>
                <w:sz w:val="18"/>
                <w:szCs w:val="18"/>
              </w:rPr>
              <w:t xml:space="preserve"> probable case</w:t>
            </w:r>
            <w:r w:rsidR="00CA6636" w:rsidRPr="00DD5DD9">
              <w:rPr>
                <w:sz w:val="18"/>
                <w:szCs w:val="18"/>
              </w:rPr>
              <w:t xml:space="preserve"> definition</w:t>
            </w:r>
            <w:r w:rsidRPr="00DD5DD9">
              <w:rPr>
                <w:sz w:val="18"/>
                <w:szCs w:val="18"/>
              </w:rPr>
              <w:t>, with no requirement to verify result by PCR.</w:t>
            </w:r>
          </w:p>
          <w:p w14:paraId="4EFA5A2D" w14:textId="7771A9F8" w:rsidR="001B3F79" w:rsidRPr="00C229FD" w:rsidRDefault="004C4341" w:rsidP="004C4341">
            <w:pPr>
              <w:jc w:val="left"/>
              <w:rPr>
                <w:sz w:val="18"/>
                <w:szCs w:val="18"/>
              </w:rPr>
            </w:pPr>
            <w:r w:rsidRPr="00DD5DD9">
              <w:rPr>
                <w:sz w:val="18"/>
                <w:szCs w:val="18"/>
              </w:rPr>
              <w:t xml:space="preserve">Consider reserving </w:t>
            </w:r>
            <w:r w:rsidR="007C317B" w:rsidRPr="00DD5DD9">
              <w:rPr>
                <w:sz w:val="18"/>
                <w:szCs w:val="18"/>
              </w:rPr>
              <w:t>laboratory</w:t>
            </w:r>
            <w:r w:rsidR="003901F0" w:rsidRPr="00DD5DD9">
              <w:rPr>
                <w:sz w:val="18"/>
                <w:szCs w:val="18"/>
              </w:rPr>
              <w:t>-</w:t>
            </w:r>
            <w:r w:rsidR="007C317B" w:rsidRPr="00DD5DD9">
              <w:rPr>
                <w:sz w:val="18"/>
                <w:szCs w:val="18"/>
              </w:rPr>
              <w:t>based</w:t>
            </w:r>
            <w:r w:rsidRPr="00DD5DD9">
              <w:rPr>
                <w:sz w:val="18"/>
                <w:szCs w:val="18"/>
              </w:rPr>
              <w:t xml:space="preserve"> NAA testing for symptomatic individuals at higher risk of severe disease </w:t>
            </w:r>
            <w:r w:rsidR="00CA6636" w:rsidRPr="00DD5DD9">
              <w:rPr>
                <w:sz w:val="18"/>
                <w:szCs w:val="18"/>
              </w:rPr>
              <w:t>and</w:t>
            </w:r>
            <w:r w:rsidRPr="00DD5DD9">
              <w:rPr>
                <w:sz w:val="18"/>
                <w:szCs w:val="18"/>
              </w:rPr>
              <w:t xml:space="preserve"> where a result can influence an </w:t>
            </w:r>
            <w:r w:rsidR="007C317B" w:rsidRPr="00DD5DD9">
              <w:rPr>
                <w:sz w:val="18"/>
                <w:szCs w:val="18"/>
              </w:rPr>
              <w:t>individual’s</w:t>
            </w:r>
            <w:r w:rsidRPr="00DD5DD9">
              <w:rPr>
                <w:sz w:val="18"/>
                <w:szCs w:val="18"/>
              </w:rPr>
              <w:t xml:space="preserve"> treatment options (for example, access to monoclonal antibodies).</w:t>
            </w:r>
          </w:p>
        </w:tc>
      </w:tr>
      <w:tr w:rsidR="001B3F79" w:rsidRPr="00DD5DD9" w14:paraId="24730865" w14:textId="75625652" w:rsidTr="008A5B87">
        <w:trPr>
          <w:trHeight w:val="1072"/>
        </w:trPr>
        <w:tc>
          <w:tcPr>
            <w:tcW w:w="1555" w:type="dxa"/>
          </w:tcPr>
          <w:p w14:paraId="56892D5F" w14:textId="67175C60" w:rsidR="001B3F79" w:rsidRPr="00DD5DD9" w:rsidRDefault="001B3F79" w:rsidP="0098527A">
            <w:pPr>
              <w:jc w:val="left"/>
              <w:rPr>
                <w:b/>
                <w:color w:val="1F497D" w:themeColor="text2"/>
                <w:sz w:val="18"/>
                <w:szCs w:val="18"/>
              </w:rPr>
            </w:pPr>
            <w:r w:rsidRPr="00DD5DD9">
              <w:rPr>
                <w:b/>
                <w:color w:val="1F497D" w:themeColor="text2"/>
                <w:sz w:val="18"/>
                <w:szCs w:val="18"/>
              </w:rPr>
              <w:t>2. People with known recent exposure to SARS-CoV-2 (asymptomatic)</w:t>
            </w:r>
          </w:p>
        </w:tc>
        <w:tc>
          <w:tcPr>
            <w:tcW w:w="3213" w:type="dxa"/>
          </w:tcPr>
          <w:p w14:paraId="21C97EEE" w14:textId="77777777" w:rsidR="001B3F79" w:rsidRPr="00DD5DD9" w:rsidRDefault="001B3F79" w:rsidP="00F43FF6">
            <w:pPr>
              <w:jc w:val="left"/>
              <w:rPr>
                <w:sz w:val="18"/>
                <w:szCs w:val="18"/>
              </w:rPr>
            </w:pPr>
            <w:r w:rsidRPr="00DD5DD9">
              <w:rPr>
                <w:sz w:val="18"/>
                <w:szCs w:val="18"/>
              </w:rPr>
              <w:t xml:space="preserve">High priority for those who have known recent exposure to SARS-CoV-2, </w:t>
            </w:r>
            <w:r w:rsidR="0075489D" w:rsidRPr="00DD5DD9">
              <w:rPr>
                <w:sz w:val="18"/>
                <w:szCs w:val="18"/>
              </w:rPr>
              <w:t>to support upstream contact tracing where source of infection is uncertain.</w:t>
            </w:r>
          </w:p>
          <w:p w14:paraId="679E8561" w14:textId="5E928135" w:rsidR="0098527A" w:rsidRPr="00DD5DD9" w:rsidRDefault="004C4341" w:rsidP="00F43FF6">
            <w:pPr>
              <w:jc w:val="left"/>
              <w:rPr>
                <w:sz w:val="18"/>
                <w:szCs w:val="18"/>
              </w:rPr>
            </w:pPr>
            <w:r w:rsidRPr="00DD5DD9">
              <w:rPr>
                <w:sz w:val="18"/>
                <w:szCs w:val="18"/>
              </w:rPr>
              <w:t>In t</w:t>
            </w:r>
            <w:r w:rsidR="0098527A" w:rsidRPr="00DD5DD9">
              <w:rPr>
                <w:sz w:val="18"/>
                <w:szCs w:val="18"/>
              </w:rPr>
              <w:t xml:space="preserve">his epidemiological context, use the </w:t>
            </w:r>
            <w:r w:rsidR="009A5866" w:rsidRPr="00DD5DD9">
              <w:rPr>
                <w:sz w:val="18"/>
                <w:szCs w:val="18"/>
              </w:rPr>
              <w:t>gold standard</w:t>
            </w:r>
            <w:r w:rsidR="0098527A" w:rsidRPr="00DD5DD9">
              <w:rPr>
                <w:sz w:val="18"/>
                <w:szCs w:val="18"/>
              </w:rPr>
              <w:t xml:space="preserve"> NAA test where available.</w:t>
            </w:r>
          </w:p>
        </w:tc>
        <w:tc>
          <w:tcPr>
            <w:tcW w:w="3214" w:type="dxa"/>
          </w:tcPr>
          <w:p w14:paraId="476FBB58" w14:textId="606489F0" w:rsidR="001B3F79" w:rsidRPr="00DD5DD9" w:rsidRDefault="6F981C57" w:rsidP="0098527A">
            <w:pPr>
              <w:jc w:val="left"/>
              <w:rPr>
                <w:sz w:val="18"/>
                <w:szCs w:val="18"/>
              </w:rPr>
            </w:pPr>
            <w:r w:rsidRPr="00DD5DD9">
              <w:rPr>
                <w:sz w:val="18"/>
                <w:szCs w:val="18"/>
              </w:rPr>
              <w:t xml:space="preserve">As per Epidemiological Zone 1. </w:t>
            </w:r>
          </w:p>
        </w:tc>
        <w:tc>
          <w:tcPr>
            <w:tcW w:w="3214" w:type="dxa"/>
          </w:tcPr>
          <w:p w14:paraId="4BA2A751" w14:textId="18DEA071" w:rsidR="001B3F79" w:rsidRPr="00DD5DD9" w:rsidRDefault="00AE4E4C" w:rsidP="00F43FF6">
            <w:pPr>
              <w:jc w:val="left"/>
              <w:rPr>
                <w:sz w:val="18"/>
                <w:szCs w:val="18"/>
              </w:rPr>
            </w:pPr>
            <w:r w:rsidRPr="00DD5DD9">
              <w:rPr>
                <w:sz w:val="18"/>
                <w:szCs w:val="18"/>
              </w:rPr>
              <w:t>As per Epidemiological Zone 1</w:t>
            </w:r>
            <w:r w:rsidR="001B3F79" w:rsidRPr="00DD5DD9">
              <w:rPr>
                <w:sz w:val="18"/>
                <w:szCs w:val="18"/>
              </w:rPr>
              <w:t xml:space="preserve">. </w:t>
            </w:r>
          </w:p>
        </w:tc>
        <w:tc>
          <w:tcPr>
            <w:tcW w:w="3214" w:type="dxa"/>
          </w:tcPr>
          <w:p w14:paraId="21FDF599" w14:textId="5CDCEBDB" w:rsidR="004C4341" w:rsidRPr="00DD5DD9" w:rsidRDefault="004C4341" w:rsidP="004C4341">
            <w:pPr>
              <w:jc w:val="left"/>
              <w:rPr>
                <w:sz w:val="18"/>
                <w:szCs w:val="18"/>
              </w:rPr>
            </w:pPr>
            <w:r w:rsidRPr="00DD5DD9">
              <w:rPr>
                <w:sz w:val="18"/>
                <w:szCs w:val="18"/>
              </w:rPr>
              <w:t>Testing of close contacts should be prioritised</w:t>
            </w:r>
            <w:r w:rsidR="003901F0" w:rsidRPr="00DD5DD9">
              <w:rPr>
                <w:sz w:val="18"/>
                <w:szCs w:val="18"/>
              </w:rPr>
              <w:t>,</w:t>
            </w:r>
            <w:r w:rsidRPr="00DD5DD9">
              <w:rPr>
                <w:sz w:val="18"/>
                <w:szCs w:val="18"/>
              </w:rPr>
              <w:t xml:space="preserve"> </w:t>
            </w:r>
            <w:r w:rsidR="003901F0" w:rsidRPr="00DD5DD9">
              <w:rPr>
                <w:sz w:val="18"/>
                <w:szCs w:val="18"/>
              </w:rPr>
              <w:t>w</w:t>
            </w:r>
            <w:r w:rsidRPr="00DD5DD9">
              <w:rPr>
                <w:sz w:val="18"/>
                <w:szCs w:val="18"/>
              </w:rPr>
              <w:t>here feasible.</w:t>
            </w:r>
          </w:p>
          <w:p w14:paraId="74E2818F" w14:textId="22510694" w:rsidR="004C4341" w:rsidRPr="00DD5DD9" w:rsidRDefault="004C4341" w:rsidP="004C4341">
            <w:pPr>
              <w:jc w:val="left"/>
              <w:rPr>
                <w:sz w:val="18"/>
                <w:szCs w:val="18"/>
              </w:rPr>
            </w:pPr>
            <w:r w:rsidRPr="00DD5DD9">
              <w:rPr>
                <w:sz w:val="18"/>
                <w:szCs w:val="18"/>
              </w:rPr>
              <w:t xml:space="preserve">Consider using rapid antigen tests instead of </w:t>
            </w:r>
            <w:r w:rsidR="007C317B" w:rsidRPr="00DD5DD9">
              <w:rPr>
                <w:sz w:val="18"/>
                <w:szCs w:val="18"/>
              </w:rPr>
              <w:t>laboratory</w:t>
            </w:r>
            <w:r w:rsidR="003901F0" w:rsidRPr="00DD5DD9">
              <w:rPr>
                <w:sz w:val="18"/>
                <w:szCs w:val="18"/>
              </w:rPr>
              <w:t>-</w:t>
            </w:r>
            <w:r w:rsidR="007C317B" w:rsidRPr="00DD5DD9">
              <w:rPr>
                <w:sz w:val="18"/>
                <w:szCs w:val="18"/>
              </w:rPr>
              <w:t>based</w:t>
            </w:r>
            <w:r w:rsidRPr="00DD5DD9">
              <w:rPr>
                <w:sz w:val="18"/>
                <w:szCs w:val="18"/>
              </w:rPr>
              <w:t xml:space="preserve"> NAA to ensure NAA testing </w:t>
            </w:r>
            <w:r w:rsidR="003901F0" w:rsidRPr="00DD5DD9">
              <w:rPr>
                <w:sz w:val="18"/>
                <w:szCs w:val="18"/>
              </w:rPr>
              <w:t>turnaround times (TAT)</w:t>
            </w:r>
            <w:r w:rsidRPr="00DD5DD9">
              <w:rPr>
                <w:sz w:val="18"/>
                <w:szCs w:val="18"/>
              </w:rPr>
              <w:t xml:space="preserve"> is maintained for Priority Group 1.</w:t>
            </w:r>
          </w:p>
          <w:p w14:paraId="58969028" w14:textId="6435EC89" w:rsidR="001B3F79" w:rsidRPr="00C229FD" w:rsidRDefault="004C4341" w:rsidP="6A9820AC">
            <w:pPr>
              <w:jc w:val="left"/>
              <w:rPr>
                <w:sz w:val="18"/>
                <w:szCs w:val="18"/>
              </w:rPr>
            </w:pPr>
            <w:r w:rsidRPr="00DD5DD9">
              <w:rPr>
                <w:sz w:val="18"/>
                <w:szCs w:val="18"/>
              </w:rPr>
              <w:t>Refer to National</w:t>
            </w:r>
            <w:r w:rsidR="003901F0" w:rsidRPr="00DD5DD9">
              <w:rPr>
                <w:sz w:val="18"/>
                <w:szCs w:val="18"/>
              </w:rPr>
              <w:t xml:space="preserve"> G</w:t>
            </w:r>
            <w:r w:rsidRPr="00DD5DD9">
              <w:rPr>
                <w:sz w:val="18"/>
                <w:szCs w:val="18"/>
              </w:rPr>
              <w:t>uidelines for contact</w:t>
            </w:r>
            <w:r w:rsidR="003901F0" w:rsidRPr="00DD5DD9">
              <w:rPr>
                <w:sz w:val="18"/>
                <w:szCs w:val="18"/>
              </w:rPr>
              <w:t xml:space="preserve"> </w:t>
            </w:r>
            <w:r w:rsidRPr="00DD5DD9">
              <w:rPr>
                <w:sz w:val="18"/>
                <w:szCs w:val="18"/>
              </w:rPr>
              <w:t xml:space="preserve">definitions and testing requirements. </w:t>
            </w:r>
          </w:p>
        </w:tc>
      </w:tr>
      <w:tr w:rsidR="007039E4" w:rsidRPr="00DD5DD9" w14:paraId="6F692939" w14:textId="23253EDA" w:rsidTr="008A5B87">
        <w:trPr>
          <w:trHeight w:val="976"/>
        </w:trPr>
        <w:tc>
          <w:tcPr>
            <w:tcW w:w="1555" w:type="dxa"/>
          </w:tcPr>
          <w:p w14:paraId="77931712" w14:textId="320CDD69" w:rsidR="007039E4" w:rsidRPr="00DD5DD9" w:rsidRDefault="007039E4" w:rsidP="0098527A">
            <w:pPr>
              <w:jc w:val="left"/>
              <w:rPr>
                <w:b/>
                <w:color w:val="1F497D" w:themeColor="text2"/>
                <w:sz w:val="18"/>
                <w:szCs w:val="18"/>
              </w:rPr>
            </w:pPr>
            <w:r w:rsidRPr="00DD5DD9">
              <w:rPr>
                <w:b/>
                <w:color w:val="1F497D" w:themeColor="text2"/>
                <w:sz w:val="18"/>
                <w:szCs w:val="18"/>
              </w:rPr>
              <w:lastRenderedPageBreak/>
              <w:t>3. People at higher risk of exposure to SARS-CoV-2 (asymptomatic)</w:t>
            </w:r>
          </w:p>
        </w:tc>
        <w:tc>
          <w:tcPr>
            <w:tcW w:w="3213" w:type="dxa"/>
          </w:tcPr>
          <w:p w14:paraId="2546F73E" w14:textId="5727D445" w:rsidR="007039E4" w:rsidRPr="00DD5DD9" w:rsidRDefault="007039E4" w:rsidP="007039E4">
            <w:pPr>
              <w:jc w:val="left"/>
              <w:rPr>
                <w:sz w:val="18"/>
                <w:szCs w:val="18"/>
              </w:rPr>
            </w:pPr>
            <w:r w:rsidRPr="00DD5DD9">
              <w:rPr>
                <w:sz w:val="18"/>
                <w:szCs w:val="18"/>
              </w:rPr>
              <w:t>High priority for return</w:t>
            </w:r>
            <w:r w:rsidR="009A5866" w:rsidRPr="00DD5DD9">
              <w:rPr>
                <w:sz w:val="18"/>
                <w:szCs w:val="18"/>
              </w:rPr>
              <w:t>ing</w:t>
            </w:r>
            <w:r w:rsidRPr="00DD5DD9">
              <w:rPr>
                <w:sz w:val="18"/>
                <w:szCs w:val="18"/>
              </w:rPr>
              <w:t xml:space="preserve"> </w:t>
            </w:r>
            <w:r w:rsidR="00CA6636" w:rsidRPr="00DD5DD9">
              <w:rPr>
                <w:sz w:val="18"/>
                <w:szCs w:val="18"/>
              </w:rPr>
              <w:t xml:space="preserve">overseas </w:t>
            </w:r>
            <w:r w:rsidRPr="00DD5DD9">
              <w:rPr>
                <w:sz w:val="18"/>
                <w:szCs w:val="18"/>
              </w:rPr>
              <w:t>travellers and for people working in areas that places them at an increased risk of exposure to SARS-CoV-2 (for example, at the border or supporting quarantine programs).</w:t>
            </w:r>
          </w:p>
          <w:p w14:paraId="60E8F4DD" w14:textId="03C02541" w:rsidR="004C4341" w:rsidRPr="00DD5DD9" w:rsidRDefault="004C4341" w:rsidP="007039E4">
            <w:pPr>
              <w:jc w:val="left"/>
              <w:rPr>
                <w:sz w:val="18"/>
                <w:szCs w:val="18"/>
              </w:rPr>
            </w:pPr>
            <w:r w:rsidRPr="00DD5DD9">
              <w:rPr>
                <w:sz w:val="18"/>
                <w:szCs w:val="18"/>
              </w:rPr>
              <w:t xml:space="preserve">In this epidemiological context, use the </w:t>
            </w:r>
            <w:r w:rsidR="009A5866" w:rsidRPr="00DD5DD9">
              <w:rPr>
                <w:sz w:val="18"/>
                <w:szCs w:val="18"/>
              </w:rPr>
              <w:t>gold standard</w:t>
            </w:r>
            <w:r w:rsidRPr="00DD5DD9">
              <w:rPr>
                <w:sz w:val="18"/>
                <w:szCs w:val="18"/>
              </w:rPr>
              <w:t xml:space="preserve"> NAA test where available.</w:t>
            </w:r>
          </w:p>
        </w:tc>
        <w:tc>
          <w:tcPr>
            <w:tcW w:w="3214" w:type="dxa"/>
          </w:tcPr>
          <w:p w14:paraId="4BA1A023" w14:textId="7D61EE26" w:rsidR="007039E4" w:rsidRPr="00DD5DD9" w:rsidRDefault="007039E4" w:rsidP="007039E4">
            <w:pPr>
              <w:jc w:val="left"/>
              <w:rPr>
                <w:sz w:val="18"/>
                <w:szCs w:val="18"/>
              </w:rPr>
            </w:pPr>
            <w:r w:rsidRPr="00DD5DD9">
              <w:rPr>
                <w:sz w:val="18"/>
                <w:szCs w:val="18"/>
              </w:rPr>
              <w:t xml:space="preserve">As per Epidemiological Zone 1, with the addition of testing high-risk groups based on unexplained onset of </w:t>
            </w:r>
            <w:r w:rsidR="00CA6636" w:rsidRPr="00DD5DD9">
              <w:rPr>
                <w:sz w:val="18"/>
                <w:szCs w:val="18"/>
              </w:rPr>
              <w:t xml:space="preserve">non-respiratory </w:t>
            </w:r>
            <w:r w:rsidRPr="00DD5DD9">
              <w:rPr>
                <w:sz w:val="18"/>
                <w:szCs w:val="18"/>
              </w:rPr>
              <w:t>or non-specific symptoms.</w:t>
            </w:r>
            <w:r w:rsidR="00CA6636" w:rsidRPr="00DD5DD9">
              <w:rPr>
                <w:sz w:val="18"/>
                <w:szCs w:val="18"/>
              </w:rPr>
              <w:t xml:space="preserve"> Please refer to the National Guidelines for more information.</w:t>
            </w:r>
          </w:p>
          <w:p w14:paraId="6406AEB4" w14:textId="30FA2935" w:rsidR="004C4341" w:rsidRPr="00DD5DD9" w:rsidRDefault="004C4341" w:rsidP="007039E4">
            <w:pPr>
              <w:jc w:val="left"/>
              <w:rPr>
                <w:sz w:val="18"/>
                <w:szCs w:val="18"/>
              </w:rPr>
            </w:pPr>
            <w:r w:rsidRPr="00DD5DD9">
              <w:rPr>
                <w:sz w:val="18"/>
                <w:szCs w:val="18"/>
              </w:rPr>
              <w:t xml:space="preserve">In this epidemiological context, use the </w:t>
            </w:r>
            <w:r w:rsidR="009A5866" w:rsidRPr="00DD5DD9">
              <w:rPr>
                <w:sz w:val="18"/>
                <w:szCs w:val="18"/>
              </w:rPr>
              <w:t>gold standard</w:t>
            </w:r>
            <w:r w:rsidRPr="00DD5DD9">
              <w:rPr>
                <w:sz w:val="18"/>
                <w:szCs w:val="18"/>
              </w:rPr>
              <w:t xml:space="preserve"> NAA test where available.</w:t>
            </w:r>
          </w:p>
        </w:tc>
        <w:tc>
          <w:tcPr>
            <w:tcW w:w="3214" w:type="dxa"/>
          </w:tcPr>
          <w:p w14:paraId="51D0A419" w14:textId="36D855A3" w:rsidR="007039E4" w:rsidRPr="00DD5DD9" w:rsidRDefault="007039E4" w:rsidP="007039E4">
            <w:pPr>
              <w:jc w:val="left"/>
              <w:rPr>
                <w:sz w:val="18"/>
                <w:szCs w:val="18"/>
              </w:rPr>
            </w:pPr>
            <w:r w:rsidRPr="00DD5DD9">
              <w:rPr>
                <w:sz w:val="18"/>
                <w:szCs w:val="18"/>
              </w:rPr>
              <w:t>As per Epidemiological Zone 2.</w:t>
            </w:r>
          </w:p>
        </w:tc>
        <w:tc>
          <w:tcPr>
            <w:tcW w:w="3214" w:type="dxa"/>
          </w:tcPr>
          <w:p w14:paraId="04678338" w14:textId="32CDAEE5" w:rsidR="004C4341" w:rsidRPr="00DD5DD9" w:rsidRDefault="004C4341" w:rsidP="004C4341">
            <w:pPr>
              <w:jc w:val="left"/>
              <w:rPr>
                <w:sz w:val="18"/>
                <w:szCs w:val="18"/>
              </w:rPr>
            </w:pPr>
            <w:r w:rsidRPr="00DD5DD9">
              <w:rPr>
                <w:sz w:val="18"/>
                <w:szCs w:val="18"/>
              </w:rPr>
              <w:t xml:space="preserve">Consider use of rapid antigen tests. Laboratory-based NAA testing is not recommended. </w:t>
            </w:r>
          </w:p>
          <w:p w14:paraId="66E8EF62" w14:textId="5C64D785" w:rsidR="001C209A" w:rsidRPr="00C229FD" w:rsidRDefault="004C4341" w:rsidP="007039E4">
            <w:pPr>
              <w:jc w:val="left"/>
              <w:rPr>
                <w:sz w:val="18"/>
                <w:szCs w:val="18"/>
              </w:rPr>
            </w:pPr>
            <w:r w:rsidRPr="00DD5DD9">
              <w:rPr>
                <w:sz w:val="18"/>
                <w:szCs w:val="18"/>
              </w:rPr>
              <w:t>Use rapid antigen tests for any industry-led workplace screening, especially those who are classified as “critical workforce”. Screening that relies on NAA testing is not recommended.</w:t>
            </w:r>
          </w:p>
        </w:tc>
      </w:tr>
      <w:tr w:rsidR="007039E4" w:rsidRPr="00DD5DD9" w14:paraId="6D60C398" w14:textId="113479AA" w:rsidTr="008A5B87">
        <w:trPr>
          <w:trHeight w:val="1447"/>
        </w:trPr>
        <w:tc>
          <w:tcPr>
            <w:tcW w:w="1555" w:type="dxa"/>
          </w:tcPr>
          <w:p w14:paraId="7B50E138" w14:textId="5C3AF866" w:rsidR="007039E4" w:rsidRPr="00DD5DD9" w:rsidRDefault="007039E4" w:rsidP="0098527A">
            <w:pPr>
              <w:jc w:val="left"/>
              <w:rPr>
                <w:b/>
                <w:color w:val="1F497D" w:themeColor="text2"/>
                <w:sz w:val="18"/>
                <w:szCs w:val="18"/>
              </w:rPr>
            </w:pPr>
            <w:r w:rsidRPr="00DD5DD9">
              <w:rPr>
                <w:b/>
                <w:color w:val="1F497D" w:themeColor="text2"/>
                <w:sz w:val="18"/>
                <w:szCs w:val="18"/>
              </w:rPr>
              <w:t xml:space="preserve">4. People in high- and special-risk settings, including where disease amplification </w:t>
            </w:r>
            <w:r w:rsidR="00CA6636" w:rsidRPr="00DD5DD9">
              <w:rPr>
                <w:b/>
                <w:color w:val="1F497D" w:themeColor="text2"/>
                <w:sz w:val="18"/>
                <w:szCs w:val="18"/>
              </w:rPr>
              <w:t xml:space="preserve">in a setting </w:t>
            </w:r>
            <w:r w:rsidRPr="00DD5DD9">
              <w:rPr>
                <w:b/>
                <w:color w:val="1F497D" w:themeColor="text2"/>
                <w:sz w:val="18"/>
                <w:szCs w:val="18"/>
              </w:rPr>
              <w:t>is likely (asymptomatic)</w:t>
            </w:r>
          </w:p>
        </w:tc>
        <w:tc>
          <w:tcPr>
            <w:tcW w:w="3213" w:type="dxa"/>
          </w:tcPr>
          <w:p w14:paraId="2BFA0F67" w14:textId="080BA468" w:rsidR="007039E4" w:rsidRPr="00DD5DD9" w:rsidRDefault="007039E4" w:rsidP="007039E4">
            <w:pPr>
              <w:jc w:val="left"/>
              <w:rPr>
                <w:sz w:val="18"/>
                <w:szCs w:val="18"/>
              </w:rPr>
            </w:pPr>
            <w:r w:rsidRPr="00DD5DD9">
              <w:rPr>
                <w:sz w:val="18"/>
                <w:szCs w:val="18"/>
              </w:rPr>
              <w:t xml:space="preserve">High priority for </w:t>
            </w:r>
            <w:r w:rsidR="009A5866" w:rsidRPr="00DD5DD9">
              <w:rPr>
                <w:sz w:val="18"/>
                <w:szCs w:val="18"/>
              </w:rPr>
              <w:t>high-risk</w:t>
            </w:r>
            <w:r w:rsidRPr="00DD5DD9">
              <w:rPr>
                <w:sz w:val="18"/>
                <w:szCs w:val="18"/>
              </w:rPr>
              <w:t xml:space="preserve"> settings where risk of amplification is high. </w:t>
            </w:r>
          </w:p>
          <w:p w14:paraId="68DD0898" w14:textId="41AEEE91" w:rsidR="004C4341" w:rsidRPr="00DD5DD9" w:rsidRDefault="004C4341" w:rsidP="007039E4">
            <w:pPr>
              <w:jc w:val="left"/>
              <w:rPr>
                <w:sz w:val="18"/>
                <w:szCs w:val="18"/>
              </w:rPr>
            </w:pPr>
            <w:r w:rsidRPr="00DD5DD9">
              <w:rPr>
                <w:sz w:val="18"/>
                <w:szCs w:val="18"/>
              </w:rPr>
              <w:t xml:space="preserve">In this epidemiological context, use the </w:t>
            </w:r>
            <w:r w:rsidR="009A5866" w:rsidRPr="00DD5DD9">
              <w:rPr>
                <w:sz w:val="18"/>
                <w:szCs w:val="18"/>
              </w:rPr>
              <w:t>gold standard</w:t>
            </w:r>
            <w:r w:rsidRPr="00DD5DD9">
              <w:rPr>
                <w:sz w:val="18"/>
                <w:szCs w:val="18"/>
              </w:rPr>
              <w:t xml:space="preserve"> NAA test where available.</w:t>
            </w:r>
          </w:p>
        </w:tc>
        <w:tc>
          <w:tcPr>
            <w:tcW w:w="3214" w:type="dxa"/>
          </w:tcPr>
          <w:p w14:paraId="0D51A417" w14:textId="77777777" w:rsidR="007039E4" w:rsidRPr="00DD5DD9" w:rsidRDefault="007039E4" w:rsidP="007039E4">
            <w:pPr>
              <w:jc w:val="left"/>
              <w:rPr>
                <w:sz w:val="18"/>
                <w:szCs w:val="18"/>
              </w:rPr>
            </w:pPr>
            <w:r w:rsidRPr="00DD5DD9">
              <w:rPr>
                <w:sz w:val="18"/>
                <w:szCs w:val="18"/>
              </w:rPr>
              <w:t>As per Epidemiological Zone 1, with the addition of testing around a single case or outbreak and public health-led routine screening.</w:t>
            </w:r>
          </w:p>
          <w:p w14:paraId="029F94C0" w14:textId="6F0300C6" w:rsidR="004C4341" w:rsidRPr="00DD5DD9" w:rsidRDefault="004C4341" w:rsidP="007039E4">
            <w:pPr>
              <w:jc w:val="left"/>
              <w:rPr>
                <w:sz w:val="18"/>
                <w:szCs w:val="18"/>
              </w:rPr>
            </w:pPr>
            <w:r w:rsidRPr="00DD5DD9">
              <w:rPr>
                <w:sz w:val="18"/>
                <w:szCs w:val="18"/>
              </w:rPr>
              <w:t xml:space="preserve">In this epidemiological context, use the </w:t>
            </w:r>
            <w:r w:rsidR="009A5866" w:rsidRPr="00DD5DD9">
              <w:rPr>
                <w:sz w:val="18"/>
                <w:szCs w:val="18"/>
              </w:rPr>
              <w:t>gold standard</w:t>
            </w:r>
            <w:r w:rsidRPr="00DD5DD9">
              <w:rPr>
                <w:sz w:val="18"/>
                <w:szCs w:val="18"/>
              </w:rPr>
              <w:t xml:space="preserve"> NAA test where available.</w:t>
            </w:r>
          </w:p>
        </w:tc>
        <w:tc>
          <w:tcPr>
            <w:tcW w:w="3214" w:type="dxa"/>
          </w:tcPr>
          <w:p w14:paraId="5FF913F4" w14:textId="2B273B73" w:rsidR="007039E4" w:rsidRPr="00DD5DD9" w:rsidRDefault="007039E4" w:rsidP="007039E4">
            <w:pPr>
              <w:jc w:val="left"/>
              <w:rPr>
                <w:sz w:val="18"/>
                <w:szCs w:val="18"/>
              </w:rPr>
            </w:pPr>
            <w:r w:rsidRPr="00DD5DD9">
              <w:rPr>
                <w:sz w:val="18"/>
                <w:szCs w:val="18"/>
              </w:rPr>
              <w:t>Laboratory-based testing is prioritised for people who have a higher risk of more severe disease outcomes.</w:t>
            </w:r>
          </w:p>
          <w:p w14:paraId="1B206E4A" w14:textId="61418C70" w:rsidR="004C4341" w:rsidRPr="00DD5DD9" w:rsidRDefault="004C4341" w:rsidP="007039E4">
            <w:pPr>
              <w:jc w:val="left"/>
              <w:rPr>
                <w:sz w:val="18"/>
                <w:szCs w:val="18"/>
              </w:rPr>
            </w:pPr>
            <w:r w:rsidRPr="00DD5DD9">
              <w:rPr>
                <w:sz w:val="18"/>
                <w:szCs w:val="18"/>
              </w:rPr>
              <w:t xml:space="preserve">In this epidemiological context, use the </w:t>
            </w:r>
            <w:r w:rsidR="009A5866" w:rsidRPr="00DD5DD9">
              <w:rPr>
                <w:sz w:val="18"/>
                <w:szCs w:val="18"/>
              </w:rPr>
              <w:t>gold standard</w:t>
            </w:r>
            <w:r w:rsidRPr="00DD5DD9">
              <w:rPr>
                <w:sz w:val="18"/>
                <w:szCs w:val="18"/>
              </w:rPr>
              <w:t xml:space="preserve"> NAA test where available.</w:t>
            </w:r>
          </w:p>
          <w:p w14:paraId="3F1A41F2" w14:textId="30777050" w:rsidR="007039E4" w:rsidRPr="00DD5DD9" w:rsidRDefault="007039E4" w:rsidP="007039E4">
            <w:pPr>
              <w:jc w:val="left"/>
              <w:rPr>
                <w:sz w:val="18"/>
                <w:szCs w:val="18"/>
              </w:rPr>
            </w:pPr>
            <w:r w:rsidRPr="00DD5DD9">
              <w:rPr>
                <w:sz w:val="18"/>
                <w:szCs w:val="18"/>
              </w:rPr>
              <w:t>Put on hold any industry-led workplace screening that is laboratory-based. Consider rapid antigen testing.</w:t>
            </w:r>
          </w:p>
        </w:tc>
        <w:tc>
          <w:tcPr>
            <w:tcW w:w="3214" w:type="dxa"/>
          </w:tcPr>
          <w:p w14:paraId="12C3246F" w14:textId="747F6F98" w:rsidR="004C4341" w:rsidRPr="00DD5DD9" w:rsidRDefault="004C4341" w:rsidP="004C4341">
            <w:pPr>
              <w:jc w:val="left"/>
              <w:rPr>
                <w:sz w:val="18"/>
                <w:szCs w:val="18"/>
              </w:rPr>
            </w:pPr>
            <w:r w:rsidRPr="00DD5DD9">
              <w:rPr>
                <w:sz w:val="18"/>
                <w:szCs w:val="18"/>
              </w:rPr>
              <w:t xml:space="preserve">Consider use of rapid antigen tests. Laboratory-based NAA testing is not recommended. </w:t>
            </w:r>
          </w:p>
          <w:p w14:paraId="252C3A4A" w14:textId="7C0DD5BB" w:rsidR="00972AD1" w:rsidRPr="00C229FD" w:rsidRDefault="004C4341" w:rsidP="0B9EBA93">
            <w:pPr>
              <w:jc w:val="left"/>
              <w:rPr>
                <w:sz w:val="18"/>
                <w:szCs w:val="18"/>
              </w:rPr>
            </w:pPr>
            <w:r w:rsidRPr="00DD5DD9">
              <w:rPr>
                <w:sz w:val="18"/>
                <w:szCs w:val="18"/>
              </w:rPr>
              <w:t>Use rapid antigen tests for any industry-led workplace screening, especially those who are classified as “critical workforce”. Screening that relies on NAA testing is not recommended.</w:t>
            </w:r>
          </w:p>
        </w:tc>
      </w:tr>
    </w:tbl>
    <w:p w14:paraId="53368747" w14:textId="77777777" w:rsidR="0098527A" w:rsidRPr="00DD5DD9" w:rsidRDefault="0098527A" w:rsidP="00A77919">
      <w:pPr>
        <w:sectPr w:rsidR="0098527A" w:rsidRPr="00DD5DD9" w:rsidSect="008A5B87">
          <w:pgSz w:w="16838" w:h="11906" w:orient="landscape"/>
          <w:pgMar w:top="1440" w:right="1440" w:bottom="1440" w:left="992" w:header="709" w:footer="709" w:gutter="0"/>
          <w:cols w:space="708"/>
          <w:docGrid w:linePitch="360"/>
        </w:sectPr>
      </w:pPr>
    </w:p>
    <w:p w14:paraId="10CD2499" w14:textId="0CF12F01" w:rsidR="00667F03" w:rsidRPr="00DD5DD9" w:rsidRDefault="00667F03" w:rsidP="00300614">
      <w:pPr>
        <w:pStyle w:val="Heading2"/>
      </w:pPr>
      <w:bookmarkStart w:id="24" w:name="_Toc93492872"/>
      <w:bookmarkStart w:id="25" w:name="_Toc93492875"/>
      <w:bookmarkEnd w:id="24"/>
      <w:r w:rsidRPr="00DD5DD9">
        <w:lastRenderedPageBreak/>
        <w:t>Priority groups for testing</w:t>
      </w:r>
      <w:bookmarkEnd w:id="25"/>
    </w:p>
    <w:p w14:paraId="2901AC25" w14:textId="2AB57CBB" w:rsidR="00667F03" w:rsidRPr="00DD5DD9" w:rsidRDefault="00A35AE5" w:rsidP="00667F03">
      <w:pPr>
        <w:tabs>
          <w:tab w:val="left" w:pos="2127"/>
        </w:tabs>
        <w:jc w:val="left"/>
      </w:pPr>
      <w:r w:rsidRPr="00DD5DD9">
        <w:t>As shown in Table 1, t</w:t>
      </w:r>
      <w:r w:rsidR="00667F03" w:rsidRPr="00DD5DD9">
        <w:t>his framework identifies four priority groups for targeted testing in Australia. The emphasis on particular priority groups differs across Epidemiological Zones to meet the aim of the public health response.</w:t>
      </w:r>
    </w:p>
    <w:p w14:paraId="4035C183" w14:textId="35E70154" w:rsidR="00667F03" w:rsidRPr="00DD5DD9" w:rsidRDefault="00667F03" w:rsidP="00667F03">
      <w:pPr>
        <w:tabs>
          <w:tab w:val="left" w:pos="2127"/>
        </w:tabs>
        <w:jc w:val="left"/>
      </w:pPr>
      <w:r w:rsidRPr="00DD5DD9">
        <w:t xml:space="preserve">As </w:t>
      </w:r>
      <w:r w:rsidR="00A35AE5" w:rsidRPr="00DD5DD9">
        <w:t>the pandemic evolves</w:t>
      </w:r>
      <w:r w:rsidRPr="00DD5DD9">
        <w:t>, these priority groups are subject to change. Once</w:t>
      </w:r>
      <w:r w:rsidR="004B0F3F" w:rsidRPr="00DD5DD9" w:rsidDel="004B0F3F">
        <w:t xml:space="preserve"> </w:t>
      </w:r>
      <w:r w:rsidR="00891A49" w:rsidRPr="00DD5DD9">
        <w:t>a</w:t>
      </w:r>
      <w:r w:rsidR="004B0F3F" w:rsidRPr="00DD5DD9">
        <w:t xml:space="preserve"> high</w:t>
      </w:r>
      <w:r w:rsidR="00891A49" w:rsidRPr="00DD5DD9">
        <w:t xml:space="preserve"> </w:t>
      </w:r>
      <w:r w:rsidR="004B0F3F" w:rsidRPr="00DD5DD9">
        <w:t xml:space="preserve">level of population </w:t>
      </w:r>
      <w:r w:rsidR="008F6D8D" w:rsidRPr="00DD5DD9">
        <w:t>immunity is achieved</w:t>
      </w:r>
      <w:r w:rsidRPr="00DD5DD9">
        <w:t xml:space="preserve">, it is recommended that jurisdictions manage COVID-19 consistent with the public health management of other common respiratory diseases by minimising the spread of cases within the community. However, even with high levels of vaccine uptake, we do not expect vaccination will achieve </w:t>
      </w:r>
      <w:r w:rsidR="00891A49" w:rsidRPr="00DD5DD9">
        <w:t>a high level of population immunity</w:t>
      </w:r>
      <w:r w:rsidRPr="00DD5DD9">
        <w:t xml:space="preserve"> for all SARS-CoV-2 variants, for example, the highly transmissible Omicron variant. Therefore, the composite three levers to control </w:t>
      </w:r>
      <w:r w:rsidR="00D73569" w:rsidRPr="00DD5DD9">
        <w:t xml:space="preserve">the </w:t>
      </w:r>
      <w:r w:rsidRPr="00DD5DD9">
        <w:t>spread of the virus remain vaccination, public health and social measures (PHSM) alongside TTIQ.</w:t>
      </w:r>
    </w:p>
    <w:p w14:paraId="5F8D34C3" w14:textId="542A4827" w:rsidR="00667F03" w:rsidRPr="00DD5DD9" w:rsidRDefault="00667F03" w:rsidP="002F7AC5">
      <w:pPr>
        <w:tabs>
          <w:tab w:val="left" w:pos="2127"/>
        </w:tabs>
        <w:spacing w:after="0"/>
        <w:jc w:val="left"/>
      </w:pPr>
      <w:r w:rsidRPr="00DD5DD9">
        <w:t>The current priority groups are:</w:t>
      </w:r>
    </w:p>
    <w:p w14:paraId="751ED73B" w14:textId="77777777" w:rsidR="008F6D8D" w:rsidRPr="00DD5DD9" w:rsidRDefault="008F6D8D" w:rsidP="002F7AC5">
      <w:pPr>
        <w:tabs>
          <w:tab w:val="left" w:pos="2127"/>
        </w:tabs>
        <w:spacing w:after="0"/>
        <w:jc w:val="left"/>
      </w:pPr>
    </w:p>
    <w:p w14:paraId="4C907E06" w14:textId="77777777" w:rsidR="00667F03" w:rsidRPr="00DD5DD9" w:rsidRDefault="00667F03" w:rsidP="00667F03">
      <w:pPr>
        <w:pStyle w:val="ListParagraph"/>
        <w:numPr>
          <w:ilvl w:val="0"/>
          <w:numId w:val="14"/>
        </w:numPr>
        <w:ind w:left="1985" w:hanging="1985"/>
        <w:jc w:val="left"/>
        <w:rPr>
          <w:i/>
        </w:rPr>
      </w:pPr>
      <w:r w:rsidRPr="00DD5DD9">
        <w:rPr>
          <w:i/>
        </w:rPr>
        <w:t xml:space="preserve">People with COVID-19 compatible symptoms </w:t>
      </w:r>
    </w:p>
    <w:p w14:paraId="5E3F9454" w14:textId="21933616" w:rsidR="00667F03" w:rsidRPr="00DD5DD9" w:rsidRDefault="00667F03" w:rsidP="009A5FA1">
      <w:pPr>
        <w:tabs>
          <w:tab w:val="left" w:pos="2127"/>
        </w:tabs>
        <w:spacing w:after="0"/>
        <w:jc w:val="left"/>
      </w:pPr>
      <w:r w:rsidRPr="00DD5DD9">
        <w:t xml:space="preserve">The main approach for identifying people with an active SARS-CoV-2 infection is to test people with COVID-19 compatible symptoms. The </w:t>
      </w:r>
      <w:hyperlink r:id="rId23">
        <w:r w:rsidRPr="00DD5DD9">
          <w:rPr>
            <w:rStyle w:val="Hyperlink"/>
          </w:rPr>
          <w:t>National Guidelines</w:t>
        </w:r>
      </w:hyperlink>
      <w:r w:rsidRPr="00DD5DD9">
        <w:t xml:space="preserve"> define these symptoms. The rationale is that people with symptoms consistent with COVID-19 have a higher probability of testing positive for SARS-CoV-2 than people without those symptoms. They may also present a higher risk of transmission to others. This group remains a priority across all Epidemiological Zones. </w:t>
      </w:r>
      <w:r w:rsidR="008F6D8D" w:rsidRPr="00DD5DD9">
        <w:t>However, w</w:t>
      </w:r>
      <w:r w:rsidRPr="00DD5DD9">
        <w:t xml:space="preserve">here laboratory testing capacity is overwhelmed, consider preserving laboratory-based tests </w:t>
      </w:r>
      <w:r w:rsidR="002F7AC5" w:rsidRPr="00DD5DD9">
        <w:t>for</w:t>
      </w:r>
      <w:r w:rsidRPr="00DD5DD9">
        <w:t xml:space="preserve"> those where </w:t>
      </w:r>
      <w:r w:rsidR="002F7AC5" w:rsidRPr="00DD5DD9">
        <w:t>greater characterisation of the virus</w:t>
      </w:r>
      <w:r w:rsidR="00CA6636" w:rsidRPr="00DD5DD9">
        <w:t xml:space="preserve"> by whole genome sequencing (WGS)</w:t>
      </w:r>
      <w:r w:rsidR="002F7AC5" w:rsidRPr="00DD5DD9">
        <w:t xml:space="preserve"> </w:t>
      </w:r>
      <w:r w:rsidRPr="00DD5DD9">
        <w:t xml:space="preserve">will </w:t>
      </w:r>
      <w:r w:rsidR="00BF5E11" w:rsidRPr="00DD5DD9">
        <w:t>inform</w:t>
      </w:r>
      <w:r w:rsidRPr="00DD5DD9">
        <w:t xml:space="preserve"> a patient’s treatment plan (i.e., those at higher risk of severe disease).</w:t>
      </w:r>
    </w:p>
    <w:p w14:paraId="7382236C" w14:textId="77777777" w:rsidR="008F6D8D" w:rsidRPr="00DD5DD9" w:rsidRDefault="008F6D8D" w:rsidP="009A5FA1">
      <w:pPr>
        <w:tabs>
          <w:tab w:val="left" w:pos="2127"/>
        </w:tabs>
        <w:spacing w:after="0"/>
        <w:jc w:val="left"/>
      </w:pPr>
    </w:p>
    <w:p w14:paraId="482A46C9" w14:textId="77777777" w:rsidR="00667F03" w:rsidRPr="00DD5DD9" w:rsidRDefault="00667F03" w:rsidP="00667F03">
      <w:pPr>
        <w:pStyle w:val="ListParagraph"/>
        <w:numPr>
          <w:ilvl w:val="0"/>
          <w:numId w:val="14"/>
        </w:numPr>
        <w:ind w:left="1985" w:hanging="1985"/>
        <w:jc w:val="left"/>
        <w:rPr>
          <w:i/>
        </w:rPr>
      </w:pPr>
      <w:r w:rsidRPr="00DD5DD9">
        <w:rPr>
          <w:i/>
        </w:rPr>
        <w:t>People with known recent exposure to SARS-CoV-2 (contacts)</w:t>
      </w:r>
    </w:p>
    <w:p w14:paraId="762D986C" w14:textId="278EAA22" w:rsidR="00667F03" w:rsidRPr="00DD5DD9" w:rsidRDefault="00667F03" w:rsidP="002F7AC5">
      <w:pPr>
        <w:tabs>
          <w:tab w:val="left" w:pos="2127"/>
        </w:tabs>
        <w:spacing w:after="0"/>
        <w:jc w:val="left"/>
      </w:pPr>
      <w:r w:rsidRPr="00DD5DD9">
        <w:t xml:space="preserve">Contacts of known COVID-19 cases are at greatest risk of infection. In settings with no or low community transmission, consider </w:t>
      </w:r>
      <w:r w:rsidR="00DC048E" w:rsidRPr="00DD5DD9">
        <w:t xml:space="preserve">routine testing </w:t>
      </w:r>
      <w:r w:rsidR="00E17675" w:rsidRPr="00DD5DD9">
        <w:t xml:space="preserve">strategies </w:t>
      </w:r>
      <w:r w:rsidR="00DC048E" w:rsidRPr="00DD5DD9">
        <w:t>or</w:t>
      </w:r>
      <w:r w:rsidR="00C45F24" w:rsidRPr="00DD5DD9">
        <w:t xml:space="preserve"> </w:t>
      </w:r>
      <w:r w:rsidRPr="00DD5DD9">
        <w:t xml:space="preserve">monitoring contacts for symptom development that could be consistent with COVID-19 and encourage prompt referral for testing if symptoms develop (Priority Group 1). For this Priority Group, please refer to the </w:t>
      </w:r>
      <w:hyperlink r:id="rId24">
        <w:r w:rsidRPr="00DD5DD9">
          <w:rPr>
            <w:rStyle w:val="Hyperlink"/>
          </w:rPr>
          <w:t>National Guidelines</w:t>
        </w:r>
      </w:hyperlink>
      <w:r w:rsidRPr="00DD5DD9">
        <w:rPr>
          <w:i/>
          <w:iCs/>
        </w:rPr>
        <w:t xml:space="preserve"> </w:t>
      </w:r>
      <w:r w:rsidRPr="00DD5DD9">
        <w:t>for the most up-to-date</w:t>
      </w:r>
      <w:r w:rsidRPr="00C229FD">
        <w:t xml:space="preserve"> </w:t>
      </w:r>
      <w:r w:rsidRPr="00DD5DD9">
        <w:t xml:space="preserve">recommendations relating to the testing of close contacts. </w:t>
      </w:r>
    </w:p>
    <w:p w14:paraId="28D04C09" w14:textId="77777777" w:rsidR="008F6D8D" w:rsidRPr="00DD5DD9" w:rsidRDefault="008F6D8D" w:rsidP="002F7AC5">
      <w:pPr>
        <w:tabs>
          <w:tab w:val="left" w:pos="2127"/>
        </w:tabs>
        <w:spacing w:after="0"/>
        <w:jc w:val="left"/>
      </w:pPr>
    </w:p>
    <w:p w14:paraId="25489EEA" w14:textId="77777777" w:rsidR="00667F03" w:rsidRPr="00DD5DD9" w:rsidRDefault="00667F03" w:rsidP="00667F03">
      <w:pPr>
        <w:pStyle w:val="ListParagraph"/>
        <w:numPr>
          <w:ilvl w:val="0"/>
          <w:numId w:val="14"/>
        </w:numPr>
        <w:ind w:left="1985" w:hanging="1985"/>
        <w:jc w:val="left"/>
        <w:rPr>
          <w:i/>
        </w:rPr>
      </w:pPr>
      <w:r w:rsidRPr="00DD5DD9">
        <w:rPr>
          <w:i/>
        </w:rPr>
        <w:t>People at higher risk of exposure to SARS-CoV-2</w:t>
      </w:r>
    </w:p>
    <w:p w14:paraId="6E054BF9" w14:textId="77777777" w:rsidR="00667F03" w:rsidRPr="00DD5DD9" w:rsidRDefault="00667F03" w:rsidP="00667F03">
      <w:pPr>
        <w:jc w:val="left"/>
      </w:pPr>
      <w:r w:rsidRPr="00DD5DD9">
        <w:t>People who have frequent, close or extended contact with others have the potential for greater exposure to SARS-CoV-2. People at increased risk of exposure include those:</w:t>
      </w:r>
    </w:p>
    <w:p w14:paraId="3A874351" w14:textId="77777777" w:rsidR="00E17675" w:rsidRPr="00DD5DD9" w:rsidRDefault="00667F03" w:rsidP="00667F03">
      <w:pPr>
        <w:pStyle w:val="ListParagraph"/>
        <w:numPr>
          <w:ilvl w:val="0"/>
          <w:numId w:val="11"/>
        </w:numPr>
        <w:jc w:val="left"/>
      </w:pPr>
      <w:r w:rsidRPr="00DD5DD9">
        <w:t>with a travel history to areas with higher rates of COVID-19</w:t>
      </w:r>
      <w:r w:rsidR="00C64FE0" w:rsidRPr="00DD5DD9">
        <w:t xml:space="preserve"> </w:t>
      </w:r>
    </w:p>
    <w:p w14:paraId="5C408EE9" w14:textId="1D896227" w:rsidR="00667F03" w:rsidRPr="00DD5DD9" w:rsidRDefault="00667F03" w:rsidP="00667F03">
      <w:pPr>
        <w:pStyle w:val="ListParagraph"/>
        <w:numPr>
          <w:ilvl w:val="0"/>
          <w:numId w:val="11"/>
        </w:numPr>
        <w:jc w:val="left"/>
      </w:pPr>
      <w:r w:rsidRPr="00DD5DD9">
        <w:t xml:space="preserve">who care for people with COVID-19 or </w:t>
      </w:r>
    </w:p>
    <w:p w14:paraId="33B75970" w14:textId="2BA5FBCE" w:rsidR="00667F03" w:rsidRPr="00DD5DD9" w:rsidRDefault="00667F03" w:rsidP="00667F03">
      <w:pPr>
        <w:pStyle w:val="ListParagraph"/>
        <w:numPr>
          <w:ilvl w:val="0"/>
          <w:numId w:val="11"/>
        </w:numPr>
        <w:jc w:val="left"/>
      </w:pPr>
      <w:r w:rsidRPr="00DD5DD9">
        <w:t>who have contact with people who are more likely to have an active infection</w:t>
      </w:r>
      <w:r w:rsidR="0091349A" w:rsidRPr="00DD5DD9">
        <w:t xml:space="preserve"> as part of their regular work</w:t>
      </w:r>
      <w:r w:rsidRPr="00DD5DD9">
        <w:t>.</w:t>
      </w:r>
    </w:p>
    <w:p w14:paraId="1BEEDA88" w14:textId="77777777" w:rsidR="00667F03" w:rsidRPr="00DD5DD9" w:rsidRDefault="00667F03" w:rsidP="00667F03">
      <w:pPr>
        <w:jc w:val="left"/>
      </w:pPr>
      <w:r w:rsidRPr="00DD5DD9">
        <w:t>In epidemiological zones where there is no or limited community transmission, groups identified as being at increased risk of exposure to SARS-CoV-2 infection include, but are not limited to:</w:t>
      </w:r>
    </w:p>
    <w:p w14:paraId="354259C4" w14:textId="77777777" w:rsidR="00667F03" w:rsidRPr="00DD5DD9" w:rsidRDefault="00667F03" w:rsidP="00667F03">
      <w:pPr>
        <w:pStyle w:val="ListParagraph"/>
        <w:numPr>
          <w:ilvl w:val="0"/>
          <w:numId w:val="11"/>
        </w:numPr>
        <w:jc w:val="left"/>
      </w:pPr>
      <w:r w:rsidRPr="00DD5DD9">
        <w:t>international border staff</w:t>
      </w:r>
    </w:p>
    <w:p w14:paraId="4D7A7D2F" w14:textId="77777777" w:rsidR="00667F03" w:rsidRPr="00DD5DD9" w:rsidRDefault="00667F03" w:rsidP="00667F03">
      <w:pPr>
        <w:pStyle w:val="ListParagraph"/>
        <w:numPr>
          <w:ilvl w:val="0"/>
          <w:numId w:val="11"/>
        </w:numPr>
        <w:jc w:val="left"/>
      </w:pPr>
      <w:r w:rsidRPr="00DD5DD9">
        <w:t>workers supporting quarantine and isolation services</w:t>
      </w:r>
    </w:p>
    <w:p w14:paraId="6F214AC4" w14:textId="77777777" w:rsidR="00667F03" w:rsidRPr="00DD5DD9" w:rsidRDefault="00667F03" w:rsidP="00667F03">
      <w:pPr>
        <w:pStyle w:val="ListParagraph"/>
        <w:numPr>
          <w:ilvl w:val="0"/>
          <w:numId w:val="11"/>
        </w:numPr>
        <w:jc w:val="left"/>
      </w:pPr>
      <w:r w:rsidRPr="00DD5DD9">
        <w:lastRenderedPageBreak/>
        <w:t>air and maritime crew or</w:t>
      </w:r>
    </w:p>
    <w:p w14:paraId="6B3E211C" w14:textId="77777777" w:rsidR="00667F03" w:rsidRPr="00DD5DD9" w:rsidRDefault="00667F03" w:rsidP="00667F03">
      <w:pPr>
        <w:pStyle w:val="ListParagraph"/>
        <w:numPr>
          <w:ilvl w:val="0"/>
          <w:numId w:val="11"/>
        </w:numPr>
        <w:jc w:val="left"/>
      </w:pPr>
      <w:r w:rsidRPr="00DD5DD9">
        <w:t>health care workers and aged care workers with direct patient contact.</w:t>
      </w:r>
    </w:p>
    <w:p w14:paraId="49891C31" w14:textId="77777777" w:rsidR="00667F03" w:rsidRPr="00DD5DD9" w:rsidRDefault="00667F03" w:rsidP="00667F03">
      <w:pPr>
        <w:jc w:val="left"/>
      </w:pPr>
      <w:r w:rsidRPr="00DD5DD9">
        <w:t>Depending on the epidemiological context, casual and mobile workers who work across multiple settings (for example, cleaners, rideshare service and taxi drivers, construction workers, security personnel) may also have an increased risk of exposure. This might be because:</w:t>
      </w:r>
    </w:p>
    <w:p w14:paraId="2C0B68BB" w14:textId="77777777" w:rsidR="00667F03" w:rsidRPr="00DD5DD9" w:rsidRDefault="00667F03" w:rsidP="00667F03">
      <w:pPr>
        <w:pStyle w:val="ListParagraph"/>
        <w:numPr>
          <w:ilvl w:val="0"/>
          <w:numId w:val="31"/>
        </w:numPr>
        <w:jc w:val="left"/>
      </w:pPr>
      <w:r w:rsidRPr="00DD5DD9">
        <w:t>they have multiple potential exposure points</w:t>
      </w:r>
    </w:p>
    <w:p w14:paraId="4CBD9B1C" w14:textId="77777777" w:rsidR="00667F03" w:rsidRPr="00DD5DD9" w:rsidRDefault="00667F03" w:rsidP="00667F03">
      <w:pPr>
        <w:pStyle w:val="ListParagraph"/>
        <w:numPr>
          <w:ilvl w:val="0"/>
          <w:numId w:val="31"/>
        </w:numPr>
        <w:jc w:val="left"/>
      </w:pPr>
      <w:r w:rsidRPr="00DD5DD9">
        <w:t>they may have a larger number of work colleagues (who may feel that they need to continue working despite being unwell) or</w:t>
      </w:r>
    </w:p>
    <w:p w14:paraId="20F45E76" w14:textId="1E1A9DFB" w:rsidR="00667F03" w:rsidRPr="00DD5DD9" w:rsidRDefault="00667F03" w:rsidP="001F5523">
      <w:pPr>
        <w:pStyle w:val="ListParagraph"/>
        <w:numPr>
          <w:ilvl w:val="0"/>
          <w:numId w:val="31"/>
        </w:numPr>
        <w:spacing w:after="0"/>
        <w:jc w:val="left"/>
      </w:pPr>
      <w:r w:rsidRPr="00DD5DD9">
        <w:t>there may be challenges in health messaging.</w:t>
      </w:r>
    </w:p>
    <w:p w14:paraId="7E2B735B" w14:textId="77777777" w:rsidR="008F6D8D" w:rsidRPr="00DD5DD9" w:rsidRDefault="008F6D8D" w:rsidP="001F5523">
      <w:pPr>
        <w:spacing w:after="0"/>
        <w:jc w:val="left"/>
      </w:pPr>
    </w:p>
    <w:p w14:paraId="63C54033" w14:textId="77777777" w:rsidR="00667F03" w:rsidRPr="00DD5DD9" w:rsidRDefault="00667F03" w:rsidP="00667F03">
      <w:pPr>
        <w:pStyle w:val="ListParagraph"/>
        <w:keepLines/>
        <w:numPr>
          <w:ilvl w:val="0"/>
          <w:numId w:val="14"/>
        </w:numPr>
        <w:tabs>
          <w:tab w:val="left" w:pos="2127"/>
        </w:tabs>
        <w:ind w:left="1985" w:hanging="1985"/>
        <w:jc w:val="left"/>
        <w:rPr>
          <w:i/>
        </w:rPr>
      </w:pPr>
      <w:r w:rsidRPr="00DD5DD9">
        <w:rPr>
          <w:i/>
        </w:rPr>
        <w:t>People in high and special-risk settings, including where disease amplification is likely, or where people live or visit others who have an increased risk of severe disease and death.</w:t>
      </w:r>
    </w:p>
    <w:p w14:paraId="213CC3FD" w14:textId="431ABC65" w:rsidR="00667F03" w:rsidRPr="00DD5DD9" w:rsidRDefault="00397A12" w:rsidP="00667F03">
      <w:pPr>
        <w:jc w:val="left"/>
      </w:pPr>
      <w:r w:rsidRPr="00DD5DD9">
        <w:t xml:space="preserve">In areas of increased community transmission that places a burden on (Epidemiological Zone 3), or overwhelms (Epidemiological Zone 4) laboratory capacity, Priority Group 4 would become a higher priority than Group 3. </w:t>
      </w:r>
      <w:r w:rsidR="00667F03" w:rsidRPr="00DD5DD9">
        <w:t>Settings where disease is likely to readily transmit and amplify if an infectious case is introduced are those:</w:t>
      </w:r>
    </w:p>
    <w:p w14:paraId="3337841F" w14:textId="77777777" w:rsidR="00667F03" w:rsidRPr="00DD5DD9" w:rsidRDefault="00667F03" w:rsidP="00667F03">
      <w:pPr>
        <w:pStyle w:val="ListParagraph"/>
        <w:numPr>
          <w:ilvl w:val="0"/>
          <w:numId w:val="11"/>
        </w:numPr>
        <w:jc w:val="left"/>
      </w:pPr>
      <w:r w:rsidRPr="00DD5DD9">
        <w:t xml:space="preserve">with a high population density </w:t>
      </w:r>
    </w:p>
    <w:p w14:paraId="73D4707A" w14:textId="77777777" w:rsidR="00667F03" w:rsidRPr="00DD5DD9" w:rsidRDefault="00667F03" w:rsidP="00667F03">
      <w:pPr>
        <w:pStyle w:val="ListParagraph"/>
        <w:numPr>
          <w:ilvl w:val="0"/>
          <w:numId w:val="11"/>
        </w:numPr>
        <w:jc w:val="left"/>
      </w:pPr>
      <w:r w:rsidRPr="00DD5DD9">
        <w:t xml:space="preserve">where people are living or working near others or </w:t>
      </w:r>
    </w:p>
    <w:p w14:paraId="37EBE2A5" w14:textId="77777777" w:rsidR="00667F03" w:rsidRPr="00DD5DD9" w:rsidRDefault="00667F03" w:rsidP="00667F03">
      <w:pPr>
        <w:pStyle w:val="ListParagraph"/>
        <w:numPr>
          <w:ilvl w:val="0"/>
          <w:numId w:val="11"/>
        </w:numPr>
        <w:jc w:val="left"/>
      </w:pPr>
      <w:r w:rsidRPr="00DD5DD9">
        <w:t>with specific environmental conditions.</w:t>
      </w:r>
    </w:p>
    <w:p w14:paraId="6F62A430" w14:textId="77777777" w:rsidR="00667F03" w:rsidRPr="00DD5DD9" w:rsidRDefault="00667F03" w:rsidP="00667F03">
      <w:pPr>
        <w:jc w:val="left"/>
      </w:pPr>
      <w:r w:rsidRPr="00DD5DD9">
        <w:t>These settings may include, but are not limited to:</w:t>
      </w:r>
    </w:p>
    <w:p w14:paraId="3641B3E2" w14:textId="77777777" w:rsidR="00667F03" w:rsidRPr="00DD5DD9" w:rsidRDefault="00667F03" w:rsidP="00667F03">
      <w:pPr>
        <w:pStyle w:val="ListParagraph"/>
        <w:numPr>
          <w:ilvl w:val="0"/>
          <w:numId w:val="11"/>
        </w:numPr>
        <w:jc w:val="left"/>
      </w:pPr>
      <w:r w:rsidRPr="00DD5DD9">
        <w:t>health care settings</w:t>
      </w:r>
    </w:p>
    <w:p w14:paraId="119EB50E" w14:textId="77777777" w:rsidR="00667F03" w:rsidRPr="00DD5DD9" w:rsidRDefault="00667F03" w:rsidP="00667F03">
      <w:pPr>
        <w:pStyle w:val="ListParagraph"/>
        <w:numPr>
          <w:ilvl w:val="0"/>
          <w:numId w:val="11"/>
        </w:numPr>
        <w:jc w:val="left"/>
      </w:pPr>
      <w:r w:rsidRPr="00DD5DD9">
        <w:t>residential aged care settings</w:t>
      </w:r>
    </w:p>
    <w:p w14:paraId="1094864C" w14:textId="77777777" w:rsidR="00667F03" w:rsidRPr="00DD5DD9" w:rsidRDefault="00667F03" w:rsidP="00667F03">
      <w:pPr>
        <w:pStyle w:val="ListParagraph"/>
        <w:numPr>
          <w:ilvl w:val="0"/>
          <w:numId w:val="11"/>
        </w:numPr>
        <w:jc w:val="left"/>
      </w:pPr>
      <w:r w:rsidRPr="00DD5DD9">
        <w:t>residential care settings</w:t>
      </w:r>
    </w:p>
    <w:p w14:paraId="2CF0CB88" w14:textId="77777777" w:rsidR="00667F03" w:rsidRPr="00DD5DD9" w:rsidRDefault="00667F03" w:rsidP="00667F03">
      <w:pPr>
        <w:pStyle w:val="ListParagraph"/>
        <w:numPr>
          <w:ilvl w:val="0"/>
          <w:numId w:val="11"/>
        </w:numPr>
        <w:jc w:val="left"/>
      </w:pPr>
      <w:r w:rsidRPr="00DD5DD9">
        <w:t>primary schools</w:t>
      </w:r>
    </w:p>
    <w:p w14:paraId="2CBCE38B" w14:textId="77777777" w:rsidR="00667F03" w:rsidRPr="00DD5DD9" w:rsidRDefault="00667F03" w:rsidP="00667F03">
      <w:pPr>
        <w:pStyle w:val="ListParagraph"/>
        <w:numPr>
          <w:ilvl w:val="0"/>
          <w:numId w:val="11"/>
        </w:numPr>
        <w:jc w:val="left"/>
      </w:pPr>
      <w:r w:rsidRPr="00DD5DD9">
        <w:t>crowded or high-density housing</w:t>
      </w:r>
    </w:p>
    <w:p w14:paraId="65721BBE" w14:textId="77777777" w:rsidR="00667F03" w:rsidRPr="00DD5DD9" w:rsidRDefault="00667F03" w:rsidP="00667F03">
      <w:pPr>
        <w:pStyle w:val="ListParagraph"/>
        <w:numPr>
          <w:ilvl w:val="0"/>
          <w:numId w:val="11"/>
        </w:numPr>
        <w:jc w:val="left"/>
      </w:pPr>
      <w:r w:rsidRPr="00DD5DD9">
        <w:t>Aboriginal and Torres Strait Islander communities</w:t>
      </w:r>
    </w:p>
    <w:p w14:paraId="659F3677" w14:textId="77777777" w:rsidR="00667F03" w:rsidRPr="00DD5DD9" w:rsidRDefault="00667F03" w:rsidP="00667F03">
      <w:pPr>
        <w:pStyle w:val="ListParagraph"/>
        <w:numPr>
          <w:ilvl w:val="0"/>
          <w:numId w:val="11"/>
        </w:numPr>
        <w:jc w:val="left"/>
      </w:pPr>
      <w:r w:rsidRPr="00DD5DD9">
        <w:t>correctional and detention facilities</w:t>
      </w:r>
    </w:p>
    <w:p w14:paraId="27F96965" w14:textId="77777777" w:rsidR="00667F03" w:rsidRPr="00DD5DD9" w:rsidRDefault="00667F03" w:rsidP="00667F03">
      <w:pPr>
        <w:pStyle w:val="ListParagraph"/>
        <w:numPr>
          <w:ilvl w:val="0"/>
          <w:numId w:val="11"/>
        </w:numPr>
        <w:jc w:val="left"/>
      </w:pPr>
      <w:r w:rsidRPr="00DD5DD9">
        <w:t>homeless shelters and residential/crisis hostels</w:t>
      </w:r>
    </w:p>
    <w:p w14:paraId="264D0C54" w14:textId="77777777" w:rsidR="00667F03" w:rsidRPr="00DD5DD9" w:rsidRDefault="00667F03" w:rsidP="00667F03">
      <w:pPr>
        <w:pStyle w:val="ListParagraph"/>
        <w:numPr>
          <w:ilvl w:val="0"/>
          <w:numId w:val="11"/>
        </w:numPr>
        <w:jc w:val="left"/>
      </w:pPr>
      <w:r w:rsidRPr="00DD5DD9">
        <w:t xml:space="preserve">mining sites and </w:t>
      </w:r>
    </w:p>
    <w:p w14:paraId="74DEB4AD" w14:textId="77777777" w:rsidR="00667F03" w:rsidRPr="00DD5DD9" w:rsidRDefault="00667F03" w:rsidP="00667F03">
      <w:pPr>
        <w:pStyle w:val="ListParagraph"/>
        <w:numPr>
          <w:ilvl w:val="0"/>
          <w:numId w:val="11"/>
        </w:numPr>
        <w:jc w:val="left"/>
      </w:pPr>
      <w:r w:rsidRPr="00DD5DD9">
        <w:t>food processing, distribution, and cold storage facilities, including abattoirs.</w:t>
      </w:r>
    </w:p>
    <w:p w14:paraId="1EC6399A" w14:textId="404E37B3" w:rsidR="00667F03" w:rsidRPr="00DD5DD9" w:rsidRDefault="00667F03" w:rsidP="00CA2AB0">
      <w:pPr>
        <w:spacing w:after="0"/>
        <w:jc w:val="left"/>
      </w:pPr>
      <w:r w:rsidRPr="00DD5DD9">
        <w:t xml:space="preserve">Older people are at the highest risk of severe COVID-19 outcomes. Other people with certain pre-existing conditions are also at increased risk of severe COVID-19. Information on those at high risk of severe disease is available on the </w:t>
      </w:r>
      <w:hyperlink r:id="rId25">
        <w:r w:rsidRPr="00DD5DD9">
          <w:rPr>
            <w:rStyle w:val="Hyperlink"/>
          </w:rPr>
          <w:t>Department of Health website</w:t>
        </w:r>
      </w:hyperlink>
      <w:r w:rsidRPr="00DD5DD9">
        <w:t>.</w:t>
      </w:r>
    </w:p>
    <w:p w14:paraId="13BB9EBA" w14:textId="77777777" w:rsidR="008F6D8D" w:rsidRPr="00DD5DD9" w:rsidRDefault="008F6D8D" w:rsidP="00CA2AB0">
      <w:pPr>
        <w:spacing w:after="0"/>
        <w:jc w:val="left"/>
      </w:pPr>
    </w:p>
    <w:p w14:paraId="2BD8BB33" w14:textId="636F714B" w:rsidR="008F6D8D" w:rsidRPr="00DD5DD9" w:rsidRDefault="008F6D8D" w:rsidP="00CA2AB0">
      <w:pPr>
        <w:pStyle w:val="Heading2"/>
      </w:pPr>
      <w:bookmarkStart w:id="26" w:name="_Toc93492876"/>
      <w:r w:rsidRPr="00DD5DD9">
        <w:t>Epidemiological Zones</w:t>
      </w:r>
      <w:bookmarkStart w:id="27" w:name="_Toc93492877"/>
      <w:bookmarkEnd w:id="26"/>
      <w:bookmarkEnd w:id="27"/>
    </w:p>
    <w:p w14:paraId="64D0F554" w14:textId="5013AF9D" w:rsidR="00DB075E" w:rsidRPr="00DD5DD9" w:rsidRDefault="00280F36" w:rsidP="00A77919">
      <w:r w:rsidRPr="00DD5DD9">
        <w:t xml:space="preserve">Four </w:t>
      </w:r>
      <w:r w:rsidR="006652E9" w:rsidRPr="00DD5DD9">
        <w:t>epidemiological zones</w:t>
      </w:r>
      <w:r w:rsidRPr="00DD5DD9">
        <w:t xml:space="preserve"> </w:t>
      </w:r>
      <w:r w:rsidR="006652E9" w:rsidRPr="00DD5DD9">
        <w:t xml:space="preserve">have been defined to reflect the range of community transmission rates a jurisdiction may experience </w:t>
      </w:r>
      <w:r w:rsidR="002438AA" w:rsidRPr="00DD5DD9">
        <w:t>throughout the evolution of the pandemic</w:t>
      </w:r>
      <w:r w:rsidR="006652E9" w:rsidRPr="00DD5DD9">
        <w:t>; from no community transmission (Epidemiological Zone 1) to high community transmission causing the health pathology sector to become overwhelmed (Epidemiological Zone 4).</w:t>
      </w:r>
    </w:p>
    <w:p w14:paraId="69A6DC47" w14:textId="1964F085" w:rsidR="00FB52B3" w:rsidRPr="00DD5DD9" w:rsidRDefault="006652E9" w:rsidP="00AF1E3D">
      <w:r w:rsidRPr="00DD5DD9">
        <w:t>The current Epidemiological zones are</w:t>
      </w:r>
      <w:r w:rsidR="00FB52B3" w:rsidRPr="00DD5DD9">
        <w:t xml:space="preserve"> defined below. </w:t>
      </w:r>
    </w:p>
    <w:p w14:paraId="0A5B9E29" w14:textId="77777777" w:rsidR="00AF1E3D" w:rsidRPr="00DD5DD9" w:rsidRDefault="00AF1E3D" w:rsidP="00D14968"/>
    <w:p w14:paraId="36AE9B47" w14:textId="111C2765" w:rsidR="002D15BF" w:rsidRPr="00DD5DD9" w:rsidRDefault="01233D06" w:rsidP="00D14968">
      <w:pPr>
        <w:pStyle w:val="Heading3"/>
      </w:pPr>
      <w:bookmarkStart w:id="28" w:name="_Toc93492878"/>
      <w:bookmarkStart w:id="29" w:name="_Toc56505894"/>
      <w:bookmarkStart w:id="30" w:name="_Toc56713002"/>
      <w:bookmarkStart w:id="31" w:name="_Toc57127204"/>
      <w:bookmarkStart w:id="32" w:name="_Toc57149382"/>
      <w:bookmarkStart w:id="33" w:name="_Toc1752766244"/>
      <w:bookmarkStart w:id="34" w:name="_Toc158845847"/>
      <w:bookmarkStart w:id="35" w:name="_Toc93492879"/>
      <w:bookmarkEnd w:id="28"/>
      <w:r w:rsidRPr="00DD5DD9">
        <w:lastRenderedPageBreak/>
        <w:t xml:space="preserve">Epidemiological </w:t>
      </w:r>
      <w:r w:rsidR="450C31E4" w:rsidRPr="00DD5DD9">
        <w:t>Zone</w:t>
      </w:r>
      <w:r w:rsidRPr="00DD5DD9">
        <w:t xml:space="preserve"> 1</w:t>
      </w:r>
      <w:r w:rsidR="660EB02F" w:rsidRPr="00DD5DD9">
        <w:t xml:space="preserve"> – No </w:t>
      </w:r>
      <w:bookmarkEnd w:id="29"/>
      <w:r w:rsidR="36A2CDAA" w:rsidRPr="00DD5DD9">
        <w:t>community transmission</w:t>
      </w:r>
      <w:bookmarkEnd w:id="30"/>
      <w:bookmarkEnd w:id="31"/>
      <w:bookmarkEnd w:id="32"/>
      <w:bookmarkEnd w:id="33"/>
      <w:bookmarkEnd w:id="34"/>
      <w:bookmarkEnd w:id="35"/>
    </w:p>
    <w:p w14:paraId="13930DEA" w14:textId="1E450137" w:rsidR="00FB52B3" w:rsidRPr="00C229FD" w:rsidRDefault="00FB52B3" w:rsidP="00C229FD">
      <w:pPr>
        <w:spacing w:before="240"/>
        <w:ind w:left="2880" w:hanging="2880"/>
      </w:pPr>
      <w:bookmarkStart w:id="36" w:name="_Toc56505896"/>
      <w:bookmarkStart w:id="37" w:name="_Toc56516089"/>
      <w:bookmarkStart w:id="38" w:name="_Toc56712888"/>
      <w:bookmarkStart w:id="39" w:name="_Toc56713004"/>
      <w:bookmarkStart w:id="40" w:name="_Toc57127206"/>
      <w:bookmarkStart w:id="41" w:name="_Toc57149384"/>
      <w:bookmarkStart w:id="42" w:name="_Toc57187371"/>
      <w:bookmarkStart w:id="43" w:name="_Toc58453396"/>
      <w:bookmarkStart w:id="44" w:name="_Toc58453484"/>
      <w:bookmarkStart w:id="45" w:name="_Toc629838206"/>
      <w:bookmarkStart w:id="46" w:name="_Toc1795964014"/>
      <w:r w:rsidRPr="00B82371">
        <w:t xml:space="preserve">Epidemiological context - </w:t>
      </w:r>
      <w:r w:rsidRPr="00B82371">
        <w:tab/>
      </w:r>
      <w:r w:rsidRPr="00B82371">
        <w:rPr>
          <w:i/>
          <w:iCs/>
        </w:rPr>
        <w:t>No locally acquired cases outside of returned travellers in quarantine.</w:t>
      </w:r>
    </w:p>
    <w:p w14:paraId="2BD7D386" w14:textId="3C368B84" w:rsidR="00610D6D" w:rsidRPr="00DD5DD9" w:rsidRDefault="6FF6277F" w:rsidP="00B05DE5">
      <w:pPr>
        <w:rPr>
          <w:bCs/>
        </w:rPr>
      </w:pPr>
      <w:r w:rsidRPr="00DD5DD9">
        <w:rPr>
          <w:b/>
          <w:bCs/>
        </w:rPr>
        <w:t>Testing focus</w:t>
      </w:r>
      <w:bookmarkEnd w:id="36"/>
      <w:bookmarkEnd w:id="37"/>
      <w:bookmarkEnd w:id="38"/>
      <w:bookmarkEnd w:id="39"/>
      <w:bookmarkEnd w:id="40"/>
      <w:bookmarkEnd w:id="41"/>
      <w:bookmarkEnd w:id="42"/>
      <w:bookmarkEnd w:id="43"/>
      <w:bookmarkEnd w:id="44"/>
      <w:bookmarkEnd w:id="45"/>
      <w:bookmarkEnd w:id="46"/>
    </w:p>
    <w:p w14:paraId="62F05E0C" w14:textId="79A21115" w:rsidR="007F0304" w:rsidRPr="00DD5DD9" w:rsidRDefault="00A77919" w:rsidP="004E1EC7">
      <w:pPr>
        <w:jc w:val="left"/>
      </w:pPr>
      <w:r w:rsidRPr="00DD5DD9">
        <w:t xml:space="preserve">The </w:t>
      </w:r>
      <w:r w:rsidR="004041DE" w:rsidRPr="00DD5DD9">
        <w:t>aim</w:t>
      </w:r>
      <w:r w:rsidRPr="00DD5DD9">
        <w:t xml:space="preserve"> in this Epidemiological Zone is to increase confidence that</w:t>
      </w:r>
      <w:r w:rsidR="007F0304" w:rsidRPr="00DD5DD9">
        <w:t>:</w:t>
      </w:r>
    </w:p>
    <w:p w14:paraId="21C9F138" w14:textId="59763FA6" w:rsidR="007F0304" w:rsidRPr="00DD5DD9" w:rsidRDefault="00A77919" w:rsidP="00774252">
      <w:pPr>
        <w:pStyle w:val="ListParagraph"/>
        <w:numPr>
          <w:ilvl w:val="0"/>
          <w:numId w:val="48"/>
        </w:numPr>
        <w:jc w:val="left"/>
      </w:pPr>
      <w:r w:rsidRPr="00DD5DD9">
        <w:t>SARS-CoV-2 transmission is not continuing undetected</w:t>
      </w:r>
      <w:r w:rsidR="00FE5F34" w:rsidRPr="00DD5DD9">
        <w:t>,</w:t>
      </w:r>
      <w:r w:rsidRPr="00DD5DD9">
        <w:t xml:space="preserve"> and </w:t>
      </w:r>
    </w:p>
    <w:p w14:paraId="6C08165C" w14:textId="16DEFF85" w:rsidR="007F0304" w:rsidRPr="00DD5DD9" w:rsidRDefault="00A77919" w:rsidP="000D45B1">
      <w:pPr>
        <w:pStyle w:val="ListParagraph"/>
        <w:numPr>
          <w:ilvl w:val="0"/>
          <w:numId w:val="47"/>
        </w:numPr>
        <w:jc w:val="left"/>
      </w:pPr>
      <w:r w:rsidRPr="00DD5DD9">
        <w:t xml:space="preserve">any imported cases </w:t>
      </w:r>
      <w:r w:rsidR="00BE084D" w:rsidRPr="00DD5DD9">
        <w:t xml:space="preserve">in the community </w:t>
      </w:r>
      <w:r w:rsidR="007F0304" w:rsidRPr="00DD5DD9">
        <w:t>are quickly identified,</w:t>
      </w:r>
      <w:r w:rsidR="00077B14" w:rsidRPr="00DD5DD9">
        <w:t xml:space="preserve"> to</w:t>
      </w:r>
      <w:r w:rsidRPr="00DD5DD9">
        <w:t xml:space="preserve"> initiate a move to ‘outbreak response’</w:t>
      </w:r>
      <w:r w:rsidR="0020601D" w:rsidRPr="00DD5DD9">
        <w:t xml:space="preserve"> as quickly as possible</w:t>
      </w:r>
      <w:r w:rsidRPr="00DD5DD9">
        <w:t>.</w:t>
      </w:r>
    </w:p>
    <w:p w14:paraId="4309DDD2" w14:textId="03FD4A6A" w:rsidR="00A77919" w:rsidRPr="00DD5DD9" w:rsidRDefault="00D729DE" w:rsidP="00F00EA6">
      <w:pPr>
        <w:jc w:val="left"/>
      </w:pPr>
      <w:r w:rsidRPr="00DD5DD9">
        <w:t xml:space="preserve">Detecting ‘zero’ COVID-19 cases with confidence requires </w:t>
      </w:r>
      <w:r w:rsidR="004041DE" w:rsidRPr="00DD5DD9">
        <w:t>extremely</w:t>
      </w:r>
      <w:r w:rsidRPr="00DD5DD9">
        <w:t xml:space="preserve"> high levels of testing</w:t>
      </w:r>
      <w:r w:rsidR="00F156C4" w:rsidRPr="00DD5DD9">
        <w:t xml:space="preserve">. </w:t>
      </w:r>
      <w:r w:rsidR="00EC6893" w:rsidRPr="00DD5DD9">
        <w:t>Therefore</w:t>
      </w:r>
      <w:r w:rsidR="00D373F8" w:rsidRPr="00DD5DD9">
        <w:t>,</w:t>
      </w:r>
      <w:r w:rsidR="00EC6893" w:rsidRPr="00DD5DD9">
        <w:t xml:space="preserve"> testing in this Epidemiological Zone should focus on:</w:t>
      </w:r>
    </w:p>
    <w:p w14:paraId="34CED752" w14:textId="21BB79C0" w:rsidR="009E2C14" w:rsidRPr="00DD5DD9" w:rsidRDefault="009E2C14" w:rsidP="005244D4">
      <w:pPr>
        <w:pStyle w:val="ListParagraph"/>
        <w:numPr>
          <w:ilvl w:val="0"/>
          <w:numId w:val="11"/>
        </w:numPr>
        <w:jc w:val="left"/>
      </w:pPr>
      <w:r w:rsidRPr="00DD5DD9">
        <w:t>Priority Group 1 - People with COVID-19 compatible symptoms</w:t>
      </w:r>
      <w:r w:rsidR="007F0304" w:rsidRPr="00DD5DD9">
        <w:t>.</w:t>
      </w:r>
    </w:p>
    <w:p w14:paraId="06821A24" w14:textId="4E80B22B" w:rsidR="00024EB1" w:rsidRPr="00DD5DD9" w:rsidRDefault="00024EB1" w:rsidP="005244D4">
      <w:pPr>
        <w:pStyle w:val="ListParagraph"/>
        <w:numPr>
          <w:ilvl w:val="0"/>
          <w:numId w:val="11"/>
        </w:numPr>
      </w:pPr>
      <w:r w:rsidRPr="00DD5DD9">
        <w:t xml:space="preserve">Priority Group </w:t>
      </w:r>
      <w:r w:rsidR="00FD6DB7" w:rsidRPr="00DD5DD9">
        <w:t>3</w:t>
      </w:r>
      <w:r w:rsidRPr="00DD5DD9">
        <w:t xml:space="preserve"> - </w:t>
      </w:r>
      <w:r w:rsidR="00FD6DB7" w:rsidRPr="00DD5DD9">
        <w:t>People at risk of exposure to SARS-CoV-2</w:t>
      </w:r>
      <w:r w:rsidR="007F0304" w:rsidRPr="00DD5DD9">
        <w:t>.</w:t>
      </w:r>
    </w:p>
    <w:p w14:paraId="289F82EA" w14:textId="07467760" w:rsidR="002438AA" w:rsidRPr="00DD5DD9" w:rsidRDefault="46058436" w:rsidP="00F00EA6">
      <w:pPr>
        <w:jc w:val="left"/>
      </w:pPr>
      <w:r w:rsidRPr="00DD5DD9">
        <w:t>Encourage</w:t>
      </w:r>
      <w:r w:rsidR="226C9687" w:rsidRPr="00DD5DD9">
        <w:t xml:space="preserve"> people with COVID-19 compatible symptoms</w:t>
      </w:r>
      <w:r w:rsidR="3FC13EFC" w:rsidRPr="00DD5DD9">
        <w:t xml:space="preserve"> and with known recent exposure to SARS-CoV-2</w:t>
      </w:r>
      <w:r w:rsidR="226C9687" w:rsidRPr="00DD5DD9">
        <w:t xml:space="preserve"> to promptly present for testing</w:t>
      </w:r>
      <w:r w:rsidR="67CF0AF1" w:rsidRPr="00DD5DD9">
        <w:t>.</w:t>
      </w:r>
      <w:r w:rsidRPr="00DD5DD9">
        <w:t xml:space="preserve"> This</w:t>
      </w:r>
      <w:r w:rsidR="226C9687" w:rsidRPr="00DD5DD9">
        <w:t xml:space="preserve"> continues to be important even in extremely low prevalence contexts.</w:t>
      </w:r>
      <w:r w:rsidR="0032BC8C" w:rsidRPr="00DD5DD9">
        <w:t xml:space="preserve"> </w:t>
      </w:r>
      <w:r w:rsidRPr="00DD5DD9">
        <w:t>Encourage t</w:t>
      </w:r>
      <w:r w:rsidR="0032BC8C" w:rsidRPr="00DD5DD9">
        <w:t>esting regardless of symptom</w:t>
      </w:r>
      <w:r w:rsidR="25D49931" w:rsidRPr="00DD5DD9">
        <w:t xml:space="preserve"> severity</w:t>
      </w:r>
      <w:r w:rsidR="0032BC8C" w:rsidRPr="00DD5DD9">
        <w:t>.</w:t>
      </w:r>
    </w:p>
    <w:p w14:paraId="6B063D5B" w14:textId="72866361" w:rsidR="00513BB6" w:rsidRPr="00DD5DD9" w:rsidRDefault="25D49931" w:rsidP="00F00EA6">
      <w:pPr>
        <w:jc w:val="left"/>
      </w:pPr>
      <w:r w:rsidRPr="00DD5DD9">
        <w:t>I</w:t>
      </w:r>
      <w:r w:rsidR="226C9687" w:rsidRPr="00DD5DD9">
        <w:t>n this context</w:t>
      </w:r>
      <w:r w:rsidRPr="00DD5DD9">
        <w:t>, it is particularly important to</w:t>
      </w:r>
      <w:r w:rsidR="226C9687" w:rsidRPr="00DD5DD9">
        <w:t xml:space="preserve"> test </w:t>
      </w:r>
      <w:r w:rsidRPr="00DD5DD9">
        <w:t xml:space="preserve">all </w:t>
      </w:r>
      <w:r w:rsidR="226C9687" w:rsidRPr="00DD5DD9">
        <w:t>individual</w:t>
      </w:r>
      <w:r w:rsidRPr="00DD5DD9">
        <w:t>s</w:t>
      </w:r>
      <w:r w:rsidR="226C9687" w:rsidRPr="00DD5DD9">
        <w:t xml:space="preserve"> presenting to hospital with pneumonia or acute respiratory infection</w:t>
      </w:r>
      <w:r w:rsidR="22ACCC8C" w:rsidRPr="00DD5DD9">
        <w:t xml:space="preserve">. Testing individuals with severe disease </w:t>
      </w:r>
      <w:r w:rsidR="3D326037" w:rsidRPr="00DD5DD9">
        <w:t xml:space="preserve">may mitigate the risk of introduction of the virus to a </w:t>
      </w:r>
      <w:r w:rsidRPr="00DD5DD9">
        <w:t>high-</w:t>
      </w:r>
      <w:r w:rsidR="3D326037" w:rsidRPr="00DD5DD9">
        <w:t>risk setting</w:t>
      </w:r>
      <w:r w:rsidR="22ACCC8C" w:rsidRPr="00DD5DD9">
        <w:t xml:space="preserve">, </w:t>
      </w:r>
      <w:r w:rsidR="46058436" w:rsidRPr="00DD5DD9">
        <w:t>if</w:t>
      </w:r>
      <w:r w:rsidR="22ACCC8C" w:rsidRPr="00DD5DD9">
        <w:t xml:space="preserve"> there </w:t>
      </w:r>
      <w:r w:rsidR="46058436" w:rsidRPr="00DD5DD9">
        <w:t>is</w:t>
      </w:r>
      <w:r w:rsidR="22ACCC8C" w:rsidRPr="00DD5DD9">
        <w:t xml:space="preserve"> unknown community transmission</w:t>
      </w:r>
      <w:r w:rsidR="226C9687" w:rsidRPr="00DD5DD9">
        <w:t>. In geographical areas where wastewater testing detects the presence of SARS-CoV-2, further encourag</w:t>
      </w:r>
      <w:r w:rsidR="1D743E11" w:rsidRPr="00DD5DD9">
        <w:t>e</w:t>
      </w:r>
      <w:r w:rsidR="226C9687" w:rsidRPr="00DD5DD9">
        <w:t xml:space="preserve"> symptomatic individuals in the community to present</w:t>
      </w:r>
      <w:r w:rsidRPr="00DD5DD9">
        <w:t xml:space="preserve"> for</w:t>
      </w:r>
      <w:r w:rsidR="226C9687" w:rsidRPr="00DD5DD9">
        <w:t xml:space="preserve"> test</w:t>
      </w:r>
      <w:r w:rsidRPr="00DD5DD9">
        <w:t>ing</w:t>
      </w:r>
      <w:r w:rsidR="226C9687" w:rsidRPr="00DD5DD9">
        <w:t>.</w:t>
      </w:r>
    </w:p>
    <w:p w14:paraId="4FB873C0" w14:textId="355E5E9D" w:rsidR="002438AA" w:rsidRPr="00DD5DD9" w:rsidRDefault="00E03967" w:rsidP="00524F4D">
      <w:pPr>
        <w:jc w:val="left"/>
      </w:pPr>
      <w:r w:rsidRPr="00DD5DD9">
        <w:t xml:space="preserve">In this </w:t>
      </w:r>
      <w:r w:rsidR="00F00EA6" w:rsidRPr="00DD5DD9">
        <w:t>E</w:t>
      </w:r>
      <w:r w:rsidRPr="00DD5DD9">
        <w:t xml:space="preserve">pidemiological </w:t>
      </w:r>
      <w:r w:rsidR="00F00EA6" w:rsidRPr="00DD5DD9">
        <w:t>Zone</w:t>
      </w:r>
      <w:r w:rsidRPr="00DD5DD9">
        <w:t>, screening of asymptomatic</w:t>
      </w:r>
      <w:r w:rsidR="00E20769" w:rsidRPr="00DD5DD9">
        <w:t xml:space="preserve"> groups should focus </w:t>
      </w:r>
      <w:r w:rsidR="00190304" w:rsidRPr="00DD5DD9">
        <w:t>on</w:t>
      </w:r>
      <w:r w:rsidR="00E20769" w:rsidRPr="00DD5DD9">
        <w:t xml:space="preserve"> where the risk of </w:t>
      </w:r>
      <w:r w:rsidR="00F246CE" w:rsidRPr="00DD5DD9">
        <w:t xml:space="preserve">virus </w:t>
      </w:r>
      <w:r w:rsidR="00E20769" w:rsidRPr="00DD5DD9">
        <w:t xml:space="preserve">introduction is greatest. </w:t>
      </w:r>
      <w:r w:rsidR="004041DE" w:rsidRPr="00DD5DD9">
        <w:t>If there is no</w:t>
      </w:r>
      <w:r w:rsidRPr="00DD5DD9">
        <w:t xml:space="preserve"> disease</w:t>
      </w:r>
      <w:r w:rsidR="00E20769" w:rsidRPr="00DD5DD9">
        <w:t xml:space="preserve"> in the </w:t>
      </w:r>
      <w:r w:rsidR="002438AA" w:rsidRPr="00DD5DD9">
        <w:t>area</w:t>
      </w:r>
      <w:r w:rsidRPr="00DD5DD9">
        <w:t xml:space="preserve">, </w:t>
      </w:r>
      <w:r w:rsidR="00E20769" w:rsidRPr="00DD5DD9">
        <w:t>the greatest risk is at the border.</w:t>
      </w:r>
      <w:r w:rsidR="0089499B" w:rsidRPr="00DD5DD9">
        <w:t xml:space="preserve"> </w:t>
      </w:r>
      <w:r w:rsidR="00275C62" w:rsidRPr="00DD5DD9">
        <w:t>Placing returning international travellers in q</w:t>
      </w:r>
      <w:r w:rsidR="00112A62" w:rsidRPr="00DD5DD9">
        <w:t xml:space="preserve">uarantine and testing </w:t>
      </w:r>
      <w:r w:rsidR="004041DE" w:rsidRPr="00DD5DD9">
        <w:t>when entering</w:t>
      </w:r>
      <w:r w:rsidR="00275C62" w:rsidRPr="00DD5DD9">
        <w:t xml:space="preserve"> and </w:t>
      </w:r>
      <w:r w:rsidR="004041DE" w:rsidRPr="00DD5DD9">
        <w:t>leaving quarantine</w:t>
      </w:r>
      <w:r w:rsidR="00275C62" w:rsidRPr="00DD5DD9">
        <w:t xml:space="preserve">, </w:t>
      </w:r>
      <w:r w:rsidR="00BE084D" w:rsidRPr="00DD5DD9">
        <w:t xml:space="preserve">as well as prompt testing of any returned traveller who develops symptoms, </w:t>
      </w:r>
      <w:r w:rsidR="00E82146" w:rsidRPr="00DD5DD9">
        <w:t xml:space="preserve">minimises </w:t>
      </w:r>
      <w:r w:rsidR="0089499B" w:rsidRPr="00DD5DD9">
        <w:t>the risk of introduction</w:t>
      </w:r>
      <w:r w:rsidR="00E82146" w:rsidRPr="00DD5DD9">
        <w:t>.</w:t>
      </w:r>
      <w:r w:rsidR="00190304" w:rsidRPr="00DD5DD9">
        <w:t xml:space="preserve"> Further, regular </w:t>
      </w:r>
      <w:r w:rsidR="00E20769" w:rsidRPr="00DD5DD9">
        <w:t xml:space="preserve">screening should target groups with high levels of contact with people who have been overseas or to </w:t>
      </w:r>
      <w:r w:rsidR="00F00EA6" w:rsidRPr="00DD5DD9">
        <w:t>higher Epidemiological Z</w:t>
      </w:r>
      <w:r w:rsidR="00E20769" w:rsidRPr="00DD5DD9">
        <w:t>ones</w:t>
      </w:r>
      <w:r w:rsidR="00190304" w:rsidRPr="00DD5DD9">
        <w:t xml:space="preserve">. </w:t>
      </w:r>
    </w:p>
    <w:p w14:paraId="31C0DAC0" w14:textId="4698F389" w:rsidR="0089499B" w:rsidRPr="00DD5DD9" w:rsidRDefault="00D373F8" w:rsidP="00524F4D">
      <w:pPr>
        <w:jc w:val="left"/>
      </w:pPr>
      <w:r w:rsidRPr="00DD5DD9">
        <w:t xml:space="preserve">Until </w:t>
      </w:r>
      <w:r w:rsidR="004041DE" w:rsidRPr="00DD5DD9">
        <w:t>we reach</w:t>
      </w:r>
      <w:r w:rsidRPr="00DD5DD9">
        <w:t xml:space="preserve"> </w:t>
      </w:r>
      <w:r w:rsidR="0008314E" w:rsidRPr="00DD5DD9">
        <w:t xml:space="preserve">a high level of population </w:t>
      </w:r>
      <w:r w:rsidR="002438AA" w:rsidRPr="00DD5DD9">
        <w:t>immunity</w:t>
      </w:r>
      <w:r w:rsidR="00D362BC" w:rsidRPr="00DD5DD9">
        <w:t xml:space="preserve"> (assuming this is </w:t>
      </w:r>
      <w:r w:rsidR="0099727C" w:rsidRPr="00DD5DD9">
        <w:t>achievable)</w:t>
      </w:r>
      <w:r w:rsidRPr="00DD5DD9">
        <w:t xml:space="preserve">, </w:t>
      </w:r>
      <w:r w:rsidR="00E4043E" w:rsidRPr="00DD5DD9">
        <w:t>asymptomatic screening is important to detect unrecognised cases early</w:t>
      </w:r>
      <w:r w:rsidRPr="00DD5DD9">
        <w:t>, as borders open and travel increases</w:t>
      </w:r>
      <w:r w:rsidR="00E4043E" w:rsidRPr="00DD5DD9">
        <w:t xml:space="preserve">. </w:t>
      </w:r>
      <w:r w:rsidR="00190304" w:rsidRPr="00DD5DD9">
        <w:t>In particular</w:t>
      </w:r>
      <w:r w:rsidR="00F246CE" w:rsidRPr="00DD5DD9">
        <w:t>,</w:t>
      </w:r>
      <w:r w:rsidR="00190304" w:rsidRPr="00DD5DD9">
        <w:t xml:space="preserve"> regular</w:t>
      </w:r>
      <w:r w:rsidR="00BE084D" w:rsidRPr="00DD5DD9">
        <w:t>, routine</w:t>
      </w:r>
      <w:r w:rsidR="00190304" w:rsidRPr="00DD5DD9">
        <w:t xml:space="preserve"> testing of workers in COVID-19 quarantine and isolation settings is recommended. </w:t>
      </w:r>
      <w:r w:rsidR="004041DE" w:rsidRPr="00DD5DD9">
        <w:t>Test w</w:t>
      </w:r>
      <w:r w:rsidR="00190304" w:rsidRPr="00DD5DD9">
        <w:t xml:space="preserve">orkers </w:t>
      </w:r>
      <w:r w:rsidR="00711EFA" w:rsidRPr="00DD5DD9">
        <w:t>who are at high</w:t>
      </w:r>
      <w:r w:rsidR="00190304" w:rsidRPr="00DD5DD9">
        <w:t xml:space="preserve"> risk </w:t>
      </w:r>
      <w:r w:rsidR="00711EFA" w:rsidRPr="00DD5DD9">
        <w:t xml:space="preserve">of exposure at </w:t>
      </w:r>
      <w:r w:rsidR="00046684" w:rsidRPr="00DD5DD9">
        <w:t>a frequency determined by the epidemiological context</w:t>
      </w:r>
      <w:r w:rsidR="00261B05" w:rsidRPr="00DD5DD9">
        <w:t xml:space="preserve">. Please refer to Section </w:t>
      </w:r>
      <w:r w:rsidR="002438AA" w:rsidRPr="00DD5DD9">
        <w:t>4</w:t>
      </w:r>
      <w:r w:rsidR="00261B05" w:rsidRPr="00DD5DD9">
        <w:t xml:space="preserve"> for advice on suitable testing technology and methodology for each Epidemiological Zone.</w:t>
      </w:r>
    </w:p>
    <w:p w14:paraId="3D5E53E1" w14:textId="22DD741A" w:rsidR="0048574D" w:rsidRPr="00DD5DD9" w:rsidRDefault="0089499B" w:rsidP="00F566C4">
      <w:pPr>
        <w:spacing w:after="0"/>
        <w:jc w:val="left"/>
      </w:pPr>
      <w:r w:rsidRPr="00DD5DD9">
        <w:t>The practice of placing returning domestic travellers, from areas with SARS-CoV-2 in circulation,</w:t>
      </w:r>
      <w:r w:rsidR="00BE084D" w:rsidRPr="00DD5DD9">
        <w:t xml:space="preserve"> into quarantine</w:t>
      </w:r>
      <w:r w:rsidRPr="00DD5DD9">
        <w:t xml:space="preserve"> varies by jurisdiction. </w:t>
      </w:r>
      <w:r w:rsidR="004041DE" w:rsidRPr="00DD5DD9">
        <w:t xml:space="preserve">Jurisdictions have the discretion to </w:t>
      </w:r>
      <w:r w:rsidR="00314761" w:rsidRPr="00DD5DD9">
        <w:t>decide</w:t>
      </w:r>
      <w:r w:rsidRPr="00DD5DD9">
        <w:t xml:space="preserve"> to </w:t>
      </w:r>
      <w:r w:rsidR="00BE084D" w:rsidRPr="00DD5DD9">
        <w:t xml:space="preserve">conduct asymptomatic </w:t>
      </w:r>
      <w:r w:rsidRPr="00DD5DD9">
        <w:t>test</w:t>
      </w:r>
      <w:r w:rsidR="00BE084D" w:rsidRPr="00DD5DD9">
        <w:t>ing in</w:t>
      </w:r>
      <w:r w:rsidRPr="00DD5DD9">
        <w:t xml:space="preserve"> these quarantined individuals.</w:t>
      </w:r>
    </w:p>
    <w:p w14:paraId="7532B657" w14:textId="24BBCC95" w:rsidR="000D45B1" w:rsidRPr="00DD5DD9" w:rsidRDefault="000D45B1" w:rsidP="00954A79">
      <w:pPr>
        <w:rPr>
          <w:szCs w:val="26"/>
        </w:rPr>
      </w:pPr>
      <w:bookmarkStart w:id="47" w:name="_Toc56505897"/>
      <w:bookmarkStart w:id="48" w:name="_Toc56713005"/>
      <w:bookmarkStart w:id="49" w:name="_Toc57127207"/>
      <w:bookmarkStart w:id="50" w:name="_Toc57149385"/>
    </w:p>
    <w:p w14:paraId="576ADECB" w14:textId="1B00CDE6" w:rsidR="00C834F6" w:rsidRPr="00DD5DD9" w:rsidRDefault="605C9CDC" w:rsidP="00F566C4">
      <w:pPr>
        <w:pStyle w:val="Heading3"/>
        <w:spacing w:before="0"/>
      </w:pPr>
      <w:bookmarkStart w:id="51" w:name="_Toc1053118238"/>
      <w:bookmarkStart w:id="52" w:name="_Toc754716944"/>
      <w:bookmarkStart w:id="53" w:name="_Toc93492880"/>
      <w:r w:rsidRPr="00DD5DD9">
        <w:t xml:space="preserve">Epidemiological </w:t>
      </w:r>
      <w:r w:rsidR="450C31E4" w:rsidRPr="00DD5DD9">
        <w:t>Zone</w:t>
      </w:r>
      <w:r w:rsidRPr="00DD5DD9">
        <w:t xml:space="preserve"> 2</w:t>
      </w:r>
      <w:r w:rsidR="660EB02F" w:rsidRPr="00DD5DD9">
        <w:t xml:space="preserve"> – Community transmission</w:t>
      </w:r>
      <w:bookmarkEnd w:id="47"/>
      <w:bookmarkEnd w:id="48"/>
      <w:bookmarkEnd w:id="49"/>
      <w:bookmarkEnd w:id="50"/>
      <w:bookmarkEnd w:id="51"/>
      <w:bookmarkEnd w:id="52"/>
      <w:bookmarkEnd w:id="53"/>
    </w:p>
    <w:p w14:paraId="10445E07" w14:textId="74C39D97" w:rsidR="00FB52B3" w:rsidRPr="00DD5DD9" w:rsidRDefault="00FB52B3" w:rsidP="00C7064B">
      <w:pPr>
        <w:spacing w:before="240"/>
        <w:ind w:left="2880" w:hanging="2880"/>
        <w:rPr>
          <w:b/>
          <w:bCs/>
        </w:rPr>
      </w:pPr>
      <w:bookmarkStart w:id="54" w:name="_Toc56505899"/>
      <w:bookmarkStart w:id="55" w:name="_Toc56516092"/>
      <w:bookmarkStart w:id="56" w:name="_Toc56712891"/>
      <w:bookmarkStart w:id="57" w:name="_Toc56713007"/>
      <w:bookmarkStart w:id="58" w:name="_Toc57127209"/>
      <w:bookmarkStart w:id="59" w:name="_Toc57149387"/>
      <w:bookmarkStart w:id="60" w:name="_Toc57187374"/>
      <w:bookmarkStart w:id="61" w:name="_Toc58453399"/>
      <w:bookmarkStart w:id="62" w:name="_Toc58453487"/>
      <w:bookmarkStart w:id="63" w:name="_Toc748890275"/>
      <w:bookmarkStart w:id="64" w:name="_Toc785676444"/>
      <w:r w:rsidRPr="00DD5DD9">
        <w:t xml:space="preserve">Epidemiological context - </w:t>
      </w:r>
      <w:r w:rsidRPr="00DD5DD9">
        <w:tab/>
      </w:r>
      <w:r w:rsidRPr="00DD5DD9">
        <w:rPr>
          <w:i/>
          <w:iCs/>
        </w:rPr>
        <w:t>Sporadic cases and clusters, through to wide-spread community transmission, with laboratory testing meeting testing demand.</w:t>
      </w:r>
    </w:p>
    <w:p w14:paraId="40DA473F" w14:textId="06E81398" w:rsidR="006652E9" w:rsidRPr="00DD5DD9" w:rsidRDefault="006652E9" w:rsidP="006652E9">
      <w:pPr>
        <w:rPr>
          <w:b/>
          <w:bCs/>
        </w:rPr>
      </w:pPr>
      <w:r w:rsidRPr="00DD5DD9">
        <w:rPr>
          <w:b/>
          <w:bCs/>
        </w:rPr>
        <w:t>Testing focus</w:t>
      </w:r>
    </w:p>
    <w:bookmarkEnd w:id="54"/>
    <w:bookmarkEnd w:id="55"/>
    <w:bookmarkEnd w:id="56"/>
    <w:bookmarkEnd w:id="57"/>
    <w:bookmarkEnd w:id="58"/>
    <w:bookmarkEnd w:id="59"/>
    <w:bookmarkEnd w:id="60"/>
    <w:bookmarkEnd w:id="61"/>
    <w:bookmarkEnd w:id="62"/>
    <w:bookmarkEnd w:id="63"/>
    <w:bookmarkEnd w:id="64"/>
    <w:p w14:paraId="35F2A23C" w14:textId="4E08FE1A" w:rsidR="00EC6893" w:rsidRPr="00DD5DD9" w:rsidRDefault="00EC6893" w:rsidP="00F00EA6">
      <w:pPr>
        <w:jc w:val="left"/>
      </w:pPr>
      <w:r w:rsidRPr="00DD5DD9">
        <w:lastRenderedPageBreak/>
        <w:t xml:space="preserve">The </w:t>
      </w:r>
      <w:r w:rsidR="00C073BF" w:rsidRPr="00DD5DD9">
        <w:t>aim</w:t>
      </w:r>
      <w:r w:rsidRPr="00DD5DD9">
        <w:t xml:space="preserve"> </w:t>
      </w:r>
      <w:r w:rsidR="00BE084D" w:rsidRPr="00DD5DD9">
        <w:t xml:space="preserve">in </w:t>
      </w:r>
      <w:r w:rsidRPr="00DD5DD9">
        <w:t xml:space="preserve">this Epidemiological Zone is to identify active cases </w:t>
      </w:r>
      <w:r w:rsidR="00F246CE" w:rsidRPr="00DD5DD9">
        <w:t xml:space="preserve">to reduce further </w:t>
      </w:r>
      <w:r w:rsidRPr="00DD5DD9">
        <w:t>spread of infection in the defined area</w:t>
      </w:r>
      <w:r w:rsidR="009240CA" w:rsidRPr="00DD5DD9">
        <w:t xml:space="preserve">, while vaccination rates continue </w:t>
      </w:r>
      <w:r w:rsidR="00C073BF" w:rsidRPr="00DD5DD9">
        <w:t xml:space="preserve">to </w:t>
      </w:r>
      <w:r w:rsidR="009240CA" w:rsidRPr="00DD5DD9">
        <w:t>increase</w:t>
      </w:r>
      <w:r w:rsidRPr="00DD5DD9">
        <w:t>. Testing in this context also informs understanding of the characteristics of infected individuals and what factors are driving transmission.</w:t>
      </w:r>
    </w:p>
    <w:p w14:paraId="79029256" w14:textId="600ECA86" w:rsidR="00961026" w:rsidRPr="00DD5DD9" w:rsidRDefault="00024EB1" w:rsidP="008F36A3">
      <w:pPr>
        <w:jc w:val="left"/>
      </w:pPr>
      <w:r w:rsidRPr="00DD5DD9">
        <w:t xml:space="preserve">To reduce the spread of SARS-CoV-2 and control transmission in the community, </w:t>
      </w:r>
      <w:r w:rsidR="00BF3AD8" w:rsidRPr="00DD5DD9">
        <w:t xml:space="preserve">encourage </w:t>
      </w:r>
      <w:r w:rsidR="008F36A3" w:rsidRPr="00DD5DD9">
        <w:t xml:space="preserve">everyone with COVID-19 compatible symptoms to present for testing </w:t>
      </w:r>
      <w:r w:rsidR="00CD44F8" w:rsidRPr="00DD5DD9">
        <w:t xml:space="preserve">as </w:t>
      </w:r>
      <w:r w:rsidR="008F36A3" w:rsidRPr="00DD5DD9">
        <w:t xml:space="preserve">soon </w:t>
      </w:r>
      <w:r w:rsidR="00CD44F8" w:rsidRPr="00DD5DD9">
        <w:t xml:space="preserve">as possible </w:t>
      </w:r>
      <w:r w:rsidR="008F36A3" w:rsidRPr="00DD5DD9">
        <w:t xml:space="preserve">after symptom </w:t>
      </w:r>
      <w:r w:rsidR="00BF3AD8" w:rsidRPr="00DD5DD9">
        <w:t>start</w:t>
      </w:r>
      <w:r w:rsidR="00CD44F8" w:rsidRPr="00DD5DD9">
        <w:t xml:space="preserve"> (Priority Group 1)</w:t>
      </w:r>
      <w:r w:rsidR="008F36A3" w:rsidRPr="00DD5DD9">
        <w:t>. This</w:t>
      </w:r>
      <w:r w:rsidR="00961026" w:rsidRPr="00DD5DD9">
        <w:t xml:space="preserve"> is particularly important in areas with community transmission where there may be concern for potentially undetected chains of transmission</w:t>
      </w:r>
      <w:r w:rsidR="009240CA" w:rsidRPr="00DD5DD9">
        <w:t xml:space="preserve">, and where </w:t>
      </w:r>
      <w:r w:rsidR="00C073BF" w:rsidRPr="00DD5DD9">
        <w:t xml:space="preserve">there are </w:t>
      </w:r>
      <w:r w:rsidR="009240CA" w:rsidRPr="00DD5DD9">
        <w:t>low community vaccination rates</w:t>
      </w:r>
      <w:r w:rsidR="00961026" w:rsidRPr="00DD5DD9">
        <w:t>.</w:t>
      </w:r>
      <w:r w:rsidR="00CD18A8" w:rsidRPr="00DD5DD9">
        <w:t xml:space="preserve"> </w:t>
      </w:r>
      <w:r w:rsidR="00C073BF" w:rsidRPr="00DD5DD9">
        <w:t>Encourage</w:t>
      </w:r>
      <w:r w:rsidR="00CD18A8" w:rsidRPr="00DD5DD9">
        <w:rPr>
          <w:rFonts w:eastAsia="Calibri" w:cs="Calibri Light"/>
          <w:szCs w:val="24"/>
        </w:rPr>
        <w:t xml:space="preserve"> anyone with symptoms compatible with COVID-19</w:t>
      </w:r>
      <w:r w:rsidR="00456507" w:rsidRPr="00DD5DD9">
        <w:rPr>
          <w:rFonts w:eastAsia="Calibri" w:cs="Calibri Light"/>
          <w:szCs w:val="24"/>
        </w:rPr>
        <w:t xml:space="preserve"> or who </w:t>
      </w:r>
      <w:r w:rsidR="00C073BF" w:rsidRPr="00DD5DD9">
        <w:rPr>
          <w:rFonts w:eastAsia="Calibri" w:cs="Calibri Light"/>
          <w:szCs w:val="24"/>
        </w:rPr>
        <w:t>is</w:t>
      </w:r>
      <w:r w:rsidR="00456507" w:rsidRPr="00DD5DD9">
        <w:rPr>
          <w:rFonts w:eastAsia="Calibri" w:cs="Calibri Light"/>
          <w:szCs w:val="24"/>
        </w:rPr>
        <w:t xml:space="preserve"> </w:t>
      </w:r>
      <w:r w:rsidR="00C073BF" w:rsidRPr="00DD5DD9">
        <w:rPr>
          <w:rFonts w:eastAsia="Calibri" w:cs="Calibri Light"/>
          <w:szCs w:val="24"/>
        </w:rPr>
        <w:t>assessed</w:t>
      </w:r>
      <w:r w:rsidR="00456507" w:rsidRPr="00DD5DD9">
        <w:rPr>
          <w:rFonts w:eastAsia="Calibri" w:cs="Calibri Light"/>
          <w:szCs w:val="24"/>
        </w:rPr>
        <w:t xml:space="preserve"> as close contacts</w:t>
      </w:r>
      <w:r w:rsidR="00CD18A8" w:rsidRPr="00DD5DD9">
        <w:rPr>
          <w:rFonts w:eastAsia="Calibri" w:cs="Calibri Light"/>
          <w:szCs w:val="24"/>
        </w:rPr>
        <w:t xml:space="preserve"> </w:t>
      </w:r>
      <w:r w:rsidR="00C073BF" w:rsidRPr="00DD5DD9">
        <w:rPr>
          <w:rFonts w:eastAsia="Calibri" w:cs="Calibri Light"/>
          <w:szCs w:val="24"/>
        </w:rPr>
        <w:t>to</w:t>
      </w:r>
      <w:r w:rsidR="00CD18A8" w:rsidRPr="00DD5DD9">
        <w:rPr>
          <w:rFonts w:eastAsia="Calibri" w:cs="Calibri Light"/>
          <w:szCs w:val="24"/>
        </w:rPr>
        <w:t xml:space="preserve"> be tested by</w:t>
      </w:r>
      <w:r w:rsidR="00A9221B" w:rsidRPr="00DD5DD9">
        <w:rPr>
          <w:rFonts w:eastAsia="Calibri" w:cs="Calibri Light"/>
          <w:szCs w:val="24"/>
        </w:rPr>
        <w:t xml:space="preserve"> reverse-transcriptase polymerase chain reaction (</w:t>
      </w:r>
      <w:r w:rsidR="00CD18A8" w:rsidRPr="00DD5DD9">
        <w:rPr>
          <w:rFonts w:eastAsia="Calibri" w:cs="Calibri Light"/>
          <w:szCs w:val="24"/>
        </w:rPr>
        <w:t>RT-PCR</w:t>
      </w:r>
      <w:r w:rsidR="00A9221B" w:rsidRPr="00DD5DD9">
        <w:rPr>
          <w:rFonts w:eastAsia="Calibri" w:cs="Calibri Light"/>
          <w:szCs w:val="24"/>
        </w:rPr>
        <w:t>)</w:t>
      </w:r>
      <w:r w:rsidR="00CD18A8" w:rsidRPr="00DD5DD9">
        <w:rPr>
          <w:rFonts w:eastAsia="Calibri" w:cs="Calibri Light"/>
          <w:szCs w:val="24"/>
        </w:rPr>
        <w:t>.</w:t>
      </w:r>
    </w:p>
    <w:p w14:paraId="6BC2D312" w14:textId="6BEAD677" w:rsidR="006B42E6" w:rsidRPr="00DD5DD9" w:rsidRDefault="00D941CF" w:rsidP="00615583">
      <w:pPr>
        <w:jc w:val="left"/>
      </w:pPr>
      <w:r w:rsidRPr="00DD5DD9">
        <w:t>Close c</w:t>
      </w:r>
      <w:r w:rsidR="00925112" w:rsidRPr="00DD5DD9">
        <w:t xml:space="preserve">ontacts who remain asymptomatic throughout their quarantine period (Priority Group 2) </w:t>
      </w:r>
      <w:r w:rsidR="00C073BF" w:rsidRPr="00DD5DD9">
        <w:t>must</w:t>
      </w:r>
      <w:r w:rsidR="00925112" w:rsidRPr="00DD5DD9">
        <w:t xml:space="preserve"> be tested. Testing in this group is particularly important if the primary close contact is associated with a high</w:t>
      </w:r>
      <w:r w:rsidR="00456507" w:rsidRPr="00DD5DD9">
        <w:t>-</w:t>
      </w:r>
      <w:r w:rsidR="00925112" w:rsidRPr="00DD5DD9">
        <w:t xml:space="preserve">risk setting. </w:t>
      </w:r>
      <w:r w:rsidR="00615583" w:rsidRPr="00DD5DD9">
        <w:t>A</w:t>
      </w:r>
      <w:r w:rsidR="006B42E6" w:rsidRPr="00DD5DD9">
        <w:t xml:space="preserve">symptomatic contacts </w:t>
      </w:r>
      <w:r w:rsidR="00615583" w:rsidRPr="00DD5DD9">
        <w:t xml:space="preserve">may be tested </w:t>
      </w:r>
      <w:r w:rsidR="00C073BF" w:rsidRPr="00DD5DD9">
        <w:t>when they enter</w:t>
      </w:r>
      <w:r w:rsidR="006B42E6" w:rsidRPr="00DD5DD9">
        <w:t xml:space="preserve"> and </w:t>
      </w:r>
      <w:r w:rsidRPr="00DD5DD9">
        <w:t xml:space="preserve">(if appropriate) </w:t>
      </w:r>
      <w:r w:rsidR="00C073BF" w:rsidRPr="00DD5DD9">
        <w:t>leave</w:t>
      </w:r>
      <w:r w:rsidR="006B42E6" w:rsidRPr="00DD5DD9">
        <w:t xml:space="preserve"> quarantine</w:t>
      </w:r>
      <w:r w:rsidR="00110A9A" w:rsidRPr="00DD5DD9">
        <w:t>, or if symptoms of COVID-19 develop during quarantine</w:t>
      </w:r>
      <w:r w:rsidR="006B42E6" w:rsidRPr="00DD5DD9">
        <w:t xml:space="preserve">. </w:t>
      </w:r>
      <w:r w:rsidR="002B424F" w:rsidRPr="00DD5DD9">
        <w:t xml:space="preserve">The </w:t>
      </w:r>
      <w:r w:rsidR="006B42E6" w:rsidRPr="00DD5DD9">
        <w:rPr>
          <w:iCs/>
        </w:rPr>
        <w:t>National Guidelines</w:t>
      </w:r>
      <w:r w:rsidR="00F246CE" w:rsidRPr="00DD5DD9">
        <w:t xml:space="preserve"> </w:t>
      </w:r>
      <w:r w:rsidR="00C073BF" w:rsidRPr="00DD5DD9">
        <w:t>give</w:t>
      </w:r>
      <w:r w:rsidR="00F246CE" w:rsidRPr="00DD5DD9">
        <w:t xml:space="preserve"> further detail on timing of this testing</w:t>
      </w:r>
      <w:r w:rsidR="006B42E6" w:rsidRPr="00DD5DD9">
        <w:t xml:space="preserve">. </w:t>
      </w:r>
    </w:p>
    <w:p w14:paraId="7822E974" w14:textId="0ED3F2CA" w:rsidR="00B43E7E" w:rsidRPr="00DD5DD9" w:rsidRDefault="00B43E7E" w:rsidP="00F00EA6">
      <w:pPr>
        <w:tabs>
          <w:tab w:val="left" w:pos="2127"/>
        </w:tabs>
        <w:jc w:val="left"/>
      </w:pPr>
      <w:r w:rsidRPr="00DD5DD9">
        <w:t>Upstream contact tracing</w:t>
      </w:r>
      <w:r w:rsidRPr="00DD5DD9">
        <w:rPr>
          <w:rStyle w:val="FootnoteReference"/>
        </w:rPr>
        <w:footnoteReference w:id="4"/>
      </w:r>
      <w:r w:rsidRPr="00DD5DD9">
        <w:t xml:space="preserve"> of cases without an epidemiological link in their exposure period aims to identify the index case</w:t>
      </w:r>
      <w:r w:rsidR="006D3CC6" w:rsidRPr="00DD5DD9">
        <w:t xml:space="preserve">. This </w:t>
      </w:r>
      <w:r w:rsidRPr="00DD5DD9">
        <w:t xml:space="preserve">is important </w:t>
      </w:r>
      <w:r w:rsidR="006D3CC6" w:rsidRPr="00DD5DD9">
        <w:t xml:space="preserve">to </w:t>
      </w:r>
      <w:r w:rsidRPr="00DD5DD9">
        <w:t>identify and manag</w:t>
      </w:r>
      <w:r w:rsidR="006D3CC6" w:rsidRPr="00DD5DD9">
        <w:t>e</w:t>
      </w:r>
      <w:r w:rsidRPr="00DD5DD9">
        <w:t xml:space="preserve"> unrecognised chains of transmission. This includes testing people who are currently asymptomatic.</w:t>
      </w:r>
      <w:r w:rsidR="00B0617B" w:rsidRPr="00DD5DD9">
        <w:t xml:space="preserve"> Serology may be of value in this context</w:t>
      </w:r>
      <w:r w:rsidR="007E1016" w:rsidRPr="00DD5DD9">
        <w:t xml:space="preserve">, </w:t>
      </w:r>
      <w:r w:rsidR="00224106" w:rsidRPr="00224106">
        <w:t>especially if an asymptomatic case presents with no history of vaccination</w:t>
      </w:r>
      <w:r w:rsidR="00224106" w:rsidRPr="00224106">
        <w:rPr>
          <w:rStyle w:val="FootnoteReference"/>
        </w:rPr>
        <w:footnoteReference w:id="5"/>
      </w:r>
      <w:r w:rsidR="00224106" w:rsidRPr="00224106">
        <w:t>.</w:t>
      </w:r>
    </w:p>
    <w:p w14:paraId="06B9CAEC" w14:textId="161AAD12" w:rsidR="003A06C9" w:rsidRPr="00DD5DD9" w:rsidRDefault="003A06C9" w:rsidP="00615583">
      <w:pPr>
        <w:tabs>
          <w:tab w:val="left" w:pos="2127"/>
        </w:tabs>
        <w:jc w:val="left"/>
      </w:pPr>
      <w:r w:rsidRPr="00DD5DD9">
        <w:t>Screening activities to minimise the risk at the border continues to be important in this epidemiological context.</w:t>
      </w:r>
    </w:p>
    <w:p w14:paraId="12FB0C30" w14:textId="57B0D6EB" w:rsidR="00615583" w:rsidRPr="00DD5DD9" w:rsidRDefault="00615583" w:rsidP="00615583">
      <w:pPr>
        <w:tabs>
          <w:tab w:val="left" w:pos="2127"/>
        </w:tabs>
        <w:jc w:val="left"/>
      </w:pPr>
      <w:r w:rsidRPr="00DD5DD9">
        <w:t xml:space="preserve">A high clinical suspicion and testing for COVID-19 </w:t>
      </w:r>
      <w:r w:rsidR="00CD44F8" w:rsidRPr="00DD5DD9">
        <w:t xml:space="preserve">of </w:t>
      </w:r>
      <w:r w:rsidRPr="00DD5DD9">
        <w:t xml:space="preserve">people at risk of exposure (Priority Group 3) </w:t>
      </w:r>
      <w:r w:rsidR="006D3CC6" w:rsidRPr="00DD5DD9">
        <w:t xml:space="preserve">who </w:t>
      </w:r>
      <w:r w:rsidRPr="00DD5DD9">
        <w:t xml:space="preserve">present with sudden and unexplained onset of </w:t>
      </w:r>
      <w:r w:rsidR="0091349A" w:rsidRPr="00DD5DD9">
        <w:t xml:space="preserve">non-respiratory </w:t>
      </w:r>
      <w:r w:rsidRPr="00DD5DD9">
        <w:t>or non-specific symptoms is supported</w:t>
      </w:r>
      <w:r w:rsidR="00C073BF" w:rsidRPr="00DD5DD9">
        <w:t>,</w:t>
      </w:r>
      <w:r w:rsidRPr="00DD5DD9">
        <w:t xml:space="preserve"> based on clinical and public health judg</w:t>
      </w:r>
      <w:r w:rsidR="00C073BF" w:rsidRPr="00DD5DD9">
        <w:t>e</w:t>
      </w:r>
      <w:r w:rsidRPr="00DD5DD9">
        <w:t xml:space="preserve">ment. </w:t>
      </w:r>
      <w:r w:rsidR="0091349A" w:rsidRPr="00DD5DD9">
        <w:t xml:space="preserve">Non-respiratory </w:t>
      </w:r>
      <w:r w:rsidRPr="00DD5DD9">
        <w:t>or non-specific symptoms may include fatigue, muscle pain, joint pain, diarrhoea, nausea/vomiting and loss of appetite, without accompanying acute respiratory infection symptoms.</w:t>
      </w:r>
      <w:r w:rsidR="0091349A" w:rsidRPr="00DD5DD9">
        <w:t xml:space="preserve"> Please refer to the National Guidelines for more information. </w:t>
      </w:r>
    </w:p>
    <w:p w14:paraId="1E289280" w14:textId="19F25ABA" w:rsidR="00C449F6" w:rsidRPr="00DD5DD9" w:rsidRDefault="00C073BF" w:rsidP="00F00EA6">
      <w:pPr>
        <w:jc w:val="left"/>
      </w:pPr>
      <w:r w:rsidRPr="00DD5DD9">
        <w:t>Consider t</w:t>
      </w:r>
      <w:r w:rsidR="0048574C" w:rsidRPr="00DD5DD9">
        <w:t xml:space="preserve">esting of asymptomatic people for public health management in </w:t>
      </w:r>
      <w:r w:rsidR="00BE084D" w:rsidRPr="00DD5DD9">
        <w:t>high</w:t>
      </w:r>
      <w:r w:rsidR="00D71195" w:rsidRPr="00DD5DD9">
        <w:t xml:space="preserve"> and special</w:t>
      </w:r>
      <w:r w:rsidR="00BE084D" w:rsidRPr="00DD5DD9">
        <w:t>-</w:t>
      </w:r>
      <w:r w:rsidR="0048574C" w:rsidRPr="00DD5DD9">
        <w:t xml:space="preserve">risk settings </w:t>
      </w:r>
      <w:r w:rsidR="0095218C" w:rsidRPr="00DD5DD9">
        <w:t>(Priority Group 4)</w:t>
      </w:r>
      <w:r w:rsidRPr="00DD5DD9">
        <w:t>,</w:t>
      </w:r>
      <w:r w:rsidR="0095218C" w:rsidRPr="00DD5DD9">
        <w:t xml:space="preserve"> </w:t>
      </w:r>
      <w:r w:rsidR="0048574C" w:rsidRPr="00DD5DD9">
        <w:t>where a single case or outbreak is identified. The aim</w:t>
      </w:r>
      <w:r w:rsidR="00BE084D" w:rsidRPr="00DD5DD9">
        <w:t>s</w:t>
      </w:r>
      <w:r w:rsidR="0048574C" w:rsidRPr="00DD5DD9">
        <w:t xml:space="preserve"> </w:t>
      </w:r>
      <w:r w:rsidR="00BE084D" w:rsidRPr="00DD5DD9">
        <w:t>are</w:t>
      </w:r>
      <w:r w:rsidR="00C449F6" w:rsidRPr="00DD5DD9">
        <w:t xml:space="preserve"> to:</w:t>
      </w:r>
    </w:p>
    <w:p w14:paraId="5136B11B" w14:textId="43A62ACC" w:rsidR="00C449F6" w:rsidRPr="00DD5DD9" w:rsidRDefault="0048574C" w:rsidP="003A06C9">
      <w:pPr>
        <w:pStyle w:val="ListParagraph"/>
        <w:numPr>
          <w:ilvl w:val="0"/>
          <w:numId w:val="11"/>
        </w:numPr>
        <w:jc w:val="left"/>
      </w:pPr>
      <w:r w:rsidRPr="00DD5DD9">
        <w:t>identify the source of introduction</w:t>
      </w:r>
    </w:p>
    <w:p w14:paraId="7BEBEB8C" w14:textId="7FCA4DAF" w:rsidR="3BD0D1E0" w:rsidRPr="00DD5DD9" w:rsidRDefault="3BD0D1E0" w:rsidP="6D7137B6">
      <w:pPr>
        <w:pStyle w:val="ListParagraph"/>
        <w:numPr>
          <w:ilvl w:val="0"/>
          <w:numId w:val="11"/>
        </w:numPr>
        <w:jc w:val="left"/>
      </w:pPr>
      <w:r w:rsidRPr="00DD5DD9">
        <w:rPr>
          <w:rFonts w:ascii="Calibri" w:eastAsia="Calibri" w:hAnsi="Calibri"/>
          <w:szCs w:val="24"/>
        </w:rPr>
        <w:t>identify the scope of an outbreak</w:t>
      </w:r>
    </w:p>
    <w:p w14:paraId="3FEBCE76" w14:textId="018F54EF" w:rsidR="00C449F6" w:rsidRPr="00DD5DD9" w:rsidRDefault="00C073BF" w:rsidP="003A06C9">
      <w:pPr>
        <w:pStyle w:val="ListParagraph"/>
        <w:numPr>
          <w:ilvl w:val="0"/>
          <w:numId w:val="11"/>
        </w:numPr>
        <w:jc w:val="left"/>
      </w:pPr>
      <w:r w:rsidRPr="00DD5DD9">
        <w:t>help</w:t>
      </w:r>
      <w:r w:rsidR="00BE084D" w:rsidRPr="00DD5DD9">
        <w:t xml:space="preserve"> </w:t>
      </w:r>
      <w:r w:rsidR="0048574C" w:rsidRPr="00DD5DD9">
        <w:t xml:space="preserve">early detection of </w:t>
      </w:r>
      <w:r w:rsidR="00BE084D" w:rsidRPr="00DD5DD9">
        <w:t xml:space="preserve">pre-symptomatic </w:t>
      </w:r>
      <w:r w:rsidR="0048574C" w:rsidRPr="00DD5DD9">
        <w:t>cases and mitigate further transmission</w:t>
      </w:r>
    </w:p>
    <w:p w14:paraId="1FA1A54C" w14:textId="518367AD" w:rsidR="00C449F6" w:rsidRPr="00DD5DD9" w:rsidRDefault="00BF4D01" w:rsidP="003A06C9">
      <w:pPr>
        <w:pStyle w:val="ListParagraph"/>
        <w:numPr>
          <w:ilvl w:val="0"/>
          <w:numId w:val="11"/>
        </w:numPr>
        <w:jc w:val="left"/>
      </w:pPr>
      <w:r w:rsidRPr="00DD5DD9">
        <w:t>minimise the duration of isolation/quarantine experienced by people with ongoing close contact</w:t>
      </w:r>
      <w:r w:rsidR="0048574C" w:rsidRPr="00DD5DD9">
        <w:t>.</w:t>
      </w:r>
    </w:p>
    <w:p w14:paraId="50B36C46" w14:textId="3631DA73" w:rsidR="006B42E6" w:rsidRPr="00DD5DD9" w:rsidRDefault="00364BB5" w:rsidP="00C449F6">
      <w:pPr>
        <w:jc w:val="left"/>
      </w:pPr>
      <w:r w:rsidRPr="00DD5DD9">
        <w:t>In this epidemiological context, t</w:t>
      </w:r>
      <w:r w:rsidR="0048574C" w:rsidRPr="00DD5DD9">
        <w:t xml:space="preserve">he </w:t>
      </w:r>
      <w:r w:rsidR="0048574C" w:rsidRPr="00DD5DD9">
        <w:rPr>
          <w:iCs/>
        </w:rPr>
        <w:t>National Guidelines</w:t>
      </w:r>
      <w:r w:rsidR="0048574C" w:rsidRPr="00DD5DD9">
        <w:t xml:space="preserve"> outline</w:t>
      </w:r>
      <w:r w:rsidRPr="00DD5DD9">
        <w:t>d</w:t>
      </w:r>
      <w:r w:rsidR="0048574C" w:rsidRPr="00DD5DD9">
        <w:t xml:space="preserve"> a program of repeat test</w:t>
      </w:r>
      <w:r w:rsidR="00BE084D" w:rsidRPr="00DD5DD9">
        <w:t>ing</w:t>
      </w:r>
      <w:r w:rsidR="0048574C" w:rsidRPr="00DD5DD9">
        <w:t xml:space="preserve"> in these settings, </w:t>
      </w:r>
      <w:r w:rsidR="00C449F6" w:rsidRPr="00DD5DD9">
        <w:t xml:space="preserve">where a </w:t>
      </w:r>
      <w:r w:rsidR="0048574C" w:rsidRPr="00DD5DD9">
        <w:t>single case or outbreak</w:t>
      </w:r>
      <w:r w:rsidR="00C449F6" w:rsidRPr="00DD5DD9">
        <w:t xml:space="preserve"> is identified</w:t>
      </w:r>
      <w:r w:rsidR="0048574C" w:rsidRPr="00DD5DD9">
        <w:t>. This will identify those who are pre-symptomatic and ensure their absence from the setting</w:t>
      </w:r>
      <w:r w:rsidR="00E82EA0" w:rsidRPr="00DD5DD9">
        <w:t xml:space="preserve"> (or appropriate isolation in the setting)</w:t>
      </w:r>
      <w:r w:rsidR="0048574C" w:rsidRPr="00DD5DD9">
        <w:t xml:space="preserve"> until safe to return.</w:t>
      </w:r>
    </w:p>
    <w:p w14:paraId="046E6999" w14:textId="4C88C61E" w:rsidR="00375E8F" w:rsidRPr="00DD5DD9" w:rsidRDefault="00856F0D" w:rsidP="00F00EA6">
      <w:pPr>
        <w:jc w:val="left"/>
      </w:pPr>
      <w:r w:rsidRPr="00DD5DD9">
        <w:lastRenderedPageBreak/>
        <w:t>In all phases, p</w:t>
      </w:r>
      <w:r w:rsidR="0052364B" w:rsidRPr="00DD5DD9">
        <w:t>ublic health-led, routine asymptomatic testing in high- and special-risk settings can be valuable in this epidemiological context.</w:t>
      </w:r>
      <w:r w:rsidR="00675628" w:rsidRPr="00DD5DD9">
        <w:t xml:space="preserve"> </w:t>
      </w:r>
      <w:r w:rsidR="001F5F08" w:rsidRPr="00DD5DD9">
        <w:t xml:space="preserve">This has </w:t>
      </w:r>
      <w:r w:rsidR="00B16CE8" w:rsidRPr="00DD5DD9">
        <w:t xml:space="preserve">the potential </w:t>
      </w:r>
      <w:r w:rsidR="001F5F08" w:rsidRPr="00DD5DD9">
        <w:t>to quickly find</w:t>
      </w:r>
      <w:r w:rsidR="000734AB" w:rsidRPr="00DD5DD9">
        <w:t xml:space="preserve"> the </w:t>
      </w:r>
      <w:r w:rsidR="00457F79" w:rsidRPr="00DD5DD9">
        <w:t xml:space="preserve">infection </w:t>
      </w:r>
      <w:r w:rsidR="000734AB" w:rsidRPr="00DD5DD9">
        <w:t>in these settings</w:t>
      </w:r>
      <w:r w:rsidR="001F5F08" w:rsidRPr="00DD5DD9">
        <w:t>. Testing in</w:t>
      </w:r>
      <w:r w:rsidR="000734AB" w:rsidRPr="00DD5DD9">
        <w:t xml:space="preserve"> </w:t>
      </w:r>
      <w:r w:rsidR="00546C4B" w:rsidRPr="00DD5DD9">
        <w:t>strategically</w:t>
      </w:r>
      <w:r w:rsidR="000734AB" w:rsidRPr="00DD5DD9">
        <w:t xml:space="preserve"> selected industries or workplaces can act as a bridge to </w:t>
      </w:r>
      <w:r w:rsidR="00B16CE8" w:rsidRPr="00DD5DD9">
        <w:t>c</w:t>
      </w:r>
      <w:r w:rsidR="000734AB" w:rsidRPr="00DD5DD9">
        <w:t>ommunities</w:t>
      </w:r>
      <w:r w:rsidR="00B16CE8" w:rsidRPr="00DD5DD9">
        <w:t xml:space="preserve"> otherwise difficult to reach. </w:t>
      </w:r>
      <w:r w:rsidR="001F5F08" w:rsidRPr="00DD5DD9">
        <w:t>Consider these elements when selecting</w:t>
      </w:r>
      <w:r w:rsidR="00546C4B" w:rsidRPr="00DD5DD9">
        <w:t xml:space="preserve"> workplaces or industries:</w:t>
      </w:r>
    </w:p>
    <w:p w14:paraId="2E1CEF1C" w14:textId="36255307" w:rsidR="00A8727C" w:rsidRPr="00DD5DD9" w:rsidRDefault="00A8727C" w:rsidP="0052364B">
      <w:pPr>
        <w:jc w:val="left"/>
      </w:pPr>
    </w:p>
    <w:p w14:paraId="6CB5C725" w14:textId="1873638D" w:rsidR="00A8727C" w:rsidRPr="00DD5DD9" w:rsidRDefault="00375E8F" w:rsidP="00954A79">
      <w:pPr>
        <w:jc w:val="center"/>
      </w:pPr>
      <w:r w:rsidRPr="00B82371">
        <w:rPr>
          <w:noProof/>
        </w:rPr>
        <w:drawing>
          <wp:inline distT="0" distB="0" distL="0" distR="0" wp14:anchorId="3201A2B6" wp14:editId="13646495">
            <wp:extent cx="299085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0850" cy="2286000"/>
                    </a:xfrm>
                    <a:prstGeom prst="rect">
                      <a:avLst/>
                    </a:prstGeom>
                    <a:noFill/>
                  </pic:spPr>
                </pic:pic>
              </a:graphicData>
            </a:graphic>
          </wp:inline>
        </w:drawing>
      </w:r>
    </w:p>
    <w:p w14:paraId="25E0182B" w14:textId="7DAFCC3A" w:rsidR="00A8727C" w:rsidRPr="00DD5DD9" w:rsidRDefault="00A8727C" w:rsidP="0052364B">
      <w:pPr>
        <w:jc w:val="left"/>
      </w:pPr>
    </w:p>
    <w:p w14:paraId="3FF3C15F" w14:textId="1382A9A6" w:rsidR="00675628" w:rsidRPr="00DD5DD9" w:rsidRDefault="00524F4D" w:rsidP="007543A4">
      <w:pPr>
        <w:spacing w:after="0"/>
        <w:jc w:val="left"/>
      </w:pPr>
      <w:r w:rsidRPr="00DD5DD9">
        <w:t xml:space="preserve">Asymptomatic people tested as a part of screening at workplaces or borders are not required to stay home until a negative test result is returned, unless advised by a public health </w:t>
      </w:r>
      <w:r w:rsidR="00642D1B" w:rsidRPr="00DD5DD9">
        <w:t>authority</w:t>
      </w:r>
      <w:r w:rsidRPr="00DD5DD9">
        <w:t>.</w:t>
      </w:r>
    </w:p>
    <w:p w14:paraId="16B2FACE" w14:textId="77777777" w:rsidR="0093323D" w:rsidRPr="00DD5DD9" w:rsidRDefault="0093323D" w:rsidP="007543A4">
      <w:pPr>
        <w:spacing w:after="0"/>
        <w:jc w:val="left"/>
      </w:pPr>
    </w:p>
    <w:p w14:paraId="3BF26CBF" w14:textId="5DFFB0CC" w:rsidR="00862AE0" w:rsidRPr="00DD5DD9" w:rsidRDefault="2A9BD635" w:rsidP="007543A4">
      <w:pPr>
        <w:pStyle w:val="Heading3"/>
      </w:pPr>
      <w:bookmarkStart w:id="65" w:name="_Toc82155406"/>
      <w:bookmarkStart w:id="66" w:name="_Toc82155407"/>
      <w:bookmarkStart w:id="67" w:name="_Toc82155408"/>
      <w:bookmarkStart w:id="68" w:name="_Toc56505900"/>
      <w:bookmarkStart w:id="69" w:name="_Toc56713008"/>
      <w:bookmarkStart w:id="70" w:name="_Toc57127210"/>
      <w:bookmarkStart w:id="71" w:name="_Toc57149388"/>
      <w:bookmarkStart w:id="72" w:name="_Toc628034998"/>
      <w:bookmarkStart w:id="73" w:name="_Toc1678135105"/>
      <w:bookmarkStart w:id="74" w:name="_Toc93492881"/>
      <w:bookmarkEnd w:id="65"/>
      <w:bookmarkEnd w:id="66"/>
      <w:bookmarkEnd w:id="67"/>
      <w:r w:rsidRPr="00DD5DD9">
        <w:t xml:space="preserve">Epidemiological </w:t>
      </w:r>
      <w:r w:rsidR="450C31E4" w:rsidRPr="00DD5DD9">
        <w:t>Zone</w:t>
      </w:r>
      <w:r w:rsidRPr="00DD5DD9">
        <w:t xml:space="preserve"> 3</w:t>
      </w:r>
      <w:r w:rsidR="660EB02F" w:rsidRPr="00DD5DD9">
        <w:t xml:space="preserve"> – Community transmission </w:t>
      </w:r>
      <w:r w:rsidR="781BACC4" w:rsidRPr="00DD5DD9">
        <w:t xml:space="preserve">placing burden on </w:t>
      </w:r>
      <w:r w:rsidR="22221133" w:rsidRPr="00DD5DD9">
        <w:t xml:space="preserve">response </w:t>
      </w:r>
      <w:r w:rsidR="751F62D0" w:rsidRPr="00DD5DD9">
        <w:t>capacity</w:t>
      </w:r>
      <w:bookmarkEnd w:id="68"/>
      <w:bookmarkEnd w:id="69"/>
      <w:bookmarkEnd w:id="70"/>
      <w:bookmarkEnd w:id="71"/>
      <w:bookmarkEnd w:id="72"/>
      <w:bookmarkEnd w:id="73"/>
      <w:bookmarkEnd w:id="74"/>
    </w:p>
    <w:p w14:paraId="7609E04D" w14:textId="319648E4" w:rsidR="00426A13" w:rsidRPr="00DD5DD9" w:rsidRDefault="00426A13" w:rsidP="00C7064B">
      <w:pPr>
        <w:spacing w:before="240"/>
        <w:ind w:left="2880" w:hanging="2880"/>
        <w:rPr>
          <w:b/>
          <w:bCs/>
        </w:rPr>
      </w:pPr>
      <w:bookmarkStart w:id="75" w:name="_Toc56505902"/>
      <w:bookmarkStart w:id="76" w:name="_Toc56516095"/>
      <w:bookmarkStart w:id="77" w:name="_Toc56712894"/>
      <w:bookmarkStart w:id="78" w:name="_Toc56713010"/>
      <w:bookmarkStart w:id="79" w:name="_Toc57127212"/>
      <w:bookmarkStart w:id="80" w:name="_Toc57149390"/>
      <w:bookmarkStart w:id="81" w:name="_Toc57187377"/>
      <w:bookmarkStart w:id="82" w:name="_Toc58453402"/>
      <w:bookmarkStart w:id="83" w:name="_Toc58453490"/>
      <w:bookmarkStart w:id="84" w:name="_Toc2080454588"/>
      <w:bookmarkStart w:id="85" w:name="_Toc2147292230"/>
      <w:r w:rsidRPr="00DD5DD9">
        <w:rPr>
          <w:szCs w:val="24"/>
        </w:rPr>
        <w:t xml:space="preserve">Epidemiological context - </w:t>
      </w:r>
      <w:r w:rsidRPr="00DD5DD9">
        <w:rPr>
          <w:szCs w:val="24"/>
        </w:rPr>
        <w:tab/>
      </w:r>
      <w:r w:rsidRPr="00DD5DD9">
        <w:rPr>
          <w:i/>
          <w:iCs/>
          <w:szCs w:val="24"/>
        </w:rPr>
        <w:t>Wide-spread community transmission, with testing demand placing a burden on laboratory capacity.</w:t>
      </w:r>
    </w:p>
    <w:p w14:paraId="7EBD5423" w14:textId="4385909E" w:rsidR="006652E9" w:rsidRPr="00DD5DD9" w:rsidRDefault="006652E9" w:rsidP="006652E9">
      <w:pPr>
        <w:rPr>
          <w:b/>
          <w:bCs/>
        </w:rPr>
      </w:pPr>
      <w:r w:rsidRPr="00DD5DD9">
        <w:rPr>
          <w:b/>
          <w:bCs/>
        </w:rPr>
        <w:t>Testing focus</w:t>
      </w:r>
    </w:p>
    <w:bookmarkEnd w:id="75"/>
    <w:bookmarkEnd w:id="76"/>
    <w:bookmarkEnd w:id="77"/>
    <w:bookmarkEnd w:id="78"/>
    <w:bookmarkEnd w:id="79"/>
    <w:bookmarkEnd w:id="80"/>
    <w:bookmarkEnd w:id="81"/>
    <w:bookmarkEnd w:id="82"/>
    <w:bookmarkEnd w:id="83"/>
    <w:bookmarkEnd w:id="84"/>
    <w:bookmarkEnd w:id="85"/>
    <w:p w14:paraId="688BCEEB" w14:textId="323D060F" w:rsidR="009B70C9" w:rsidRPr="00DD5DD9" w:rsidRDefault="009B70C9" w:rsidP="00F00EA6">
      <w:pPr>
        <w:tabs>
          <w:tab w:val="left" w:pos="2127"/>
        </w:tabs>
        <w:jc w:val="left"/>
      </w:pPr>
      <w:r w:rsidRPr="00DD5DD9">
        <w:t xml:space="preserve">The </w:t>
      </w:r>
      <w:r w:rsidR="001F5F08" w:rsidRPr="00DD5DD9">
        <w:t>aim</w:t>
      </w:r>
      <w:r w:rsidRPr="00DD5DD9">
        <w:t xml:space="preserve"> of this Epidemiological Zone is to identify active cases </w:t>
      </w:r>
      <w:r w:rsidR="00C449F6" w:rsidRPr="00DD5DD9">
        <w:t xml:space="preserve">to </w:t>
      </w:r>
      <w:r w:rsidRPr="00DD5DD9">
        <w:t>reduc</w:t>
      </w:r>
      <w:r w:rsidR="00C449F6" w:rsidRPr="00DD5DD9">
        <w:t>e</w:t>
      </w:r>
      <w:r w:rsidRPr="00DD5DD9">
        <w:t xml:space="preserve"> </w:t>
      </w:r>
      <w:r w:rsidR="00C449F6" w:rsidRPr="00DD5DD9">
        <w:t xml:space="preserve">further </w:t>
      </w:r>
      <w:r w:rsidRPr="00DD5DD9">
        <w:t>spread of infection in the defined area, while preserving laboratory testing capacity.</w:t>
      </w:r>
    </w:p>
    <w:p w14:paraId="7003A833" w14:textId="24295002" w:rsidR="00C222B3" w:rsidRPr="00DD5DD9" w:rsidRDefault="00754058" w:rsidP="00F518C2">
      <w:pPr>
        <w:tabs>
          <w:tab w:val="left" w:pos="2127"/>
        </w:tabs>
        <w:jc w:val="left"/>
      </w:pPr>
      <w:r w:rsidRPr="00DD5DD9">
        <w:t xml:space="preserve">When disease is widespread, </w:t>
      </w:r>
      <w:r w:rsidR="00BF4D01" w:rsidRPr="00DD5DD9">
        <w:t xml:space="preserve">laboratory </w:t>
      </w:r>
      <w:r w:rsidRPr="00DD5DD9">
        <w:t>testing can become overwhelmed</w:t>
      </w:r>
      <w:r w:rsidR="00C222B3" w:rsidRPr="00DD5DD9">
        <w:t xml:space="preserve">. In this situation the </w:t>
      </w:r>
      <w:r w:rsidR="00856F0D" w:rsidRPr="00DD5DD9">
        <w:t>turnaround time (</w:t>
      </w:r>
      <w:r w:rsidR="00C56596" w:rsidRPr="00DD5DD9">
        <w:t>TAT</w:t>
      </w:r>
      <w:r w:rsidR="00856F0D" w:rsidRPr="00DD5DD9">
        <w:t>)</w:t>
      </w:r>
      <w:r w:rsidR="00C222B3" w:rsidRPr="00DD5DD9">
        <w:t xml:space="preserve"> of a test is crucial</w:t>
      </w:r>
      <w:r w:rsidRPr="00DD5DD9">
        <w:t>.</w:t>
      </w:r>
      <w:r w:rsidR="00F518C2" w:rsidRPr="00DD5DD9">
        <w:t xml:space="preserve"> Rapid turnaround of tests from specimen collection to notification of test results (negative results and confirmed cases</w:t>
      </w:r>
      <w:r w:rsidR="00F82021" w:rsidRPr="00DD5DD9">
        <w:rPr>
          <w:rStyle w:val="FootnoteReference"/>
        </w:rPr>
        <w:footnoteReference w:id="6"/>
      </w:r>
      <w:r w:rsidR="00F518C2" w:rsidRPr="00DD5DD9">
        <w:t xml:space="preserve">) is critical to ensure the efficiency and effectiveness of the </w:t>
      </w:r>
      <w:r w:rsidR="00397A12" w:rsidRPr="00DD5DD9">
        <w:t xml:space="preserve">case isolation and </w:t>
      </w:r>
      <w:r w:rsidR="00F518C2" w:rsidRPr="00DD5DD9">
        <w:t>contact tracing process.</w:t>
      </w:r>
      <w:r w:rsidR="00F518C2" w:rsidRPr="00DD5DD9">
        <w:rPr>
          <w:rStyle w:val="FootnoteReference"/>
        </w:rPr>
        <w:footnoteReference w:id="7"/>
      </w:r>
      <w:r w:rsidR="00F518C2" w:rsidRPr="00DD5DD9">
        <w:t xml:space="preserve"> Rapid notification of confirmed cases will ensure downstream transmission risk is mitigated as quickly as possible.</w:t>
      </w:r>
    </w:p>
    <w:p w14:paraId="3DFBD531" w14:textId="5FEF2807" w:rsidR="00C222B3" w:rsidRPr="00DD5DD9" w:rsidRDefault="00C222B3" w:rsidP="00C222B3">
      <w:pPr>
        <w:jc w:val="left"/>
      </w:pPr>
      <w:r w:rsidRPr="00DD5DD9">
        <w:t>TAT</w:t>
      </w:r>
      <w:r w:rsidR="00A9221B" w:rsidRPr="00DD5DD9">
        <w:t>s</w:t>
      </w:r>
      <w:r w:rsidRPr="00DD5DD9">
        <w:t xml:space="preserve"> are dependent on:</w:t>
      </w:r>
    </w:p>
    <w:p w14:paraId="7EB77AE5" w14:textId="0489ACDB" w:rsidR="00C222B3" w:rsidRPr="00DD5DD9" w:rsidRDefault="00C222B3" w:rsidP="00C222B3">
      <w:pPr>
        <w:pStyle w:val="ListParagraph"/>
        <w:numPr>
          <w:ilvl w:val="0"/>
          <w:numId w:val="9"/>
        </w:numPr>
        <w:jc w:val="left"/>
      </w:pPr>
      <w:r w:rsidRPr="00DD5DD9">
        <w:t>the timeliness of specimen transport from the collection site to the laboratory</w:t>
      </w:r>
    </w:p>
    <w:p w14:paraId="012E8C6D" w14:textId="30B8FEF0" w:rsidR="00C222B3" w:rsidRPr="00DD5DD9" w:rsidRDefault="00C222B3" w:rsidP="00C222B3">
      <w:pPr>
        <w:pStyle w:val="ListParagraph"/>
        <w:numPr>
          <w:ilvl w:val="0"/>
          <w:numId w:val="9"/>
        </w:numPr>
        <w:jc w:val="left"/>
      </w:pPr>
      <w:r w:rsidRPr="00DD5DD9">
        <w:t>laboratory-specific resources</w:t>
      </w:r>
    </w:p>
    <w:p w14:paraId="71CDD9FB" w14:textId="44190B90" w:rsidR="00C222B3" w:rsidRPr="00DD5DD9" w:rsidRDefault="00C222B3" w:rsidP="00C222B3">
      <w:pPr>
        <w:pStyle w:val="ListParagraph"/>
        <w:numPr>
          <w:ilvl w:val="0"/>
          <w:numId w:val="9"/>
        </w:numPr>
        <w:jc w:val="left"/>
      </w:pPr>
      <w:r w:rsidRPr="00DD5DD9">
        <w:t>the level of testing demand on any given day</w:t>
      </w:r>
    </w:p>
    <w:p w14:paraId="01306EB8" w14:textId="0FDD6D01" w:rsidR="00C222B3" w:rsidRPr="00DD5DD9" w:rsidRDefault="00C222B3" w:rsidP="00C222B3">
      <w:pPr>
        <w:pStyle w:val="ListParagraph"/>
        <w:numPr>
          <w:ilvl w:val="0"/>
          <w:numId w:val="9"/>
        </w:numPr>
        <w:jc w:val="left"/>
      </w:pPr>
      <w:r w:rsidRPr="00DD5DD9">
        <w:lastRenderedPageBreak/>
        <w:t>the needs of specific patient populations according to local priorities</w:t>
      </w:r>
    </w:p>
    <w:p w14:paraId="6BF747E0" w14:textId="77777777" w:rsidR="007232D6" w:rsidRPr="00DD5DD9" w:rsidRDefault="00C222B3" w:rsidP="00C222B3">
      <w:pPr>
        <w:pStyle w:val="ListParagraph"/>
        <w:numPr>
          <w:ilvl w:val="0"/>
          <w:numId w:val="9"/>
        </w:numPr>
        <w:jc w:val="left"/>
      </w:pPr>
      <w:r w:rsidRPr="00DD5DD9">
        <w:t>integration of technology</w:t>
      </w:r>
    </w:p>
    <w:p w14:paraId="5DF95134" w14:textId="77777777" w:rsidR="00224106" w:rsidRPr="00224106" w:rsidRDefault="00224106" w:rsidP="00224106">
      <w:pPr>
        <w:pStyle w:val="ListParagraph"/>
        <w:numPr>
          <w:ilvl w:val="0"/>
          <w:numId w:val="9"/>
        </w:numPr>
        <w:jc w:val="left"/>
      </w:pPr>
      <w:r w:rsidRPr="00224106">
        <w:t>a laboratory’s use of specimen pooling</w:t>
      </w:r>
      <w:r w:rsidRPr="00224106">
        <w:rPr>
          <w:rStyle w:val="FootnoteReference"/>
        </w:rPr>
        <w:footnoteReference w:id="8"/>
      </w:r>
      <w:r w:rsidRPr="00224106">
        <w:t xml:space="preserve"> and</w:t>
      </w:r>
    </w:p>
    <w:p w14:paraId="7DB04F70" w14:textId="576765D2" w:rsidR="00C222B3" w:rsidRPr="00DD5DD9" w:rsidRDefault="00C222B3" w:rsidP="00C222B3">
      <w:pPr>
        <w:pStyle w:val="ListParagraph"/>
        <w:numPr>
          <w:ilvl w:val="0"/>
          <w:numId w:val="9"/>
        </w:numPr>
        <w:jc w:val="left"/>
      </w:pPr>
      <w:r w:rsidRPr="00DD5DD9">
        <w:t>result distribution method</w:t>
      </w:r>
      <w:r w:rsidR="00A9221B" w:rsidRPr="00DD5DD9">
        <w:t>.</w:t>
      </w:r>
    </w:p>
    <w:p w14:paraId="13DE7832" w14:textId="1AD137B7" w:rsidR="002B2E4E" w:rsidRPr="00DD5DD9" w:rsidRDefault="00C222B3" w:rsidP="00F518C2">
      <w:pPr>
        <w:tabs>
          <w:tab w:val="left" w:pos="2127"/>
        </w:tabs>
        <w:jc w:val="left"/>
      </w:pPr>
      <w:r w:rsidRPr="00DD5DD9">
        <w:t>TATs increase w</w:t>
      </w:r>
      <w:r w:rsidR="002B2E4E" w:rsidRPr="00DD5DD9">
        <w:t xml:space="preserve">hen testing rates </w:t>
      </w:r>
      <w:r w:rsidRPr="00DD5DD9">
        <w:t>surge or need to be maintained at a high level over a long period</w:t>
      </w:r>
      <w:r w:rsidR="002B2E4E" w:rsidRPr="00DD5DD9">
        <w:t xml:space="preserve">. Prioritisation needs to occur at the stage of specimen collection, rather than at the laboratory. For this reason, close monitoring of TATs and clear and rapid communication to public health units and clinicians </w:t>
      </w:r>
      <w:r w:rsidR="00C449F6" w:rsidRPr="00DD5DD9">
        <w:t xml:space="preserve">is key to </w:t>
      </w:r>
      <w:r w:rsidR="002B2E4E" w:rsidRPr="00DD5DD9">
        <w:t>a responsive testing strategy.</w:t>
      </w:r>
    </w:p>
    <w:p w14:paraId="105B4759" w14:textId="7E236DCC" w:rsidR="00406346" w:rsidRPr="00DD5DD9" w:rsidRDefault="00BF3AD8" w:rsidP="00406346">
      <w:pPr>
        <w:jc w:val="left"/>
      </w:pPr>
      <w:r w:rsidRPr="00DD5DD9">
        <w:t>Encourage</w:t>
      </w:r>
      <w:r w:rsidR="00406346" w:rsidRPr="00DD5DD9">
        <w:t xml:space="preserve"> people with COVID-19 compatible symptoms (Priority Group 1) to present </w:t>
      </w:r>
      <w:r w:rsidR="00CD44F8" w:rsidRPr="00DD5DD9">
        <w:t xml:space="preserve">as </w:t>
      </w:r>
      <w:r w:rsidR="00406346" w:rsidRPr="00DD5DD9">
        <w:t xml:space="preserve">soon </w:t>
      </w:r>
      <w:r w:rsidR="00CD44F8" w:rsidRPr="00DD5DD9">
        <w:t xml:space="preserve">as possible </w:t>
      </w:r>
      <w:r w:rsidR="00406346" w:rsidRPr="00DD5DD9">
        <w:t>after symptom</w:t>
      </w:r>
      <w:r w:rsidRPr="00DD5DD9">
        <w:t>s start. This</w:t>
      </w:r>
      <w:r w:rsidR="00406346" w:rsidRPr="00DD5DD9">
        <w:t xml:space="preserve"> continues to be important in this Epidemiological Zone.</w:t>
      </w:r>
    </w:p>
    <w:p w14:paraId="7D594368" w14:textId="3DC232EF" w:rsidR="002B2E4E" w:rsidRPr="00DD5DD9" w:rsidRDefault="00754058" w:rsidP="00F00EA6">
      <w:pPr>
        <w:tabs>
          <w:tab w:val="left" w:pos="2127"/>
        </w:tabs>
        <w:jc w:val="left"/>
      </w:pPr>
      <w:r w:rsidRPr="00DD5DD9">
        <w:t xml:space="preserve">Modelling has shown that testing symptomatic </w:t>
      </w:r>
      <w:r w:rsidR="00784E06" w:rsidRPr="00DD5DD9">
        <w:t>individuals</w:t>
      </w:r>
      <w:r w:rsidRPr="00DD5DD9">
        <w:t xml:space="preserve">, with </w:t>
      </w:r>
      <w:r w:rsidR="00BF4D01" w:rsidRPr="00DD5DD9">
        <w:t xml:space="preserve">concurrent </w:t>
      </w:r>
      <w:r w:rsidRPr="00DD5DD9">
        <w:t xml:space="preserve">isolation and </w:t>
      </w:r>
      <w:r w:rsidR="00BF4D01" w:rsidRPr="00DD5DD9">
        <w:t xml:space="preserve">subsequent </w:t>
      </w:r>
      <w:r w:rsidRPr="00DD5DD9">
        <w:t>contact tracing</w:t>
      </w:r>
      <w:r w:rsidR="00BF4D01" w:rsidRPr="00DD5DD9">
        <w:t xml:space="preserve"> if possible</w:t>
      </w:r>
      <w:r w:rsidRPr="00DD5DD9">
        <w:t>, results in a steep decline in onward transmission of infection. However</w:t>
      </w:r>
      <w:r w:rsidR="00BF4D01" w:rsidRPr="00DD5DD9">
        <w:t>,</w:t>
      </w:r>
      <w:r w:rsidRPr="00DD5DD9">
        <w:t xml:space="preserve"> the benefits of testing contacts </w:t>
      </w:r>
      <w:r w:rsidR="00606465" w:rsidRPr="00DD5DD9">
        <w:t>(Priority Group 2</w:t>
      </w:r>
      <w:r w:rsidR="00406346" w:rsidRPr="00DD5DD9">
        <w:t xml:space="preserve">) </w:t>
      </w:r>
      <w:r w:rsidR="000A66E0" w:rsidRPr="00DD5DD9">
        <w:t xml:space="preserve">may be </w:t>
      </w:r>
      <w:r w:rsidRPr="00DD5DD9">
        <w:t>lost once capacity is exceeded and TATs increase</w:t>
      </w:r>
      <w:r w:rsidR="00784E06" w:rsidRPr="00DD5DD9">
        <w:t>.</w:t>
      </w:r>
      <w:r w:rsidR="000558A8" w:rsidRPr="00DD5DD9">
        <w:t xml:space="preserve"> </w:t>
      </w:r>
      <w:r w:rsidR="00CD6F9D" w:rsidRPr="00DD5DD9">
        <w:t xml:space="preserve">Consider </w:t>
      </w:r>
      <w:r w:rsidR="00E4043E" w:rsidRPr="00DD5DD9">
        <w:t xml:space="preserve">further rationalisation of testing </w:t>
      </w:r>
      <w:r w:rsidR="00CD6F9D" w:rsidRPr="00DD5DD9">
        <w:t>i</w:t>
      </w:r>
      <w:r w:rsidR="000368DB" w:rsidRPr="00DD5DD9">
        <w:t xml:space="preserve">f TATs </w:t>
      </w:r>
      <w:r w:rsidR="00E4043E" w:rsidRPr="00DD5DD9">
        <w:t xml:space="preserve">continue to increase, for example, limit </w:t>
      </w:r>
      <w:r w:rsidR="000368DB" w:rsidRPr="00DD5DD9">
        <w:t>testing to close contacts who become symptomatic (Priority 1) while in quarantine</w:t>
      </w:r>
      <w:r w:rsidR="00397A12" w:rsidRPr="00DD5DD9">
        <w:t xml:space="preserve"> or begin to use alternative testing methods such as rapid antigen tests (RATs) to supplement laboratory-based testing methods</w:t>
      </w:r>
      <w:r w:rsidR="000368DB" w:rsidRPr="00DD5DD9">
        <w:t>.</w:t>
      </w:r>
    </w:p>
    <w:p w14:paraId="05142591" w14:textId="704B5427" w:rsidR="000558A8" w:rsidRPr="00DD5DD9" w:rsidRDefault="002B2E4E" w:rsidP="00F00EA6">
      <w:pPr>
        <w:tabs>
          <w:tab w:val="left" w:pos="2127"/>
        </w:tabs>
        <w:jc w:val="left"/>
      </w:pPr>
      <w:r w:rsidRPr="00DD5DD9">
        <w:t xml:space="preserve">Testing of </w:t>
      </w:r>
      <w:r w:rsidR="00EC204A" w:rsidRPr="00DD5DD9">
        <w:t>people at risk of exposure and people in high and special-risk settings</w:t>
      </w:r>
      <w:r w:rsidRPr="00DD5DD9">
        <w:t xml:space="preserve"> remains consistent with Epidemiological </w:t>
      </w:r>
      <w:r w:rsidR="00F701BD" w:rsidRPr="00DD5DD9">
        <w:t>Zone</w:t>
      </w:r>
      <w:r w:rsidRPr="00DD5DD9">
        <w:t xml:space="preserve"> 2.</w:t>
      </w:r>
      <w:r w:rsidR="00711EFA" w:rsidRPr="00DD5DD9">
        <w:t xml:space="preserve"> </w:t>
      </w:r>
      <w:r w:rsidR="00CD6F9D" w:rsidRPr="00DD5DD9">
        <w:t>If there are</w:t>
      </w:r>
      <w:r w:rsidR="00711EFA" w:rsidRPr="00DD5DD9">
        <w:t xml:space="preserve"> laboratory capacity constraints, </w:t>
      </w:r>
      <w:r w:rsidR="00CD6F9D" w:rsidRPr="00DD5DD9">
        <w:t>prioritise</w:t>
      </w:r>
      <w:r w:rsidR="00711EFA" w:rsidRPr="00DD5DD9">
        <w:t xml:space="preserve"> </w:t>
      </w:r>
      <w:r w:rsidR="00397A12" w:rsidRPr="00DD5DD9">
        <w:t xml:space="preserve">laboratory-based </w:t>
      </w:r>
      <w:r w:rsidR="00711EFA" w:rsidRPr="00DD5DD9">
        <w:t>testing of these groups to people who have a higher risk of more severe disease outcomes.</w:t>
      </w:r>
      <w:r w:rsidR="00397A12" w:rsidRPr="00DD5DD9">
        <w:t xml:space="preserve"> Consider using RATs for other </w:t>
      </w:r>
      <w:r w:rsidR="00E80BE3" w:rsidRPr="00DD5DD9">
        <w:t>priority groups in th</w:t>
      </w:r>
      <w:r w:rsidR="00E80BE3" w:rsidRPr="00C229FD">
        <w:t xml:space="preserve">ese </w:t>
      </w:r>
      <w:r w:rsidR="00E80BE3" w:rsidRPr="00DD5DD9">
        <w:t xml:space="preserve">circumstances. </w:t>
      </w:r>
    </w:p>
    <w:p w14:paraId="4473EB6C" w14:textId="3AE295D8" w:rsidR="00406346" w:rsidRPr="00DD5DD9" w:rsidRDefault="00406346" w:rsidP="007543A4">
      <w:pPr>
        <w:tabs>
          <w:tab w:val="left" w:pos="2127"/>
        </w:tabs>
        <w:spacing w:after="0"/>
        <w:jc w:val="left"/>
      </w:pPr>
      <w:r w:rsidRPr="00DD5DD9">
        <w:t xml:space="preserve">When laboratory </w:t>
      </w:r>
      <w:r w:rsidR="000B5692" w:rsidRPr="00DD5DD9">
        <w:t xml:space="preserve">capacity </w:t>
      </w:r>
      <w:r w:rsidR="00B84D87" w:rsidRPr="00DD5DD9">
        <w:t xml:space="preserve">constraints </w:t>
      </w:r>
      <w:r w:rsidR="000B5692" w:rsidRPr="00DD5DD9">
        <w:t xml:space="preserve">exist, asymptomatic </w:t>
      </w:r>
      <w:r w:rsidR="007A3A86" w:rsidRPr="00DD5DD9">
        <w:t xml:space="preserve">laboratory-based </w:t>
      </w:r>
      <w:r w:rsidR="000B5692" w:rsidRPr="00DD5DD9">
        <w:t>testing</w:t>
      </w:r>
      <w:r w:rsidR="00B84D87" w:rsidRPr="00DD5DD9">
        <w:t xml:space="preserve"> </w:t>
      </w:r>
      <w:r w:rsidR="000B5692" w:rsidRPr="00DD5DD9">
        <w:t>not led by public health</w:t>
      </w:r>
      <w:r w:rsidR="00B84D87" w:rsidRPr="00DD5DD9">
        <w:t xml:space="preserve"> authorities should be stopped</w:t>
      </w:r>
      <w:r w:rsidR="00375E8F" w:rsidRPr="00DD5DD9">
        <w:t>. For example,</w:t>
      </w:r>
      <w:r w:rsidR="000B5692" w:rsidRPr="00DD5DD9">
        <w:t xml:space="preserve"> </w:t>
      </w:r>
      <w:r w:rsidR="00CD6F9D" w:rsidRPr="00DD5DD9">
        <w:t>put</w:t>
      </w:r>
      <w:r w:rsidR="000B5692" w:rsidRPr="00DD5DD9">
        <w:t xml:space="preserve"> </w:t>
      </w:r>
      <w:r w:rsidR="00472F1F" w:rsidRPr="00DD5DD9">
        <w:t xml:space="preserve">workplace </w:t>
      </w:r>
      <w:r w:rsidRPr="00DD5DD9">
        <w:t>COVID-19 employee testing programs</w:t>
      </w:r>
      <w:r w:rsidR="00C329B7" w:rsidRPr="00DD5DD9">
        <w:t xml:space="preserve"> that are laboratory-based</w:t>
      </w:r>
      <w:r w:rsidR="000B5692" w:rsidRPr="00DD5DD9">
        <w:t>,</w:t>
      </w:r>
      <w:r w:rsidRPr="00DD5DD9">
        <w:t xml:space="preserve"> </w:t>
      </w:r>
      <w:r w:rsidR="00DC0355" w:rsidRPr="00DD5DD9">
        <w:t>on hold</w:t>
      </w:r>
      <w:r w:rsidRPr="00DD5DD9">
        <w:t xml:space="preserve"> until the constraints have </w:t>
      </w:r>
      <w:r w:rsidR="00CD6F9D" w:rsidRPr="00DD5DD9">
        <w:t>eased</w:t>
      </w:r>
      <w:r w:rsidRPr="00DD5DD9">
        <w:t>.</w:t>
      </w:r>
      <w:r w:rsidR="00C329B7" w:rsidRPr="00DD5DD9">
        <w:t xml:space="preserve"> In this situation </w:t>
      </w:r>
      <w:r w:rsidR="00DE1E6D" w:rsidRPr="00DD5DD9">
        <w:t>consider</w:t>
      </w:r>
      <w:r w:rsidR="00C329B7" w:rsidRPr="00DD5DD9">
        <w:t xml:space="preserve"> </w:t>
      </w:r>
      <w:r w:rsidR="00457F79" w:rsidRPr="00DD5DD9">
        <w:t xml:space="preserve">screening with </w:t>
      </w:r>
      <w:r w:rsidR="00C329B7" w:rsidRPr="00DD5DD9">
        <w:t xml:space="preserve">rapid antigen testing </w:t>
      </w:r>
      <w:r w:rsidR="00457F79" w:rsidRPr="00DD5DD9">
        <w:t>devices</w:t>
      </w:r>
      <w:r w:rsidR="00C329B7" w:rsidRPr="00DD5DD9">
        <w:t>.</w:t>
      </w:r>
    </w:p>
    <w:p w14:paraId="75A9493D" w14:textId="77777777" w:rsidR="00261B05" w:rsidRPr="00DD5DD9" w:rsidRDefault="00261B05" w:rsidP="007543A4">
      <w:pPr>
        <w:tabs>
          <w:tab w:val="left" w:pos="2127"/>
        </w:tabs>
        <w:spacing w:after="0"/>
        <w:jc w:val="left"/>
      </w:pPr>
    </w:p>
    <w:p w14:paraId="452AEF33" w14:textId="5239AB49" w:rsidR="00261B05" w:rsidRPr="00DD5DD9" w:rsidRDefault="5317F17B" w:rsidP="007543A4">
      <w:pPr>
        <w:pStyle w:val="Heading3"/>
      </w:pPr>
      <w:bookmarkStart w:id="86" w:name="_Toc110634195"/>
      <w:bookmarkStart w:id="87" w:name="_Toc655549704"/>
      <w:bookmarkStart w:id="88" w:name="_Toc93492882"/>
      <w:r w:rsidRPr="00DD5DD9">
        <w:t>Epidemiological Zone 4 – Community transmission ex</w:t>
      </w:r>
      <w:r w:rsidR="1302EA46" w:rsidRPr="00DD5DD9">
        <w:t>c</w:t>
      </w:r>
      <w:r w:rsidRPr="00DD5DD9">
        <w:t>eeding response capacity</w:t>
      </w:r>
      <w:bookmarkEnd w:id="86"/>
      <w:bookmarkEnd w:id="87"/>
      <w:bookmarkEnd w:id="88"/>
    </w:p>
    <w:p w14:paraId="581044AC" w14:textId="5873E310" w:rsidR="00581606" w:rsidRPr="00DD5DD9" w:rsidRDefault="00581606" w:rsidP="00C229FD">
      <w:pPr>
        <w:spacing w:before="240"/>
        <w:ind w:left="2880" w:hanging="2880"/>
        <w:rPr>
          <w:b/>
          <w:bCs/>
        </w:rPr>
      </w:pPr>
      <w:bookmarkStart w:id="89" w:name="_Toc860260276"/>
      <w:bookmarkStart w:id="90" w:name="_Toc1885667559"/>
      <w:r w:rsidRPr="00DD5DD9">
        <w:t xml:space="preserve">Epidemiological context - </w:t>
      </w:r>
      <w:r w:rsidRPr="00DD5DD9">
        <w:tab/>
      </w:r>
      <w:r w:rsidRPr="00DD5DD9">
        <w:rPr>
          <w:i/>
          <w:iCs/>
        </w:rPr>
        <w:t>Wide-spread community transmission, with testing demand exceeding laboratory capacity</w:t>
      </w:r>
      <w:r w:rsidRPr="00DD5DD9">
        <w:t>.</w:t>
      </w:r>
    </w:p>
    <w:p w14:paraId="77B28196" w14:textId="0AE39679" w:rsidR="00261B05" w:rsidRPr="00DD5DD9" w:rsidRDefault="5317F17B" w:rsidP="007543A4">
      <w:pPr>
        <w:rPr>
          <w:bCs/>
        </w:rPr>
      </w:pPr>
      <w:r w:rsidRPr="00DD5DD9">
        <w:rPr>
          <w:b/>
          <w:bCs/>
        </w:rPr>
        <w:t>Testing focus</w:t>
      </w:r>
      <w:bookmarkEnd w:id="89"/>
      <w:bookmarkEnd w:id="90"/>
    </w:p>
    <w:p w14:paraId="162244D1" w14:textId="7B8CF0E0" w:rsidR="00261B05" w:rsidRPr="00DD5DD9" w:rsidRDefault="1B09FF1D" w:rsidP="00261B05">
      <w:pPr>
        <w:tabs>
          <w:tab w:val="left" w:pos="2127"/>
        </w:tabs>
        <w:jc w:val="left"/>
      </w:pPr>
      <w:r w:rsidRPr="00DD5DD9">
        <w:t>The aim of this Epidemiological Zone is to preserv</w:t>
      </w:r>
      <w:r w:rsidR="283025CB" w:rsidRPr="00DD5DD9">
        <w:t>e</w:t>
      </w:r>
      <w:r w:rsidRPr="00DD5DD9">
        <w:t xml:space="preserve"> laboratory testing </w:t>
      </w:r>
      <w:r w:rsidR="00E80BE3" w:rsidRPr="00DD5DD9">
        <w:t xml:space="preserve">and maximise the outcomes of public health efforts </w:t>
      </w:r>
      <w:r w:rsidR="283025CB" w:rsidRPr="00DD5DD9">
        <w:t>by prioritising testing of symptomatic individuals</w:t>
      </w:r>
      <w:r w:rsidR="2A20443D" w:rsidRPr="00DD5DD9">
        <w:t>, especially those</w:t>
      </w:r>
      <w:r w:rsidR="72249E32" w:rsidRPr="00DD5DD9">
        <w:t xml:space="preserve"> at a higher risk of experiencing severe disease.</w:t>
      </w:r>
    </w:p>
    <w:p w14:paraId="641BD2B4" w14:textId="1387D241" w:rsidR="00EE2A79" w:rsidRPr="00DD5DD9" w:rsidRDefault="22FBB877" w:rsidP="0B9EBA93">
      <w:pPr>
        <w:tabs>
          <w:tab w:val="left" w:pos="2127"/>
        </w:tabs>
        <w:jc w:val="left"/>
      </w:pPr>
      <w:r w:rsidRPr="00DD5DD9">
        <w:t xml:space="preserve">In this epidemiological context, </w:t>
      </w:r>
      <w:r w:rsidR="2ADDDA93" w:rsidRPr="00DD5DD9">
        <w:t xml:space="preserve">laboratory testing </w:t>
      </w:r>
      <w:r w:rsidRPr="00DD5DD9">
        <w:t>is</w:t>
      </w:r>
      <w:r w:rsidR="2ADDDA93" w:rsidRPr="00DD5DD9">
        <w:t xml:space="preserve"> overwhelmed. </w:t>
      </w:r>
      <w:r w:rsidRPr="00DD5DD9">
        <w:t>Conservation of</w:t>
      </w:r>
      <w:r w:rsidR="2ADDDA93" w:rsidRPr="00DD5DD9">
        <w:t xml:space="preserve"> </w:t>
      </w:r>
      <w:r w:rsidRPr="00DD5DD9">
        <w:t>TAT</w:t>
      </w:r>
      <w:r w:rsidR="2ADDDA93" w:rsidRPr="00DD5DD9">
        <w:t xml:space="preserve"> is critical to ensure the efficiency and effectiveness of the </w:t>
      </w:r>
      <w:r w:rsidR="2ED89871" w:rsidRPr="00DD5DD9">
        <w:t>public health response</w:t>
      </w:r>
      <w:r w:rsidR="4C1AC60A" w:rsidRPr="00DD5DD9">
        <w:t xml:space="preserve"> and </w:t>
      </w:r>
      <w:r w:rsidR="516898B4" w:rsidRPr="00DD5DD9">
        <w:t>to inform appropriate</w:t>
      </w:r>
      <w:r w:rsidR="516898B4" w:rsidRPr="00DD5DD9">
        <w:rPr>
          <w:rFonts w:ascii="Calibri" w:eastAsia="Calibri" w:hAnsi="Calibri" w:cs="Calibri"/>
        </w:rPr>
        <w:t xml:space="preserve"> management of a</w:t>
      </w:r>
      <w:r w:rsidR="4B002A01" w:rsidRPr="00DD5DD9">
        <w:rPr>
          <w:rFonts w:ascii="Calibri" w:eastAsia="Calibri" w:hAnsi="Calibri" w:cs="Calibri"/>
        </w:rPr>
        <w:t>n individual</w:t>
      </w:r>
      <w:r w:rsidR="7542D092" w:rsidRPr="00DD5DD9">
        <w:rPr>
          <w:rFonts w:ascii="Calibri" w:eastAsia="Calibri" w:hAnsi="Calibri" w:cs="Calibri"/>
        </w:rPr>
        <w:t xml:space="preserve"> at higher risk of severe disease</w:t>
      </w:r>
      <w:r w:rsidR="2ED89871" w:rsidRPr="00DD5DD9">
        <w:t>.</w:t>
      </w:r>
      <w:r w:rsidR="6C368955" w:rsidRPr="00DD5DD9">
        <w:t xml:space="preserve"> </w:t>
      </w:r>
      <w:r w:rsidR="00E80BE3" w:rsidRPr="00DD5DD9">
        <w:t xml:space="preserve">Individual </w:t>
      </w:r>
      <w:r w:rsidR="00E80BE3" w:rsidRPr="00DD5DD9">
        <w:lastRenderedPageBreak/>
        <w:t>c</w:t>
      </w:r>
      <w:r w:rsidR="6C368955" w:rsidRPr="00DD5DD9">
        <w:t xml:space="preserve">ontact tracing </w:t>
      </w:r>
      <w:r w:rsidR="00E80BE3" w:rsidRPr="00DD5DD9">
        <w:t>is not feasible</w:t>
      </w:r>
      <w:r w:rsidR="6C368955" w:rsidRPr="00DD5DD9">
        <w:t xml:space="preserve"> in this context. </w:t>
      </w:r>
      <w:r w:rsidR="00BC3853" w:rsidRPr="00DD5DD9">
        <w:t>Th</w:t>
      </w:r>
      <w:r w:rsidR="00E80BE3" w:rsidRPr="00DD5DD9">
        <w:t>ere</w:t>
      </w:r>
      <w:r w:rsidR="00BC3853" w:rsidRPr="00DD5DD9">
        <w:t xml:space="preserve"> is a shift to a</w:t>
      </w:r>
      <w:r w:rsidR="00E80BE3" w:rsidRPr="00DD5DD9">
        <w:t xml:space="preserve"> case-directed contact tracing and</w:t>
      </w:r>
      <w:r w:rsidR="00BC3853" w:rsidRPr="00DD5DD9">
        <w:t xml:space="preserve"> patient-centred clinical management paradigm.</w:t>
      </w:r>
    </w:p>
    <w:p w14:paraId="5E8C1D5D" w14:textId="77777777" w:rsidR="007232D6" w:rsidRPr="00DD5DD9" w:rsidRDefault="1257282C" w:rsidP="009C2D45">
      <w:pPr>
        <w:jc w:val="left"/>
      </w:pPr>
      <w:r w:rsidRPr="00DD5DD9">
        <w:t>E</w:t>
      </w:r>
      <w:r w:rsidR="2ADDDA93" w:rsidRPr="00DD5DD9">
        <w:t>ncourage people with COVID-19 compatible symptoms (Priority Group 1)</w:t>
      </w:r>
      <w:r w:rsidR="5A8ADD01" w:rsidRPr="00DD5DD9">
        <w:t>, especially those</w:t>
      </w:r>
      <w:r w:rsidR="34443A2D" w:rsidRPr="00DD5DD9">
        <w:t xml:space="preserve"> who are at a higher risk of severe disease</w:t>
      </w:r>
      <w:r w:rsidR="2ADDDA93" w:rsidRPr="00DD5DD9">
        <w:t xml:space="preserve"> to present </w:t>
      </w:r>
      <w:r w:rsidR="00CA0E1F" w:rsidRPr="00DD5DD9">
        <w:t xml:space="preserve">for NAA testing </w:t>
      </w:r>
      <w:r w:rsidR="2ADDDA93" w:rsidRPr="00DD5DD9">
        <w:t>as soon as possible after symptoms start.</w:t>
      </w:r>
      <w:r w:rsidR="1565CAF6" w:rsidRPr="00DD5DD9">
        <w:t xml:space="preserve"> </w:t>
      </w:r>
      <w:r w:rsidR="009E71AE" w:rsidRPr="00DD5DD9">
        <w:t xml:space="preserve">This will ensure timely access to whole genome sequencing and </w:t>
      </w:r>
      <w:r w:rsidR="009E71AE" w:rsidRPr="00C229FD">
        <w:t>targeted treatment</w:t>
      </w:r>
      <w:r w:rsidR="009E71AE" w:rsidRPr="00DD5DD9">
        <w:t xml:space="preserve"> options. </w:t>
      </w:r>
    </w:p>
    <w:p w14:paraId="57978A96" w14:textId="5C18D5EC" w:rsidR="00EB12B8" w:rsidRPr="00DD5DD9" w:rsidRDefault="00EB12B8" w:rsidP="009C2D45">
      <w:pPr>
        <w:jc w:val="left"/>
      </w:pPr>
      <w:r w:rsidRPr="00DD5DD9">
        <w:t>Consider using alternative testing technologies such as</w:t>
      </w:r>
      <w:r w:rsidR="00546814" w:rsidRPr="00DD5DD9">
        <w:t xml:space="preserve"> RATs for other priority groups </w:t>
      </w:r>
      <w:r w:rsidRPr="00DD5DD9">
        <w:t>to relieve pressure on the pathology system</w:t>
      </w:r>
      <w:r w:rsidR="4A0D9E4C" w:rsidRPr="00DD5DD9">
        <w:t>.</w:t>
      </w:r>
      <w:r w:rsidRPr="00DD5DD9">
        <w:t xml:space="preserve"> As per </w:t>
      </w:r>
      <w:r w:rsidR="00546814" w:rsidRPr="00DD5DD9">
        <w:t xml:space="preserve">the </w:t>
      </w:r>
      <w:r w:rsidRPr="00DD5DD9">
        <w:t xml:space="preserve">National Guidelines, in this epidemiological context, a positive </w:t>
      </w:r>
      <w:r w:rsidR="00546814" w:rsidRPr="00DD5DD9">
        <w:t>RAT result</w:t>
      </w:r>
      <w:r w:rsidRPr="00DD5DD9">
        <w:t xml:space="preserve"> will not require a confirmatory </w:t>
      </w:r>
      <w:r w:rsidR="00546814" w:rsidRPr="00DD5DD9">
        <w:t>NAA</w:t>
      </w:r>
      <w:r w:rsidRPr="00DD5DD9">
        <w:t xml:space="preserve"> test and should be treated as a probable case.</w:t>
      </w:r>
      <w:r w:rsidR="007232D6" w:rsidRPr="00DD5DD9">
        <w:t xml:space="preserve"> </w:t>
      </w:r>
      <w:r w:rsidR="00224106" w:rsidRPr="00224106">
        <w:t>A negative result from a RAT must be considered in the context of an individual’s clinical history, clinical observation, and epidemiological information. Where a symptomatic person presents a negative RAT result, they should always have a follow-up test (either RAT after 24 hours or NAA, depending on accessibility and priority of individual). Persons with negative results should not be assumed to be non-infectious and a negative result must not be used to negate the need for other appropriate interventions (such as mask-wearing and physical distancing).</w:t>
      </w:r>
    </w:p>
    <w:p w14:paraId="604FFF3A" w14:textId="6A80FC2D" w:rsidR="00347CAE" w:rsidRPr="00DD5DD9" w:rsidRDefault="00EB12B8" w:rsidP="0B9EBA93">
      <w:pPr>
        <w:tabs>
          <w:tab w:val="left" w:pos="2127"/>
        </w:tabs>
        <w:jc w:val="left"/>
      </w:pPr>
      <w:r w:rsidRPr="00DD5DD9">
        <w:t>T</w:t>
      </w:r>
      <w:r w:rsidR="71E36650" w:rsidRPr="00DD5DD9">
        <w:t xml:space="preserve">esting of asymptomatic contacts (Priority Group 2) </w:t>
      </w:r>
      <w:r w:rsidR="2F4039D9" w:rsidRPr="00DD5DD9">
        <w:t>and asymptomatic individuals at higher risk of exposure (Priority Group 3)</w:t>
      </w:r>
      <w:r w:rsidR="1E8664B6" w:rsidRPr="00DD5DD9">
        <w:t>,</w:t>
      </w:r>
      <w:r w:rsidR="2F4039D9" w:rsidRPr="00DD5DD9">
        <w:t xml:space="preserve"> including workplace screening not led by public health authorities, and testing as part of interstate travel requirements </w:t>
      </w:r>
      <w:r w:rsidR="383BE8A2" w:rsidRPr="00DD5DD9">
        <w:t>is not recommended</w:t>
      </w:r>
      <w:r w:rsidR="2F4039D9" w:rsidRPr="00DD5DD9">
        <w:t>. In this situation consider screening with rapid antigen testing devices</w:t>
      </w:r>
      <w:r w:rsidRPr="00DD5DD9">
        <w:t xml:space="preserve"> if required</w:t>
      </w:r>
      <w:r w:rsidR="0088473C" w:rsidRPr="00DD5DD9">
        <w:t>.</w:t>
      </w:r>
    </w:p>
    <w:p w14:paraId="5BA5D4A7" w14:textId="7C33D5C2" w:rsidR="00347CAE" w:rsidRPr="00DD5DD9" w:rsidRDefault="3B11F528" w:rsidP="00C229FD">
      <w:pPr>
        <w:tabs>
          <w:tab w:val="left" w:pos="2127"/>
        </w:tabs>
        <w:spacing w:after="0"/>
        <w:jc w:val="left"/>
      </w:pPr>
      <w:r w:rsidRPr="00DD5DD9">
        <w:rPr>
          <w:rFonts w:ascii="Calibri" w:eastAsia="Calibri" w:hAnsi="Calibri"/>
        </w:rPr>
        <w:t>Laboratory</w:t>
      </w:r>
      <w:r w:rsidR="3C672967" w:rsidRPr="00DD5DD9">
        <w:rPr>
          <w:rFonts w:ascii="Calibri" w:eastAsia="Calibri" w:hAnsi="Calibri"/>
        </w:rPr>
        <w:t>-</w:t>
      </w:r>
      <w:r w:rsidRPr="00DD5DD9">
        <w:rPr>
          <w:rFonts w:ascii="Calibri" w:eastAsia="Calibri" w:hAnsi="Calibri"/>
        </w:rPr>
        <w:t xml:space="preserve">based </w:t>
      </w:r>
      <w:r w:rsidR="0088473C" w:rsidRPr="00DD5DD9">
        <w:rPr>
          <w:rFonts w:ascii="Calibri" w:eastAsia="Calibri" w:hAnsi="Calibri"/>
        </w:rPr>
        <w:t xml:space="preserve">NAA </w:t>
      </w:r>
      <w:r w:rsidRPr="00DD5DD9">
        <w:rPr>
          <w:rFonts w:ascii="Calibri" w:eastAsia="Calibri" w:hAnsi="Calibri"/>
        </w:rPr>
        <w:t xml:space="preserve">testing of people in high and special-risk settings should be reserved </w:t>
      </w:r>
      <w:r w:rsidR="068046C2" w:rsidRPr="00DD5DD9">
        <w:rPr>
          <w:rFonts w:ascii="Calibri" w:eastAsia="Calibri" w:hAnsi="Calibri"/>
        </w:rPr>
        <w:t xml:space="preserve">for symptomatic individuals, or asymptomatic individuals </w:t>
      </w:r>
      <w:r w:rsidRPr="00DD5DD9">
        <w:rPr>
          <w:rFonts w:ascii="Calibri" w:eastAsia="Calibri" w:hAnsi="Calibri"/>
        </w:rPr>
        <w:t xml:space="preserve">where there </w:t>
      </w:r>
      <w:r w:rsidR="1F989198" w:rsidRPr="00DD5DD9">
        <w:rPr>
          <w:rFonts w:ascii="Calibri" w:eastAsia="Calibri" w:hAnsi="Calibri"/>
        </w:rPr>
        <w:t>has been</w:t>
      </w:r>
      <w:r w:rsidRPr="00DD5DD9">
        <w:rPr>
          <w:rFonts w:ascii="Calibri" w:eastAsia="Calibri" w:hAnsi="Calibri"/>
        </w:rPr>
        <w:t xml:space="preserve"> a confirmed positive case</w:t>
      </w:r>
      <w:r w:rsidR="064EB29F" w:rsidRPr="00DD5DD9">
        <w:rPr>
          <w:rFonts w:ascii="Calibri" w:eastAsia="Calibri" w:hAnsi="Calibri"/>
        </w:rPr>
        <w:t xml:space="preserve"> in </w:t>
      </w:r>
      <w:r w:rsidR="4B98527F" w:rsidRPr="00DD5DD9">
        <w:rPr>
          <w:rFonts w:ascii="Calibri" w:eastAsia="Calibri" w:hAnsi="Calibri"/>
        </w:rPr>
        <w:t>that setting</w:t>
      </w:r>
      <w:r w:rsidR="064EB29F" w:rsidRPr="00DD5DD9">
        <w:rPr>
          <w:rFonts w:ascii="Calibri" w:eastAsia="Calibri" w:hAnsi="Calibri"/>
        </w:rPr>
        <w:t xml:space="preserve"> and transmission is likely.</w:t>
      </w:r>
      <w:r w:rsidR="00531F85" w:rsidRPr="00DD5DD9">
        <w:rPr>
          <w:rFonts w:ascii="Calibri" w:eastAsia="Calibri" w:hAnsi="Calibri"/>
        </w:rPr>
        <w:t xml:space="preserve"> </w:t>
      </w:r>
      <w:r w:rsidR="496254D0" w:rsidRPr="00DD5DD9">
        <w:t xml:space="preserve">Reserve </w:t>
      </w:r>
      <w:r w:rsidR="1BB35E9A" w:rsidRPr="00DD5DD9">
        <w:t xml:space="preserve">point-of-care </w:t>
      </w:r>
      <w:r w:rsidR="00880198" w:rsidRPr="00DD5DD9">
        <w:t>NAA</w:t>
      </w:r>
      <w:r w:rsidR="1BB35E9A" w:rsidRPr="00DD5DD9">
        <w:t xml:space="preserve"> test</w:t>
      </w:r>
      <w:r w:rsidR="5D8FDA4A" w:rsidRPr="00DD5DD9">
        <w:t>s</w:t>
      </w:r>
      <w:r w:rsidR="1BB35E9A" w:rsidRPr="00DD5DD9">
        <w:t>, including RT-PCR, to</w:t>
      </w:r>
      <w:r w:rsidR="3579DA40" w:rsidRPr="00DD5DD9">
        <w:t xml:space="preserve"> symptomatic </w:t>
      </w:r>
      <w:r w:rsidR="38632C95" w:rsidRPr="00DD5DD9">
        <w:t xml:space="preserve">individuals </w:t>
      </w:r>
      <w:r w:rsidR="77E2A2AB" w:rsidRPr="00DD5DD9">
        <w:t>in</w:t>
      </w:r>
      <w:r w:rsidR="1BB35E9A" w:rsidRPr="00DD5DD9">
        <w:t xml:space="preserve"> </w:t>
      </w:r>
      <w:r w:rsidR="5C84A98B" w:rsidRPr="00DD5DD9">
        <w:t>settings</w:t>
      </w:r>
      <w:r w:rsidR="0A996849" w:rsidRPr="00DD5DD9">
        <w:t xml:space="preserve"> where they are deployed</w:t>
      </w:r>
      <w:r w:rsidR="001474C4" w:rsidRPr="00DD5DD9">
        <w:t xml:space="preserve"> to confirm an index case</w:t>
      </w:r>
      <w:r w:rsidR="5C84A98B" w:rsidRPr="00DD5DD9">
        <w:t xml:space="preserve">. </w:t>
      </w:r>
    </w:p>
    <w:p w14:paraId="1336BBC7" w14:textId="1DC8C3C0" w:rsidR="60319AE6" w:rsidRPr="00DD5DD9" w:rsidRDefault="60319AE6" w:rsidP="60319AE6">
      <w:pPr>
        <w:tabs>
          <w:tab w:val="left" w:pos="2127"/>
        </w:tabs>
        <w:spacing w:after="0"/>
        <w:jc w:val="left"/>
        <w:rPr>
          <w:rFonts w:ascii="Calibri" w:eastAsia="Calibri" w:hAnsi="Calibri"/>
          <w:szCs w:val="24"/>
        </w:rPr>
      </w:pPr>
    </w:p>
    <w:p w14:paraId="351BD42D" w14:textId="6B9C7EB1" w:rsidR="00EB6DAA" w:rsidRPr="00DD5DD9" w:rsidRDefault="00527AFA" w:rsidP="00EB6DAA">
      <w:pPr>
        <w:jc w:val="left"/>
        <w:rPr>
          <w:rFonts w:ascii="Calibri" w:eastAsia="Calibri" w:hAnsi="Calibri" w:cs="Calibri"/>
          <w:szCs w:val="24"/>
        </w:rPr>
      </w:pPr>
      <w:r w:rsidRPr="00C229FD">
        <w:rPr>
          <w:rFonts w:ascii="Calibri" w:eastAsia="Calibri" w:hAnsi="Calibri" w:cs="Calibri"/>
          <w:szCs w:val="24"/>
        </w:rPr>
        <w:t>W</w:t>
      </w:r>
      <w:r w:rsidR="00EB6DAA" w:rsidRPr="00DD5DD9">
        <w:rPr>
          <w:rFonts w:ascii="Calibri" w:eastAsia="Calibri" w:hAnsi="Calibri" w:cs="Calibri"/>
          <w:szCs w:val="24"/>
        </w:rPr>
        <w:t xml:space="preserve">hile NAA </w:t>
      </w:r>
      <w:r w:rsidRPr="00C229FD">
        <w:rPr>
          <w:rFonts w:ascii="Calibri" w:eastAsia="Calibri" w:hAnsi="Calibri" w:cs="Calibri"/>
          <w:szCs w:val="24"/>
        </w:rPr>
        <w:t xml:space="preserve">testing </w:t>
      </w:r>
      <w:r w:rsidR="00EB6DAA" w:rsidRPr="00DD5DD9">
        <w:rPr>
          <w:rFonts w:ascii="Calibri" w:eastAsia="Calibri" w:hAnsi="Calibri" w:cs="Calibri"/>
          <w:szCs w:val="24"/>
        </w:rPr>
        <w:t>should be reserved for symptomatic cases</w:t>
      </w:r>
      <w:r w:rsidR="00EB6DAA" w:rsidRPr="00DD5DD9">
        <w:t>, a</w:t>
      </w:r>
      <w:r w:rsidR="00EB6DAA" w:rsidRPr="00DD5DD9">
        <w:rPr>
          <w:rFonts w:ascii="Calibri" w:eastAsia="Calibri" w:hAnsi="Calibri" w:cs="Calibri"/>
          <w:szCs w:val="24"/>
        </w:rPr>
        <w:t>symptomatic cases</w:t>
      </w:r>
      <w:r w:rsidR="002D4A2F" w:rsidRPr="00DD5DD9">
        <w:rPr>
          <w:rFonts w:ascii="Calibri" w:eastAsia="Calibri" w:hAnsi="Calibri" w:cs="Calibri"/>
          <w:szCs w:val="24"/>
        </w:rPr>
        <w:t xml:space="preserve"> (known recent exposure)</w:t>
      </w:r>
      <w:r w:rsidR="00EB6DAA" w:rsidRPr="00DD5DD9">
        <w:rPr>
          <w:rFonts w:ascii="Calibri" w:eastAsia="Calibri" w:hAnsi="Calibri" w:cs="Calibri"/>
          <w:szCs w:val="24"/>
        </w:rPr>
        <w:t xml:space="preserve"> where NAA testing may be required include:</w:t>
      </w:r>
    </w:p>
    <w:p w14:paraId="07A797FF" w14:textId="7A15025B" w:rsidR="00EB6DAA" w:rsidRPr="00C229FD" w:rsidRDefault="00EB6DAA" w:rsidP="00C229FD">
      <w:pPr>
        <w:pStyle w:val="ListParagraph"/>
        <w:numPr>
          <w:ilvl w:val="0"/>
          <w:numId w:val="9"/>
        </w:numPr>
        <w:jc w:val="left"/>
        <w:rPr>
          <w:rFonts w:ascii="Calibri" w:eastAsia="Calibri" w:hAnsi="Calibri" w:cs="Calibri"/>
          <w:szCs w:val="24"/>
        </w:rPr>
      </w:pPr>
      <w:r w:rsidRPr="00C229FD">
        <w:rPr>
          <w:rFonts w:ascii="Calibri" w:eastAsia="Calibri" w:hAnsi="Calibri" w:cs="Calibri"/>
          <w:szCs w:val="24"/>
        </w:rPr>
        <w:t>Remote and rural communities with low prevalence to identify cases early</w:t>
      </w:r>
    </w:p>
    <w:p w14:paraId="437EB65A" w14:textId="6DB53905" w:rsidR="00EB6DAA" w:rsidRPr="00C229FD" w:rsidRDefault="00EB6DAA" w:rsidP="00C229FD">
      <w:pPr>
        <w:pStyle w:val="ListParagraph"/>
        <w:numPr>
          <w:ilvl w:val="0"/>
          <w:numId w:val="9"/>
        </w:numPr>
        <w:jc w:val="left"/>
        <w:rPr>
          <w:rFonts w:ascii="Calibri" w:eastAsia="Calibri" w:hAnsi="Calibri" w:cs="Calibri"/>
          <w:szCs w:val="24"/>
        </w:rPr>
      </w:pPr>
      <w:r w:rsidRPr="00C229FD">
        <w:rPr>
          <w:rFonts w:ascii="Calibri" w:eastAsia="Calibri" w:hAnsi="Calibri" w:cs="Calibri"/>
          <w:szCs w:val="24"/>
        </w:rPr>
        <w:t xml:space="preserve">High-risk settings (for example, residential aged care facilities) to identify an index case, </w:t>
      </w:r>
      <w:r w:rsidRPr="00DD5DD9">
        <w:rPr>
          <w:rFonts w:ascii="Calibri" w:eastAsia="Calibri" w:hAnsi="Calibri" w:cs="Calibri"/>
          <w:szCs w:val="24"/>
        </w:rPr>
        <w:t xml:space="preserve">or to </w:t>
      </w:r>
      <w:r w:rsidRPr="00C229FD">
        <w:rPr>
          <w:rFonts w:ascii="Calibri" w:eastAsia="Calibri" w:hAnsi="Calibri" w:cs="Calibri"/>
          <w:szCs w:val="24"/>
        </w:rPr>
        <w:t xml:space="preserve">determine </w:t>
      </w:r>
      <w:r w:rsidR="008450E6" w:rsidRPr="00C229FD">
        <w:rPr>
          <w:rFonts w:ascii="Calibri" w:eastAsia="Calibri" w:hAnsi="Calibri" w:cs="Calibri"/>
          <w:szCs w:val="24"/>
        </w:rPr>
        <w:t xml:space="preserve">the </w:t>
      </w:r>
      <w:r w:rsidRPr="00C229FD">
        <w:rPr>
          <w:rFonts w:ascii="Calibri" w:eastAsia="Calibri" w:hAnsi="Calibri" w:cs="Calibri"/>
          <w:szCs w:val="24"/>
        </w:rPr>
        <w:t xml:space="preserve">extent of </w:t>
      </w:r>
      <w:r w:rsidR="008450E6" w:rsidRPr="00C229FD">
        <w:rPr>
          <w:rFonts w:ascii="Calibri" w:eastAsia="Calibri" w:hAnsi="Calibri" w:cs="Calibri"/>
          <w:szCs w:val="24"/>
        </w:rPr>
        <w:t xml:space="preserve">an </w:t>
      </w:r>
      <w:r w:rsidRPr="00C229FD">
        <w:rPr>
          <w:rFonts w:ascii="Calibri" w:eastAsia="Calibri" w:hAnsi="Calibri" w:cs="Calibri"/>
          <w:szCs w:val="24"/>
        </w:rPr>
        <w:t>outbreak</w:t>
      </w:r>
      <w:r w:rsidR="00191892" w:rsidRPr="00C229FD">
        <w:rPr>
          <w:rFonts w:ascii="Calibri" w:eastAsia="Calibri" w:hAnsi="Calibri" w:cs="Calibri"/>
          <w:szCs w:val="24"/>
        </w:rPr>
        <w:t>, or</w:t>
      </w:r>
    </w:p>
    <w:p w14:paraId="6F2674AE" w14:textId="1B38FAB6" w:rsidR="00EB6DAA" w:rsidRPr="00C229FD" w:rsidRDefault="00EB6DAA" w:rsidP="00C229FD">
      <w:pPr>
        <w:pStyle w:val="ListParagraph"/>
        <w:numPr>
          <w:ilvl w:val="0"/>
          <w:numId w:val="9"/>
        </w:numPr>
        <w:jc w:val="left"/>
        <w:rPr>
          <w:rFonts w:ascii="Calibri" w:eastAsia="Calibri" w:hAnsi="Calibri" w:cs="Calibri"/>
          <w:szCs w:val="24"/>
        </w:rPr>
      </w:pPr>
      <w:r w:rsidRPr="00C229FD">
        <w:rPr>
          <w:rFonts w:ascii="Calibri" w:eastAsia="Calibri" w:hAnsi="Calibri" w:cs="Calibri"/>
          <w:szCs w:val="24"/>
        </w:rPr>
        <w:t>Cases at high-risk of severe disease (for example, immunosuppressed individuals) who may be eligible for monoclonal antibody therapy.</w:t>
      </w:r>
    </w:p>
    <w:p w14:paraId="31573D2F" w14:textId="4293FE6A" w:rsidR="00EB6DAA" w:rsidRPr="00DD5DD9" w:rsidRDefault="008450E6" w:rsidP="00EB6DAA">
      <w:pPr>
        <w:jc w:val="left"/>
        <w:rPr>
          <w:rFonts w:ascii="Calibri" w:eastAsia="Calibri" w:hAnsi="Calibri" w:cs="Calibri"/>
          <w:szCs w:val="24"/>
        </w:rPr>
      </w:pPr>
      <w:r w:rsidRPr="00C229FD">
        <w:rPr>
          <w:rFonts w:ascii="Calibri" w:eastAsia="Calibri" w:hAnsi="Calibri" w:cs="Calibri"/>
          <w:szCs w:val="24"/>
        </w:rPr>
        <w:t xml:space="preserve">In addition, </w:t>
      </w:r>
      <w:r w:rsidR="00EB6DAA" w:rsidRPr="00DD5DD9">
        <w:rPr>
          <w:rFonts w:ascii="Calibri" w:eastAsia="Calibri" w:hAnsi="Calibri" w:cs="Calibri"/>
          <w:szCs w:val="24"/>
        </w:rPr>
        <w:t>RAT-positive cases where confirmatory NAA testing may be required</w:t>
      </w:r>
      <w:r w:rsidRPr="00C229FD">
        <w:rPr>
          <w:rFonts w:ascii="Calibri" w:eastAsia="Calibri" w:hAnsi="Calibri" w:cs="Calibri"/>
          <w:szCs w:val="24"/>
        </w:rPr>
        <w:t xml:space="preserve"> include</w:t>
      </w:r>
      <w:r w:rsidR="00EB6DAA" w:rsidRPr="00DD5DD9">
        <w:rPr>
          <w:rFonts w:ascii="Calibri" w:eastAsia="Calibri" w:hAnsi="Calibri" w:cs="Calibri"/>
          <w:szCs w:val="24"/>
        </w:rPr>
        <w:t>:</w:t>
      </w:r>
    </w:p>
    <w:p w14:paraId="7AD30538" w14:textId="784178EC" w:rsidR="00EB6DAA" w:rsidRPr="00C229FD" w:rsidRDefault="00EB6DAA" w:rsidP="00C229FD">
      <w:pPr>
        <w:pStyle w:val="ListParagraph"/>
        <w:numPr>
          <w:ilvl w:val="0"/>
          <w:numId w:val="9"/>
        </w:numPr>
        <w:jc w:val="left"/>
        <w:rPr>
          <w:rFonts w:ascii="Calibri" w:eastAsia="Calibri" w:hAnsi="Calibri" w:cs="Calibri"/>
          <w:szCs w:val="24"/>
        </w:rPr>
      </w:pPr>
      <w:r w:rsidRPr="00C229FD">
        <w:rPr>
          <w:rFonts w:ascii="Calibri" w:eastAsia="Calibri" w:hAnsi="Calibri" w:cs="Calibri"/>
          <w:szCs w:val="24"/>
        </w:rPr>
        <w:t>Cases at high-risk of severe disease (for example, immunosuppressed individuals) who may be eligible for monoclonal antibody therapy</w:t>
      </w:r>
    </w:p>
    <w:p w14:paraId="0C7C2AAF" w14:textId="02C8FB56" w:rsidR="00EB6DAA" w:rsidRPr="00C229FD" w:rsidRDefault="00EB6DAA" w:rsidP="00C229FD">
      <w:pPr>
        <w:pStyle w:val="ListParagraph"/>
        <w:numPr>
          <w:ilvl w:val="0"/>
          <w:numId w:val="9"/>
        </w:numPr>
        <w:jc w:val="left"/>
        <w:rPr>
          <w:rFonts w:ascii="Calibri" w:eastAsia="Calibri" w:hAnsi="Calibri" w:cs="Calibri"/>
          <w:szCs w:val="24"/>
        </w:rPr>
      </w:pPr>
      <w:r w:rsidRPr="00C229FD">
        <w:rPr>
          <w:rFonts w:ascii="Calibri" w:eastAsia="Calibri" w:hAnsi="Calibri" w:cs="Calibri"/>
          <w:szCs w:val="24"/>
        </w:rPr>
        <w:t>RAT-positive critical workers (for example, healthcare workers) to confirm need for furlough</w:t>
      </w:r>
      <w:r w:rsidR="00191892" w:rsidRPr="00C229FD">
        <w:rPr>
          <w:rFonts w:ascii="Calibri" w:eastAsia="Calibri" w:hAnsi="Calibri" w:cs="Calibri"/>
          <w:szCs w:val="24"/>
        </w:rPr>
        <w:t>, or</w:t>
      </w:r>
    </w:p>
    <w:p w14:paraId="764E6E62" w14:textId="58D35287" w:rsidR="4B0068CF" w:rsidRPr="00C229FD" w:rsidRDefault="00EB6DAA" w:rsidP="00C229FD">
      <w:pPr>
        <w:pStyle w:val="ListParagraph"/>
        <w:numPr>
          <w:ilvl w:val="0"/>
          <w:numId w:val="57"/>
        </w:numPr>
        <w:spacing w:after="0"/>
        <w:jc w:val="left"/>
        <w:rPr>
          <w:rFonts w:ascii="Calibri" w:eastAsia="Calibri" w:hAnsi="Calibri" w:cs="Calibri"/>
          <w:szCs w:val="24"/>
        </w:rPr>
      </w:pPr>
      <w:r w:rsidRPr="00DD5DD9">
        <w:rPr>
          <w:rFonts w:ascii="Calibri" w:eastAsia="Calibri" w:hAnsi="Calibri" w:cs="Calibri"/>
          <w:szCs w:val="24"/>
        </w:rPr>
        <w:t>Initial index case in high-risk settings to confirm an outbreak before triggering an outbreak response plan.</w:t>
      </w:r>
    </w:p>
    <w:p w14:paraId="743F2463" w14:textId="77777777" w:rsidR="00E3338F" w:rsidRPr="00C229FD" w:rsidRDefault="00E3338F" w:rsidP="00C229FD">
      <w:pPr>
        <w:spacing w:after="0" w:line="252" w:lineRule="auto"/>
        <w:jc w:val="left"/>
        <w:rPr>
          <w:rFonts w:eastAsiaTheme="minorEastAsia" w:cstheme="minorBidi"/>
          <w:szCs w:val="24"/>
        </w:rPr>
      </w:pPr>
    </w:p>
    <w:p w14:paraId="0D3D067D" w14:textId="094106B3" w:rsidR="00CA1E16" w:rsidRPr="00DD5DD9" w:rsidRDefault="45442254" w:rsidP="00905CD6">
      <w:pPr>
        <w:pStyle w:val="Heading1"/>
      </w:pPr>
      <w:bookmarkStart w:id="91" w:name="_Ref56508651"/>
      <w:bookmarkStart w:id="92" w:name="_Toc1707935637"/>
      <w:bookmarkStart w:id="93" w:name="_Toc1806431952"/>
      <w:bookmarkStart w:id="94" w:name="_Toc93492883"/>
      <w:bookmarkStart w:id="95" w:name="_Toc56505903"/>
      <w:r w:rsidRPr="00DD5DD9">
        <w:t xml:space="preserve">Testing technology and methodology </w:t>
      </w:r>
      <w:r w:rsidR="3EAA692B" w:rsidRPr="00DD5DD9">
        <w:t>by</w:t>
      </w:r>
      <w:r w:rsidRPr="00DD5DD9">
        <w:t xml:space="preserve"> Epidemiological Zone</w:t>
      </w:r>
      <w:bookmarkEnd w:id="91"/>
      <w:bookmarkEnd w:id="92"/>
      <w:bookmarkEnd w:id="93"/>
      <w:bookmarkEnd w:id="94"/>
    </w:p>
    <w:p w14:paraId="27B42204" w14:textId="6C672F88" w:rsidR="00BC1F25" w:rsidRPr="00DD5DD9" w:rsidRDefault="008F6D8D" w:rsidP="00191892">
      <w:pPr>
        <w:tabs>
          <w:tab w:val="left" w:pos="2127"/>
        </w:tabs>
        <w:spacing w:after="0"/>
        <w:jc w:val="left"/>
      </w:pPr>
      <w:r w:rsidRPr="00DD5DD9">
        <w:rPr>
          <w:rFonts w:eastAsia="Calibri" w:cstheme="minorHAnsi"/>
          <w:szCs w:val="24"/>
        </w:rPr>
        <w:t xml:space="preserve">All viruses, including SARS-CoV-2, change over time as part of their natural evolution. This change may impact on the diagnostic accuracy of the test. In Australia all testing methodologies have been comprehensively </w:t>
      </w:r>
      <w:r w:rsidR="00C61320" w:rsidRPr="00DD5DD9">
        <w:rPr>
          <w:rFonts w:eastAsia="Calibri" w:cstheme="minorHAnsi"/>
          <w:szCs w:val="24"/>
        </w:rPr>
        <w:t>validated and</w:t>
      </w:r>
      <w:r w:rsidRPr="00DD5DD9">
        <w:rPr>
          <w:rFonts w:eastAsia="Calibri" w:cstheme="minorHAnsi"/>
          <w:szCs w:val="24"/>
        </w:rPr>
        <w:t xml:space="preserve"> continue to be closely monitored </w:t>
      </w:r>
      <w:r w:rsidRPr="00DD5DD9">
        <w:rPr>
          <w:rFonts w:eastAsia="Calibri" w:cstheme="minorHAnsi"/>
          <w:szCs w:val="24"/>
        </w:rPr>
        <w:lastRenderedPageBreak/>
        <w:t>by the Therapeutic Goods Administration (TGA) and by laboratory personnel, through mandatory participation in quality assurance program modules that have been developed specifically for SARS-CoV-2 and its variants.</w:t>
      </w:r>
    </w:p>
    <w:p w14:paraId="0B7BBBE8" w14:textId="77777777" w:rsidR="00191892" w:rsidRPr="00DD5DD9" w:rsidRDefault="00191892" w:rsidP="007E7F7E">
      <w:pPr>
        <w:tabs>
          <w:tab w:val="left" w:pos="2127"/>
        </w:tabs>
        <w:spacing w:after="0"/>
        <w:jc w:val="left"/>
      </w:pPr>
    </w:p>
    <w:tbl>
      <w:tblPr>
        <w:tblStyle w:val="TableGrid"/>
        <w:tblW w:w="9209" w:type="dxa"/>
        <w:tblLook w:val="04A0" w:firstRow="1" w:lastRow="0" w:firstColumn="1" w:lastColumn="0" w:noHBand="0" w:noVBand="1"/>
      </w:tblPr>
      <w:tblGrid>
        <w:gridCol w:w="1627"/>
        <w:gridCol w:w="7582"/>
      </w:tblGrid>
      <w:tr w:rsidR="00CA1E16" w:rsidRPr="00DD5DD9" w14:paraId="2B248D7E" w14:textId="77777777" w:rsidTr="6A7B07D3">
        <w:trPr>
          <w:cantSplit/>
        </w:trPr>
        <w:tc>
          <w:tcPr>
            <w:tcW w:w="9209" w:type="dxa"/>
            <w:gridSpan w:val="2"/>
            <w:shd w:val="clear" w:color="auto" w:fill="8DB3E2" w:themeFill="text2" w:themeFillTint="66"/>
          </w:tcPr>
          <w:p w14:paraId="054B0C53" w14:textId="77777777" w:rsidR="00CA1E16" w:rsidRPr="00DD5DD9" w:rsidRDefault="00CA1E16" w:rsidP="00A32DA9">
            <w:pPr>
              <w:jc w:val="left"/>
              <w:rPr>
                <w:i/>
                <w:sz w:val="22"/>
              </w:rPr>
            </w:pPr>
            <w:r w:rsidRPr="00DD5DD9">
              <w:rPr>
                <w:i/>
                <w:sz w:val="22"/>
              </w:rPr>
              <w:t>Testing technology</w:t>
            </w:r>
          </w:p>
        </w:tc>
      </w:tr>
      <w:tr w:rsidR="00CA1E16" w:rsidRPr="00DD5DD9" w14:paraId="38DF823F" w14:textId="77777777" w:rsidTr="6A7B07D3">
        <w:trPr>
          <w:cantSplit/>
        </w:trPr>
        <w:tc>
          <w:tcPr>
            <w:tcW w:w="9209" w:type="dxa"/>
            <w:gridSpan w:val="2"/>
            <w:vAlign w:val="center"/>
          </w:tcPr>
          <w:p w14:paraId="3454EB9C" w14:textId="38E7BA21" w:rsidR="00CA1E16" w:rsidRPr="00DD5DD9" w:rsidRDefault="00CA1E16" w:rsidP="00E36034">
            <w:pPr>
              <w:jc w:val="left"/>
              <w:rPr>
                <w:b/>
                <w:sz w:val="22"/>
              </w:rPr>
            </w:pPr>
            <w:r w:rsidRPr="00DD5DD9">
              <w:rPr>
                <w:b/>
                <w:sz w:val="22"/>
              </w:rPr>
              <w:t>Laboratory-based RT-PCR</w:t>
            </w:r>
          </w:p>
        </w:tc>
      </w:tr>
      <w:tr w:rsidR="00CA1E16" w:rsidRPr="00DD5DD9" w14:paraId="1E01CC84" w14:textId="77777777" w:rsidTr="6A7B07D3">
        <w:trPr>
          <w:cantSplit/>
        </w:trPr>
        <w:tc>
          <w:tcPr>
            <w:tcW w:w="1627" w:type="dxa"/>
            <w:shd w:val="clear" w:color="auto" w:fill="DBE5F1" w:themeFill="accent1" w:themeFillTint="33"/>
          </w:tcPr>
          <w:p w14:paraId="7194806A" w14:textId="5A74BECD" w:rsidR="00CA1E16" w:rsidRPr="00DD5DD9" w:rsidRDefault="00CA1E16" w:rsidP="00CA1E16">
            <w:pPr>
              <w:jc w:val="left"/>
              <w:rPr>
                <w:sz w:val="22"/>
              </w:rPr>
            </w:pPr>
            <w:r w:rsidRPr="00DD5DD9">
              <w:rPr>
                <w:sz w:val="22"/>
              </w:rPr>
              <w:t>Epidemiological Zone 1</w:t>
            </w:r>
          </w:p>
        </w:tc>
        <w:tc>
          <w:tcPr>
            <w:tcW w:w="7582" w:type="dxa"/>
          </w:tcPr>
          <w:p w14:paraId="690F5CA4" w14:textId="77777777" w:rsidR="00CA1E16" w:rsidRPr="00DD5DD9" w:rsidRDefault="00CA1E16" w:rsidP="00A32DA9">
            <w:pPr>
              <w:jc w:val="left"/>
              <w:rPr>
                <w:sz w:val="22"/>
              </w:rPr>
            </w:pPr>
            <w:r w:rsidRPr="00DD5DD9">
              <w:rPr>
                <w:sz w:val="22"/>
              </w:rPr>
              <w:t>Gold standard diagnostic test, critical for identifying current infection.</w:t>
            </w:r>
          </w:p>
          <w:p w14:paraId="0D61DC6B" w14:textId="2FA929BB" w:rsidR="00CA1E16" w:rsidRPr="00DD5DD9" w:rsidRDefault="00CA1E16" w:rsidP="00A32DA9">
            <w:pPr>
              <w:jc w:val="left"/>
              <w:rPr>
                <w:sz w:val="22"/>
              </w:rPr>
            </w:pPr>
            <w:r w:rsidRPr="00DD5DD9">
              <w:rPr>
                <w:sz w:val="22"/>
              </w:rPr>
              <w:t>In occupational and vulnerable population settings</w:t>
            </w:r>
            <w:r w:rsidR="00C449F6" w:rsidRPr="00DD5DD9">
              <w:rPr>
                <w:sz w:val="22"/>
              </w:rPr>
              <w:t>,</w:t>
            </w:r>
            <w:r w:rsidRPr="00DD5DD9">
              <w:rPr>
                <w:sz w:val="22"/>
              </w:rPr>
              <w:t xml:space="preserve"> consider using more acceptable collection methods</w:t>
            </w:r>
            <w:r w:rsidR="00CD44F8" w:rsidRPr="00DD5DD9">
              <w:rPr>
                <w:sz w:val="22"/>
              </w:rPr>
              <w:t xml:space="preserve"> (</w:t>
            </w:r>
            <w:r w:rsidR="00DE1E6D" w:rsidRPr="00DD5DD9">
              <w:rPr>
                <w:sz w:val="22"/>
              </w:rPr>
              <w:t>for example</w:t>
            </w:r>
            <w:r w:rsidR="00A410B1" w:rsidRPr="00DD5DD9">
              <w:rPr>
                <w:sz w:val="22"/>
              </w:rPr>
              <w:t>,</w:t>
            </w:r>
            <w:r w:rsidR="00CD44F8" w:rsidRPr="00DD5DD9">
              <w:rPr>
                <w:sz w:val="22"/>
              </w:rPr>
              <w:t xml:space="preserve"> saliva</w:t>
            </w:r>
            <w:r w:rsidR="00A410B1" w:rsidRPr="00DD5DD9">
              <w:rPr>
                <w:sz w:val="22"/>
              </w:rPr>
              <w:t xml:space="preserve"> as a specimen</w:t>
            </w:r>
            <w:r w:rsidR="00CD44F8" w:rsidRPr="00DD5DD9">
              <w:rPr>
                <w:sz w:val="22"/>
              </w:rPr>
              <w:t>)</w:t>
            </w:r>
            <w:r w:rsidRPr="00DD5DD9">
              <w:rPr>
                <w:sz w:val="22"/>
              </w:rPr>
              <w:t xml:space="preserve">, where </w:t>
            </w:r>
            <w:r w:rsidR="00C449F6" w:rsidRPr="00DD5DD9">
              <w:rPr>
                <w:sz w:val="22"/>
              </w:rPr>
              <w:t xml:space="preserve">these are </w:t>
            </w:r>
            <w:r w:rsidRPr="00DD5DD9">
              <w:rPr>
                <w:sz w:val="22"/>
              </w:rPr>
              <w:t>validated</w:t>
            </w:r>
            <w:r w:rsidR="00C56596" w:rsidRPr="00DD5DD9">
              <w:rPr>
                <w:rStyle w:val="FootnoteReference"/>
                <w:sz w:val="22"/>
              </w:rPr>
              <w:footnoteReference w:id="9"/>
            </w:r>
            <w:r w:rsidRPr="00DD5DD9">
              <w:rPr>
                <w:sz w:val="22"/>
              </w:rPr>
              <w:t>, for easier adm</w:t>
            </w:r>
            <w:r w:rsidR="00CD44F8" w:rsidRPr="00DD5DD9">
              <w:rPr>
                <w:sz w:val="22"/>
              </w:rPr>
              <w:t>inistration and repeat testing</w:t>
            </w:r>
            <w:r w:rsidR="00DE1E6D" w:rsidRPr="00DD5DD9">
              <w:rPr>
                <w:sz w:val="22"/>
              </w:rPr>
              <w:t>. Also</w:t>
            </w:r>
            <w:r w:rsidR="00B92047" w:rsidRPr="00DD5DD9">
              <w:rPr>
                <w:sz w:val="22"/>
              </w:rPr>
              <w:t xml:space="preserve"> consider</w:t>
            </w:r>
            <w:r w:rsidRPr="00DD5DD9">
              <w:rPr>
                <w:sz w:val="22"/>
              </w:rPr>
              <w:t xml:space="preserve"> employ</w:t>
            </w:r>
            <w:r w:rsidR="00C449F6" w:rsidRPr="00DD5DD9">
              <w:rPr>
                <w:sz w:val="22"/>
              </w:rPr>
              <w:t>ing</w:t>
            </w:r>
            <w:r w:rsidR="00CD44F8" w:rsidRPr="00DD5DD9">
              <w:rPr>
                <w:sz w:val="22"/>
              </w:rPr>
              <w:t xml:space="preserve"> </w:t>
            </w:r>
            <w:r w:rsidRPr="00DD5DD9">
              <w:rPr>
                <w:sz w:val="22"/>
              </w:rPr>
              <w:t>pooling strategies</w:t>
            </w:r>
            <w:r w:rsidR="00CD44F8" w:rsidRPr="00DD5DD9">
              <w:rPr>
                <w:rStyle w:val="FootnoteReference"/>
                <w:sz w:val="22"/>
              </w:rPr>
              <w:footnoteReference w:id="10"/>
            </w:r>
            <w:r w:rsidRPr="00DD5DD9">
              <w:rPr>
                <w:sz w:val="22"/>
              </w:rPr>
              <w:t xml:space="preserve"> when the </w:t>
            </w:r>
            <w:r w:rsidR="00E36034" w:rsidRPr="00DD5DD9">
              <w:rPr>
                <w:sz w:val="22"/>
              </w:rPr>
              <w:t>prevalence or pre</w:t>
            </w:r>
            <w:r w:rsidR="00F5034C" w:rsidRPr="00DD5DD9">
              <w:rPr>
                <w:sz w:val="22"/>
              </w:rPr>
              <w:t>-</w:t>
            </w:r>
            <w:r w:rsidR="00E36034" w:rsidRPr="00DD5DD9">
              <w:rPr>
                <w:sz w:val="22"/>
              </w:rPr>
              <w:t>test probability</w:t>
            </w:r>
            <w:r w:rsidRPr="00DD5DD9">
              <w:rPr>
                <w:sz w:val="22"/>
              </w:rPr>
              <w:t xml:space="preserve"> is low. </w:t>
            </w:r>
          </w:p>
          <w:p w14:paraId="77FD20B3" w14:textId="779EDB88" w:rsidR="00FA5B10" w:rsidRPr="00DD5DD9" w:rsidRDefault="00FA5B10" w:rsidP="00A32DA9">
            <w:pPr>
              <w:jc w:val="left"/>
              <w:rPr>
                <w:sz w:val="22"/>
              </w:rPr>
            </w:pPr>
            <w:r w:rsidRPr="00DD5DD9">
              <w:rPr>
                <w:sz w:val="22"/>
              </w:rPr>
              <w:t>PHLN recommend</w:t>
            </w:r>
            <w:r w:rsidR="00757723" w:rsidRPr="00DD5DD9">
              <w:rPr>
                <w:sz w:val="22"/>
              </w:rPr>
              <w:t>s</w:t>
            </w:r>
            <w:r w:rsidRPr="00DD5DD9">
              <w:rPr>
                <w:sz w:val="22"/>
              </w:rPr>
              <w:t xml:space="preserve"> the use of multiplex </w:t>
            </w:r>
            <w:r w:rsidR="00757723" w:rsidRPr="00DD5DD9">
              <w:rPr>
                <w:sz w:val="22"/>
              </w:rPr>
              <w:t>RT-</w:t>
            </w:r>
            <w:r w:rsidRPr="00DD5DD9">
              <w:rPr>
                <w:sz w:val="22"/>
              </w:rPr>
              <w:t>PCR assays that detect SARS-CoV-2 and other commonly circulating respiratory viruses,</w:t>
            </w:r>
            <w:r w:rsidR="007C4C27" w:rsidRPr="00DD5DD9">
              <w:rPr>
                <w:sz w:val="22"/>
              </w:rPr>
              <w:t xml:space="preserve"> where resourcing and laboratory workflows allow, </w:t>
            </w:r>
            <w:r w:rsidRPr="00DD5DD9">
              <w:rPr>
                <w:sz w:val="22"/>
              </w:rPr>
              <w:t>to conserve resources</w:t>
            </w:r>
            <w:r w:rsidR="007C4C27" w:rsidRPr="00DD5DD9">
              <w:rPr>
                <w:sz w:val="22"/>
              </w:rPr>
              <w:t xml:space="preserve"> and ensure optimal surveillance.</w:t>
            </w:r>
          </w:p>
          <w:p w14:paraId="7E51AA5E" w14:textId="00E7224C" w:rsidR="00CF62D4" w:rsidRPr="00DD5DD9" w:rsidRDefault="00C329B7" w:rsidP="00E36034">
            <w:pPr>
              <w:jc w:val="left"/>
              <w:rPr>
                <w:sz w:val="22"/>
              </w:rPr>
            </w:pPr>
            <w:r w:rsidRPr="00DD5DD9">
              <w:rPr>
                <w:sz w:val="22"/>
              </w:rPr>
              <w:t>Specimen p</w:t>
            </w:r>
            <w:r w:rsidR="00CA1E16" w:rsidRPr="00DD5DD9">
              <w:rPr>
                <w:sz w:val="22"/>
              </w:rPr>
              <w:t xml:space="preserve">ooling </w:t>
            </w:r>
            <w:r w:rsidR="00CA1E16" w:rsidRPr="00DD5DD9">
              <w:rPr>
                <w:sz w:val="22"/>
                <w:u w:val="single"/>
              </w:rPr>
              <w:t xml:space="preserve">will </w:t>
            </w:r>
            <w:r w:rsidR="00DE1E6D" w:rsidRPr="00DD5DD9">
              <w:rPr>
                <w:sz w:val="22"/>
                <w:u w:val="single"/>
              </w:rPr>
              <w:t>help</w:t>
            </w:r>
            <w:r w:rsidR="00CA1E16" w:rsidRPr="00DD5DD9">
              <w:rPr>
                <w:sz w:val="22"/>
                <w:u w:val="single"/>
              </w:rPr>
              <w:t xml:space="preserve"> </w:t>
            </w:r>
            <w:r w:rsidR="00DE1E6D" w:rsidRPr="00DD5DD9">
              <w:rPr>
                <w:sz w:val="22"/>
                <w:u w:val="single"/>
              </w:rPr>
              <w:t>conserve</w:t>
            </w:r>
            <w:r w:rsidR="00E36034" w:rsidRPr="00DD5DD9">
              <w:rPr>
                <w:sz w:val="22"/>
                <w:u w:val="single"/>
              </w:rPr>
              <w:t xml:space="preserve"> </w:t>
            </w:r>
            <w:r w:rsidR="00CA1E16" w:rsidRPr="00DD5DD9">
              <w:rPr>
                <w:sz w:val="22"/>
                <w:u w:val="single"/>
              </w:rPr>
              <w:t>RT-PCR</w:t>
            </w:r>
            <w:r w:rsidR="00CA1E16" w:rsidRPr="00DD5DD9">
              <w:rPr>
                <w:sz w:val="22"/>
              </w:rPr>
              <w:t xml:space="preserve"> testing consumables and laboratory capacity. These methodologies </w:t>
            </w:r>
            <w:r w:rsidR="00DE1E6D" w:rsidRPr="00DD5DD9">
              <w:rPr>
                <w:sz w:val="22"/>
              </w:rPr>
              <w:t>need</w:t>
            </w:r>
            <w:r w:rsidR="00CA1E16" w:rsidRPr="00DD5DD9">
              <w:rPr>
                <w:sz w:val="22"/>
              </w:rPr>
              <w:t xml:space="preserve"> laboratory validation. </w:t>
            </w:r>
            <w:r w:rsidR="00DE1E6D" w:rsidRPr="00DD5DD9">
              <w:rPr>
                <w:sz w:val="22"/>
              </w:rPr>
              <w:t xml:space="preserve">Seek </w:t>
            </w:r>
            <w:r w:rsidR="00CA1E16" w:rsidRPr="00DD5DD9">
              <w:rPr>
                <w:sz w:val="22"/>
              </w:rPr>
              <w:t xml:space="preserve">PHLN advice </w:t>
            </w:r>
            <w:r w:rsidR="00DE1E6D" w:rsidRPr="00DD5DD9">
              <w:rPr>
                <w:sz w:val="22"/>
              </w:rPr>
              <w:t>on</w:t>
            </w:r>
            <w:r w:rsidR="00CA1E16" w:rsidRPr="00DD5DD9">
              <w:rPr>
                <w:sz w:val="22"/>
              </w:rPr>
              <w:t xml:space="preserve"> current availability and utility.</w:t>
            </w:r>
          </w:p>
        </w:tc>
      </w:tr>
      <w:tr w:rsidR="00CA1E16" w:rsidRPr="00DD5DD9" w14:paraId="3EA2E47A" w14:textId="77777777" w:rsidTr="6A7B07D3">
        <w:trPr>
          <w:cantSplit/>
        </w:trPr>
        <w:tc>
          <w:tcPr>
            <w:tcW w:w="1627" w:type="dxa"/>
            <w:shd w:val="clear" w:color="auto" w:fill="DBE5F1" w:themeFill="accent1" w:themeFillTint="33"/>
          </w:tcPr>
          <w:p w14:paraId="460F9AE0" w14:textId="56DEFADF" w:rsidR="00CA1E16" w:rsidRPr="00DD5DD9" w:rsidRDefault="00CA1E16" w:rsidP="00CA1E16">
            <w:pPr>
              <w:jc w:val="left"/>
              <w:rPr>
                <w:sz w:val="22"/>
              </w:rPr>
            </w:pPr>
            <w:r w:rsidRPr="00DD5DD9">
              <w:rPr>
                <w:sz w:val="22"/>
              </w:rPr>
              <w:t>Epidemiological Zone 2</w:t>
            </w:r>
          </w:p>
        </w:tc>
        <w:tc>
          <w:tcPr>
            <w:tcW w:w="7582" w:type="dxa"/>
          </w:tcPr>
          <w:p w14:paraId="5FB562AF" w14:textId="77777777" w:rsidR="00CA1E16" w:rsidRPr="00DD5DD9" w:rsidRDefault="00CA1E16" w:rsidP="00A32DA9">
            <w:pPr>
              <w:jc w:val="left"/>
              <w:rPr>
                <w:sz w:val="22"/>
              </w:rPr>
            </w:pPr>
            <w:r w:rsidRPr="00DD5DD9">
              <w:rPr>
                <w:sz w:val="22"/>
              </w:rPr>
              <w:t xml:space="preserve">Reserved for symptomatic testing, upstream contact tracing and testing close contacts (symptomatic and asymptomatic). </w:t>
            </w:r>
          </w:p>
          <w:p w14:paraId="4C97AF36" w14:textId="11A1B3DD" w:rsidR="00CA1E16" w:rsidRPr="00DD5DD9" w:rsidRDefault="00CA1E16" w:rsidP="00A32DA9">
            <w:pPr>
              <w:jc w:val="left"/>
              <w:rPr>
                <w:sz w:val="22"/>
              </w:rPr>
            </w:pPr>
            <w:r w:rsidRPr="00DD5DD9">
              <w:rPr>
                <w:sz w:val="22"/>
              </w:rPr>
              <w:t xml:space="preserve">As per Epidemiological </w:t>
            </w:r>
            <w:r w:rsidR="00A32DA9" w:rsidRPr="00DD5DD9">
              <w:rPr>
                <w:sz w:val="22"/>
              </w:rPr>
              <w:t>Zone</w:t>
            </w:r>
            <w:r w:rsidRPr="00DD5DD9">
              <w:rPr>
                <w:sz w:val="22"/>
              </w:rPr>
              <w:t xml:space="preserve"> 1, consider using more acceptable collection methods, where validated. </w:t>
            </w:r>
          </w:p>
          <w:p w14:paraId="72298A13" w14:textId="218CF340" w:rsidR="00CA1E16" w:rsidRPr="00DD5DD9" w:rsidRDefault="00C329B7" w:rsidP="00E36034">
            <w:pPr>
              <w:jc w:val="left"/>
              <w:rPr>
                <w:sz w:val="22"/>
              </w:rPr>
            </w:pPr>
            <w:r w:rsidRPr="00DD5DD9">
              <w:rPr>
                <w:sz w:val="22"/>
              </w:rPr>
              <w:t>Specimen p</w:t>
            </w:r>
            <w:r w:rsidR="00CA1E16" w:rsidRPr="00DD5DD9">
              <w:rPr>
                <w:sz w:val="22"/>
              </w:rPr>
              <w:t>ooling strateg</w:t>
            </w:r>
            <w:r w:rsidR="00E36034" w:rsidRPr="00DD5DD9">
              <w:rPr>
                <w:sz w:val="22"/>
              </w:rPr>
              <w:t>ies</w:t>
            </w:r>
            <w:r w:rsidR="00CA1E16" w:rsidRPr="00DD5DD9">
              <w:rPr>
                <w:sz w:val="22"/>
              </w:rPr>
              <w:t xml:space="preserve"> </w:t>
            </w:r>
            <w:r w:rsidR="00CA1E16" w:rsidRPr="00DD5DD9">
              <w:rPr>
                <w:sz w:val="22"/>
                <w:u w:val="single"/>
              </w:rPr>
              <w:t>may no longer</w:t>
            </w:r>
            <w:r w:rsidR="00CA1E16" w:rsidRPr="00DD5DD9">
              <w:rPr>
                <w:sz w:val="22"/>
              </w:rPr>
              <w:t xml:space="preserve"> be appropriate as </w:t>
            </w:r>
            <w:r w:rsidR="00E36034" w:rsidRPr="00DD5DD9">
              <w:rPr>
                <w:sz w:val="22"/>
              </w:rPr>
              <w:t>prevalence or pre</w:t>
            </w:r>
            <w:r w:rsidR="00F5034C" w:rsidRPr="00DD5DD9">
              <w:rPr>
                <w:sz w:val="22"/>
              </w:rPr>
              <w:t>-</w:t>
            </w:r>
            <w:r w:rsidR="00E36034" w:rsidRPr="00DD5DD9">
              <w:rPr>
                <w:sz w:val="22"/>
              </w:rPr>
              <w:t xml:space="preserve">test probability </w:t>
            </w:r>
            <w:r w:rsidR="00CA1E16" w:rsidRPr="00DD5DD9">
              <w:rPr>
                <w:sz w:val="22"/>
              </w:rPr>
              <w:t xml:space="preserve">rises. </w:t>
            </w:r>
            <w:r w:rsidR="00D8747A" w:rsidRPr="00DD5DD9">
              <w:rPr>
                <w:sz w:val="22"/>
              </w:rPr>
              <w:t xml:space="preserve">Consult </w:t>
            </w:r>
            <w:r w:rsidR="00CA1E16" w:rsidRPr="00DD5DD9">
              <w:rPr>
                <w:sz w:val="22"/>
              </w:rPr>
              <w:t xml:space="preserve">PHLN </w:t>
            </w:r>
            <w:r w:rsidRPr="00DD5DD9">
              <w:rPr>
                <w:sz w:val="22"/>
              </w:rPr>
              <w:t xml:space="preserve">for advice on </w:t>
            </w:r>
            <w:r w:rsidR="00D8747A" w:rsidRPr="00DD5DD9">
              <w:rPr>
                <w:sz w:val="22"/>
              </w:rPr>
              <w:t>pooling</w:t>
            </w:r>
            <w:r w:rsidRPr="00DD5DD9">
              <w:rPr>
                <w:sz w:val="22"/>
              </w:rPr>
              <w:t xml:space="preserve"> implementation.</w:t>
            </w:r>
            <w:r w:rsidR="00A410B1" w:rsidRPr="00DD5DD9">
              <w:rPr>
                <w:sz w:val="22"/>
              </w:rPr>
              <w:t xml:space="preserve"> Pooling is not always appropriate.</w:t>
            </w:r>
          </w:p>
        </w:tc>
      </w:tr>
      <w:tr w:rsidR="00CA1E16" w:rsidRPr="00DD5DD9" w14:paraId="2FFE2AA0" w14:textId="77777777" w:rsidTr="6A7B07D3">
        <w:trPr>
          <w:cantSplit/>
        </w:trPr>
        <w:tc>
          <w:tcPr>
            <w:tcW w:w="1627" w:type="dxa"/>
            <w:shd w:val="clear" w:color="auto" w:fill="DBE5F1" w:themeFill="accent1" w:themeFillTint="33"/>
          </w:tcPr>
          <w:p w14:paraId="0A23F39E" w14:textId="384C1029" w:rsidR="00CA1E16" w:rsidRPr="00DD5DD9" w:rsidRDefault="00CA1E16" w:rsidP="00CA1E16">
            <w:pPr>
              <w:jc w:val="left"/>
              <w:rPr>
                <w:sz w:val="22"/>
              </w:rPr>
            </w:pPr>
            <w:r w:rsidRPr="00DD5DD9">
              <w:rPr>
                <w:sz w:val="22"/>
              </w:rPr>
              <w:t>Epidemiological Zone 3</w:t>
            </w:r>
          </w:p>
        </w:tc>
        <w:tc>
          <w:tcPr>
            <w:tcW w:w="7582" w:type="dxa"/>
          </w:tcPr>
          <w:p w14:paraId="204598F7" w14:textId="193E141C" w:rsidR="00CA1E16" w:rsidRPr="00DD5DD9" w:rsidRDefault="6F53BC71" w:rsidP="00A32DA9">
            <w:pPr>
              <w:jc w:val="left"/>
              <w:rPr>
                <w:sz w:val="22"/>
              </w:rPr>
            </w:pPr>
            <w:r w:rsidRPr="00DD5DD9">
              <w:rPr>
                <w:sz w:val="22"/>
              </w:rPr>
              <w:t>Reserved for symptomatic testing and upstream contact tracing when TATs exceed 24 hours</w:t>
            </w:r>
            <w:r w:rsidR="078D2DC2" w:rsidRPr="00DD5DD9">
              <w:rPr>
                <w:sz w:val="22"/>
              </w:rPr>
              <w:t xml:space="preserve"> at the 90</w:t>
            </w:r>
            <w:r w:rsidR="078D2DC2" w:rsidRPr="00DD5DD9">
              <w:rPr>
                <w:sz w:val="22"/>
                <w:vertAlign w:val="superscript"/>
              </w:rPr>
              <w:t>th</w:t>
            </w:r>
            <w:r w:rsidR="078D2DC2" w:rsidRPr="00DD5DD9">
              <w:rPr>
                <w:sz w:val="22"/>
              </w:rPr>
              <w:t xml:space="preserve"> percentile</w:t>
            </w:r>
            <w:r w:rsidRPr="00DD5DD9">
              <w:rPr>
                <w:sz w:val="22"/>
              </w:rPr>
              <w:t>.</w:t>
            </w:r>
          </w:p>
          <w:p w14:paraId="290A07C9" w14:textId="7AFE95B8" w:rsidR="00CA1E16" w:rsidRPr="00DD5DD9" w:rsidRDefault="6F53BC71" w:rsidP="00A32DA9">
            <w:pPr>
              <w:jc w:val="left"/>
              <w:rPr>
                <w:sz w:val="22"/>
              </w:rPr>
            </w:pPr>
            <w:r w:rsidRPr="00DD5DD9">
              <w:rPr>
                <w:sz w:val="22"/>
              </w:rPr>
              <w:t xml:space="preserve">As per Epidemiological </w:t>
            </w:r>
            <w:r w:rsidR="17B07B56" w:rsidRPr="00DD5DD9">
              <w:rPr>
                <w:sz w:val="22"/>
              </w:rPr>
              <w:t>Zone</w:t>
            </w:r>
            <w:r w:rsidRPr="00DD5DD9">
              <w:rPr>
                <w:sz w:val="22"/>
              </w:rPr>
              <w:t xml:space="preserve"> 1, consider using more acceptable collection methods,</w:t>
            </w:r>
            <w:r w:rsidR="62F66B5D" w:rsidRPr="00DD5DD9">
              <w:rPr>
                <w:sz w:val="22"/>
              </w:rPr>
              <w:t xml:space="preserve"> such as saliva, </w:t>
            </w:r>
            <w:r w:rsidRPr="00DD5DD9">
              <w:rPr>
                <w:sz w:val="22"/>
              </w:rPr>
              <w:t xml:space="preserve">where validated. </w:t>
            </w:r>
          </w:p>
          <w:p w14:paraId="00D96B83" w14:textId="4B8A5EA6" w:rsidR="00CA1E16" w:rsidRPr="00DD5DD9" w:rsidRDefault="6F53BC71" w:rsidP="00DC0355">
            <w:pPr>
              <w:jc w:val="left"/>
              <w:rPr>
                <w:sz w:val="22"/>
              </w:rPr>
            </w:pPr>
            <w:r w:rsidRPr="00DD5DD9">
              <w:rPr>
                <w:sz w:val="22"/>
              </w:rPr>
              <w:t>Pooling strateg</w:t>
            </w:r>
            <w:r w:rsidR="188B5567" w:rsidRPr="00DD5DD9">
              <w:rPr>
                <w:sz w:val="22"/>
              </w:rPr>
              <w:t>ies are</w:t>
            </w:r>
            <w:r w:rsidRPr="00DD5DD9">
              <w:rPr>
                <w:sz w:val="22"/>
              </w:rPr>
              <w:t xml:space="preserve"> </w:t>
            </w:r>
            <w:r w:rsidRPr="00DD5DD9">
              <w:rPr>
                <w:sz w:val="22"/>
                <w:u w:val="single"/>
              </w:rPr>
              <w:t>unlikely to be viable</w:t>
            </w:r>
            <w:r w:rsidRPr="00DD5DD9">
              <w:rPr>
                <w:sz w:val="22"/>
              </w:rPr>
              <w:t xml:space="preserve"> in this epidemiological </w:t>
            </w:r>
            <w:r w:rsidR="078D2DC2" w:rsidRPr="00DD5DD9">
              <w:rPr>
                <w:sz w:val="22"/>
              </w:rPr>
              <w:t>context</w:t>
            </w:r>
            <w:r w:rsidRPr="00DD5DD9">
              <w:rPr>
                <w:sz w:val="22"/>
              </w:rPr>
              <w:t xml:space="preserve"> as </w:t>
            </w:r>
            <w:r w:rsidR="7243B637" w:rsidRPr="00DD5DD9">
              <w:rPr>
                <w:sz w:val="22"/>
              </w:rPr>
              <w:t>prevalence or pre</w:t>
            </w:r>
            <w:r w:rsidR="586CFE55" w:rsidRPr="00DD5DD9">
              <w:rPr>
                <w:sz w:val="22"/>
              </w:rPr>
              <w:t>-</w:t>
            </w:r>
            <w:r w:rsidR="7243B637" w:rsidRPr="00DD5DD9">
              <w:rPr>
                <w:sz w:val="22"/>
              </w:rPr>
              <w:t xml:space="preserve">test probability </w:t>
            </w:r>
            <w:r w:rsidRPr="00DD5DD9">
              <w:rPr>
                <w:sz w:val="22"/>
              </w:rPr>
              <w:t xml:space="preserve">likely to be too high. </w:t>
            </w:r>
            <w:r w:rsidR="121BD226" w:rsidRPr="00DD5DD9">
              <w:rPr>
                <w:sz w:val="22"/>
              </w:rPr>
              <w:t>Consult</w:t>
            </w:r>
            <w:r w:rsidRPr="00DD5DD9">
              <w:rPr>
                <w:sz w:val="22"/>
              </w:rPr>
              <w:t xml:space="preserve"> PHLN </w:t>
            </w:r>
            <w:r w:rsidR="62F66B5D" w:rsidRPr="00DD5DD9">
              <w:rPr>
                <w:sz w:val="22"/>
              </w:rPr>
              <w:t xml:space="preserve">for advice on </w:t>
            </w:r>
            <w:r w:rsidR="121BD226" w:rsidRPr="00DD5DD9">
              <w:rPr>
                <w:sz w:val="22"/>
              </w:rPr>
              <w:t>pooling</w:t>
            </w:r>
            <w:r w:rsidR="62F66B5D" w:rsidRPr="00DD5DD9">
              <w:rPr>
                <w:sz w:val="22"/>
              </w:rPr>
              <w:t xml:space="preserve"> implementation.</w:t>
            </w:r>
          </w:p>
        </w:tc>
      </w:tr>
      <w:tr w:rsidR="00287EBB" w:rsidRPr="00DD5DD9" w14:paraId="38DDA49F" w14:textId="77777777" w:rsidTr="6A7B07D3">
        <w:trPr>
          <w:cantSplit/>
        </w:trPr>
        <w:tc>
          <w:tcPr>
            <w:tcW w:w="1627" w:type="dxa"/>
            <w:shd w:val="clear" w:color="auto" w:fill="DBE5F1" w:themeFill="accent1" w:themeFillTint="33"/>
          </w:tcPr>
          <w:p w14:paraId="6F1786BF" w14:textId="4CC46071" w:rsidR="00287EBB" w:rsidRPr="00DD5DD9" w:rsidRDefault="00287EBB" w:rsidP="00CA1E16">
            <w:pPr>
              <w:jc w:val="left"/>
              <w:rPr>
                <w:sz w:val="22"/>
              </w:rPr>
            </w:pPr>
            <w:r w:rsidRPr="00DD5DD9">
              <w:rPr>
                <w:sz w:val="22"/>
              </w:rPr>
              <w:t>Epidemiological Zone 4</w:t>
            </w:r>
          </w:p>
        </w:tc>
        <w:tc>
          <w:tcPr>
            <w:tcW w:w="7582" w:type="dxa"/>
          </w:tcPr>
          <w:p w14:paraId="0FBB5FE9" w14:textId="6605A6F5" w:rsidR="00EB12B8" w:rsidRPr="00DD5DD9" w:rsidRDefault="59CEFAE0" w:rsidP="6A9820AC">
            <w:pPr>
              <w:jc w:val="left"/>
              <w:rPr>
                <w:rFonts w:ascii="Calibri" w:eastAsia="Calibri" w:hAnsi="Calibri"/>
                <w:sz w:val="22"/>
              </w:rPr>
            </w:pPr>
            <w:r w:rsidRPr="00DD5DD9">
              <w:rPr>
                <w:sz w:val="22"/>
              </w:rPr>
              <w:t xml:space="preserve">In this epidemiological context, consider </w:t>
            </w:r>
            <w:r w:rsidR="10156E5B" w:rsidRPr="00DD5DD9">
              <w:rPr>
                <w:sz w:val="22"/>
              </w:rPr>
              <w:t xml:space="preserve">preserving </w:t>
            </w:r>
            <w:r w:rsidR="653661FA" w:rsidRPr="00DD5DD9">
              <w:rPr>
                <w:sz w:val="22"/>
              </w:rPr>
              <w:t xml:space="preserve">laboratory-based </w:t>
            </w:r>
            <w:r w:rsidR="00D42874" w:rsidRPr="00DD5DD9">
              <w:rPr>
                <w:sz w:val="22"/>
              </w:rPr>
              <w:t xml:space="preserve">RT-PCR </w:t>
            </w:r>
            <w:r w:rsidRPr="00DD5DD9">
              <w:rPr>
                <w:sz w:val="22"/>
              </w:rPr>
              <w:t xml:space="preserve">testing </w:t>
            </w:r>
            <w:r w:rsidR="338AD0C4" w:rsidRPr="00DD5DD9">
              <w:rPr>
                <w:sz w:val="22"/>
              </w:rPr>
              <w:t>for</w:t>
            </w:r>
            <w:r w:rsidRPr="00DD5DD9">
              <w:rPr>
                <w:sz w:val="22"/>
              </w:rPr>
              <w:t xml:space="preserve"> symptomatic </w:t>
            </w:r>
            <w:r w:rsidR="0B46600D" w:rsidRPr="00DD5DD9">
              <w:rPr>
                <w:sz w:val="22"/>
              </w:rPr>
              <w:t>individuals</w:t>
            </w:r>
            <w:r w:rsidR="765D6E4F" w:rsidRPr="00DD5DD9">
              <w:rPr>
                <w:sz w:val="22"/>
              </w:rPr>
              <w:t xml:space="preserve"> only</w:t>
            </w:r>
            <w:r w:rsidR="2F501F48" w:rsidRPr="00DD5DD9">
              <w:rPr>
                <w:sz w:val="22"/>
              </w:rPr>
              <w:t xml:space="preserve"> (Priority Group 1)</w:t>
            </w:r>
            <w:r w:rsidR="765D6E4F" w:rsidRPr="00DD5DD9">
              <w:rPr>
                <w:sz w:val="22"/>
              </w:rPr>
              <w:t>, especially those</w:t>
            </w:r>
            <w:r w:rsidRPr="00DD5DD9">
              <w:rPr>
                <w:sz w:val="22"/>
              </w:rPr>
              <w:t xml:space="preserve"> at higher risk of severe disease and asymptomatic people in high and special-risk settings (Priority Group 4)</w:t>
            </w:r>
            <w:r w:rsidR="30C9663B" w:rsidRPr="00DD5DD9">
              <w:rPr>
                <w:sz w:val="22"/>
              </w:rPr>
              <w:t xml:space="preserve"> </w:t>
            </w:r>
            <w:r w:rsidR="0DF2265E" w:rsidRPr="00DD5DD9">
              <w:rPr>
                <w:sz w:val="22"/>
              </w:rPr>
              <w:t>where a confirmed case has already been identified and transmission is likely</w:t>
            </w:r>
            <w:r w:rsidR="00EB12B8" w:rsidRPr="00DD5DD9">
              <w:rPr>
                <w:sz w:val="22"/>
              </w:rPr>
              <w:t>.</w:t>
            </w:r>
          </w:p>
          <w:p w14:paraId="749951A2" w14:textId="61B48113" w:rsidR="00287EBB" w:rsidRPr="00DD5DD9" w:rsidRDefault="7EEDD95A" w:rsidP="6D31A3BD">
            <w:pPr>
              <w:jc w:val="left"/>
              <w:rPr>
                <w:sz w:val="22"/>
              </w:rPr>
            </w:pPr>
            <w:r w:rsidRPr="00DD5DD9">
              <w:rPr>
                <w:sz w:val="22"/>
              </w:rPr>
              <w:t>As per Epid</w:t>
            </w:r>
            <w:r w:rsidR="62CE167A" w:rsidRPr="00DD5DD9">
              <w:rPr>
                <w:sz w:val="22"/>
              </w:rPr>
              <w:t>e</w:t>
            </w:r>
            <w:r w:rsidRPr="00DD5DD9">
              <w:rPr>
                <w:sz w:val="22"/>
              </w:rPr>
              <w:t xml:space="preserve">miological Zone 1, consider using </w:t>
            </w:r>
            <w:r w:rsidR="56469B96" w:rsidRPr="00DD5DD9">
              <w:rPr>
                <w:sz w:val="22"/>
              </w:rPr>
              <w:t>alternative</w:t>
            </w:r>
            <w:r w:rsidRPr="00DD5DD9">
              <w:rPr>
                <w:sz w:val="22"/>
              </w:rPr>
              <w:t xml:space="preserve"> collection methods, where validated. </w:t>
            </w:r>
            <w:r w:rsidR="6D1E30A2" w:rsidRPr="00DD5DD9">
              <w:rPr>
                <w:sz w:val="22"/>
              </w:rPr>
              <w:t xml:space="preserve">Pooling strategies are </w:t>
            </w:r>
            <w:r w:rsidR="6D1E30A2" w:rsidRPr="00DD5DD9">
              <w:rPr>
                <w:sz w:val="22"/>
                <w:u w:val="single"/>
              </w:rPr>
              <w:t>not viable</w:t>
            </w:r>
            <w:r w:rsidR="6D1E30A2" w:rsidRPr="00DD5DD9">
              <w:rPr>
                <w:sz w:val="22"/>
              </w:rPr>
              <w:t xml:space="preserve"> in this epidemiological context as prevalence or pre-test probability is too high.</w:t>
            </w:r>
          </w:p>
        </w:tc>
      </w:tr>
      <w:tr w:rsidR="00CA1E16" w:rsidRPr="00DD5DD9" w14:paraId="17E2E881" w14:textId="77777777" w:rsidTr="6A7B07D3">
        <w:trPr>
          <w:cantSplit/>
        </w:trPr>
        <w:tc>
          <w:tcPr>
            <w:tcW w:w="9209" w:type="dxa"/>
            <w:gridSpan w:val="2"/>
            <w:vAlign w:val="center"/>
          </w:tcPr>
          <w:p w14:paraId="44B61225" w14:textId="165DDDF9" w:rsidR="00CA1E16" w:rsidRPr="00DD5DD9" w:rsidRDefault="00CA1E16" w:rsidP="00A32DA9">
            <w:pPr>
              <w:jc w:val="left"/>
              <w:rPr>
                <w:b/>
                <w:sz w:val="22"/>
              </w:rPr>
            </w:pPr>
            <w:r w:rsidRPr="00DD5DD9">
              <w:rPr>
                <w:b/>
                <w:sz w:val="22"/>
              </w:rPr>
              <w:lastRenderedPageBreak/>
              <w:t xml:space="preserve">Point-of-care RT-PCR </w:t>
            </w:r>
            <w:r w:rsidR="00D8747A" w:rsidRPr="00DD5DD9">
              <w:rPr>
                <w:b/>
                <w:sz w:val="22"/>
              </w:rPr>
              <w:t>for example</w:t>
            </w:r>
            <w:r w:rsidRPr="00DD5DD9">
              <w:rPr>
                <w:b/>
                <w:sz w:val="22"/>
              </w:rPr>
              <w:t xml:space="preserve"> GeneXpert</w:t>
            </w:r>
            <w:r w:rsidR="009E006B" w:rsidRPr="00DD5DD9">
              <w:rPr>
                <w:b/>
                <w:sz w:val="22"/>
              </w:rPr>
              <w:t xml:space="preserve">, </w:t>
            </w:r>
            <w:r w:rsidR="00DA558B" w:rsidRPr="00DD5DD9">
              <w:rPr>
                <w:b/>
                <w:sz w:val="22"/>
              </w:rPr>
              <w:t xml:space="preserve">Cobas LIAT, </w:t>
            </w:r>
            <w:proofErr w:type="spellStart"/>
            <w:r w:rsidR="009E006B" w:rsidRPr="00DD5DD9">
              <w:rPr>
                <w:b/>
                <w:sz w:val="22"/>
              </w:rPr>
              <w:t>BioFire</w:t>
            </w:r>
            <w:proofErr w:type="spellEnd"/>
            <w:r w:rsidR="009E006B" w:rsidRPr="00DD5DD9">
              <w:rPr>
                <w:b/>
                <w:sz w:val="22"/>
              </w:rPr>
              <w:t xml:space="preserve"> </w:t>
            </w:r>
            <w:proofErr w:type="spellStart"/>
            <w:r w:rsidR="009E006B" w:rsidRPr="00DD5DD9">
              <w:rPr>
                <w:b/>
                <w:sz w:val="22"/>
              </w:rPr>
              <w:t>FilmArray</w:t>
            </w:r>
            <w:proofErr w:type="spellEnd"/>
          </w:p>
        </w:tc>
      </w:tr>
      <w:tr w:rsidR="00CA1E16" w:rsidRPr="00DD5DD9" w14:paraId="7D8D02AC" w14:textId="77777777" w:rsidTr="6A7B07D3">
        <w:trPr>
          <w:cantSplit/>
        </w:trPr>
        <w:tc>
          <w:tcPr>
            <w:tcW w:w="1627" w:type="dxa"/>
            <w:tcBorders>
              <w:top w:val="single" w:sz="4" w:space="0" w:color="FFFFFF" w:themeColor="background1"/>
            </w:tcBorders>
            <w:shd w:val="clear" w:color="auto" w:fill="DBE5F1" w:themeFill="accent1" w:themeFillTint="33"/>
          </w:tcPr>
          <w:p w14:paraId="76FE4A91" w14:textId="55AB3BB6" w:rsidR="00CA1E16" w:rsidRPr="00DD5DD9" w:rsidRDefault="00CA1E16" w:rsidP="00CA1E16">
            <w:pPr>
              <w:jc w:val="left"/>
              <w:rPr>
                <w:sz w:val="22"/>
              </w:rPr>
            </w:pPr>
            <w:r w:rsidRPr="00DD5DD9">
              <w:rPr>
                <w:sz w:val="22"/>
              </w:rPr>
              <w:t>Epidemiological Zone 1</w:t>
            </w:r>
          </w:p>
        </w:tc>
        <w:tc>
          <w:tcPr>
            <w:tcW w:w="7582" w:type="dxa"/>
            <w:tcBorders>
              <w:top w:val="single" w:sz="4" w:space="0" w:color="FFFFFF" w:themeColor="background1"/>
            </w:tcBorders>
          </w:tcPr>
          <w:p w14:paraId="1646F80F" w14:textId="04D5197D" w:rsidR="00BB592C" w:rsidRPr="00DD5DD9" w:rsidRDefault="00C449F6" w:rsidP="00C449F6">
            <w:pPr>
              <w:jc w:val="left"/>
              <w:rPr>
                <w:sz w:val="22"/>
              </w:rPr>
            </w:pPr>
            <w:r w:rsidRPr="00DD5DD9">
              <w:rPr>
                <w:sz w:val="22"/>
              </w:rPr>
              <w:t>Use p</w:t>
            </w:r>
            <w:r w:rsidR="00CA1E16" w:rsidRPr="00DD5DD9">
              <w:rPr>
                <w:sz w:val="22"/>
              </w:rPr>
              <w:t>oint-of-care RT-PCR systems in settings where laboratory-based testing is not available or a rapid</w:t>
            </w:r>
            <w:r w:rsidR="00037148" w:rsidRPr="00DD5DD9">
              <w:rPr>
                <w:sz w:val="22"/>
              </w:rPr>
              <w:t xml:space="preserve"> TAT</w:t>
            </w:r>
            <w:r w:rsidR="00CA1E16" w:rsidRPr="00DD5DD9">
              <w:rPr>
                <w:sz w:val="22"/>
              </w:rPr>
              <w:t xml:space="preserve"> to result is </w:t>
            </w:r>
            <w:r w:rsidR="00D8747A" w:rsidRPr="00DD5DD9">
              <w:rPr>
                <w:sz w:val="22"/>
              </w:rPr>
              <w:t>needed</w:t>
            </w:r>
            <w:r w:rsidRPr="00DD5DD9">
              <w:rPr>
                <w:sz w:val="22"/>
              </w:rPr>
              <w:t xml:space="preserve">. This might be in </w:t>
            </w:r>
            <w:r w:rsidR="00CA1E16" w:rsidRPr="00DD5DD9">
              <w:rPr>
                <w:sz w:val="22"/>
              </w:rPr>
              <w:t>rural and remote communities</w:t>
            </w:r>
            <w:r w:rsidRPr="00DD5DD9">
              <w:rPr>
                <w:sz w:val="22"/>
              </w:rPr>
              <w:t xml:space="preserve"> or</w:t>
            </w:r>
            <w:r w:rsidR="00A8727C" w:rsidRPr="00DD5DD9">
              <w:rPr>
                <w:sz w:val="22"/>
              </w:rPr>
              <w:t xml:space="preserve"> </w:t>
            </w:r>
            <w:r w:rsidR="00CA1E16" w:rsidRPr="00DD5DD9">
              <w:rPr>
                <w:sz w:val="22"/>
              </w:rPr>
              <w:t>hospital intensive care units. This enables current infection</w:t>
            </w:r>
            <w:r w:rsidR="00D8747A" w:rsidRPr="00DD5DD9">
              <w:rPr>
                <w:sz w:val="22"/>
              </w:rPr>
              <w:t xml:space="preserve"> to be identified </w:t>
            </w:r>
            <w:r w:rsidR="00CA1E16" w:rsidRPr="00DD5DD9">
              <w:rPr>
                <w:sz w:val="22"/>
              </w:rPr>
              <w:t xml:space="preserve">early. </w:t>
            </w:r>
          </w:p>
          <w:p w14:paraId="7E3F87DB" w14:textId="664BC648" w:rsidR="00BB592C" w:rsidRPr="00DD5DD9" w:rsidRDefault="00BB592C" w:rsidP="00C449F6">
            <w:pPr>
              <w:jc w:val="left"/>
              <w:rPr>
                <w:sz w:val="22"/>
              </w:rPr>
            </w:pPr>
            <w:r w:rsidRPr="00DD5DD9">
              <w:rPr>
                <w:sz w:val="22"/>
              </w:rPr>
              <w:t>These systems are low throughput and expensive.</w:t>
            </w:r>
          </w:p>
          <w:p w14:paraId="147F953D" w14:textId="4D975729" w:rsidR="00CA1E16" w:rsidRPr="00DD5DD9" w:rsidRDefault="00BB592C" w:rsidP="00C449F6">
            <w:pPr>
              <w:jc w:val="left"/>
              <w:rPr>
                <w:sz w:val="22"/>
              </w:rPr>
            </w:pPr>
            <w:r w:rsidRPr="00DD5DD9">
              <w:rPr>
                <w:sz w:val="22"/>
              </w:rPr>
              <w:t xml:space="preserve">It is preferred that </w:t>
            </w:r>
            <w:r w:rsidR="00A818B1" w:rsidRPr="00DD5DD9">
              <w:rPr>
                <w:sz w:val="22"/>
              </w:rPr>
              <w:t xml:space="preserve">POC </w:t>
            </w:r>
            <w:r w:rsidR="003B1818" w:rsidRPr="00DD5DD9">
              <w:rPr>
                <w:sz w:val="22"/>
              </w:rPr>
              <w:t>RT-</w:t>
            </w:r>
            <w:r w:rsidR="00A818B1" w:rsidRPr="00DD5DD9">
              <w:rPr>
                <w:sz w:val="22"/>
              </w:rPr>
              <w:t>PCR</w:t>
            </w:r>
            <w:r w:rsidRPr="00DD5DD9">
              <w:rPr>
                <w:sz w:val="22"/>
              </w:rPr>
              <w:t xml:space="preserve"> is used in Aboriginal and Torres Strait Islander communities to confirm the first case in a community.</w:t>
            </w:r>
          </w:p>
        </w:tc>
      </w:tr>
      <w:tr w:rsidR="00CA1E16" w:rsidRPr="00DD5DD9" w14:paraId="387869F5" w14:textId="77777777" w:rsidTr="6A7B07D3">
        <w:trPr>
          <w:cantSplit/>
        </w:trPr>
        <w:tc>
          <w:tcPr>
            <w:tcW w:w="1627" w:type="dxa"/>
            <w:tcBorders>
              <w:top w:val="single" w:sz="4" w:space="0" w:color="FFFFFF" w:themeColor="background1"/>
            </w:tcBorders>
            <w:shd w:val="clear" w:color="auto" w:fill="DBE5F1" w:themeFill="accent1" w:themeFillTint="33"/>
          </w:tcPr>
          <w:p w14:paraId="25AC858F" w14:textId="233F4153" w:rsidR="00CA1E16" w:rsidRPr="00DD5DD9" w:rsidRDefault="00CA1E16" w:rsidP="00CA1E16">
            <w:pPr>
              <w:jc w:val="left"/>
              <w:rPr>
                <w:sz w:val="22"/>
              </w:rPr>
            </w:pPr>
            <w:r w:rsidRPr="00DD5DD9">
              <w:rPr>
                <w:sz w:val="22"/>
              </w:rPr>
              <w:t>Epidemiological Zone 2</w:t>
            </w:r>
          </w:p>
        </w:tc>
        <w:tc>
          <w:tcPr>
            <w:tcW w:w="7582" w:type="dxa"/>
            <w:tcBorders>
              <w:top w:val="single" w:sz="4" w:space="0" w:color="FFFFFF" w:themeColor="background1"/>
            </w:tcBorders>
          </w:tcPr>
          <w:p w14:paraId="668C8933" w14:textId="446464F3" w:rsidR="00CA1E16" w:rsidRPr="00DD5DD9" w:rsidRDefault="00CA1E16" w:rsidP="002658A5">
            <w:pPr>
              <w:jc w:val="left"/>
              <w:rPr>
                <w:sz w:val="22"/>
              </w:rPr>
            </w:pPr>
            <w:r w:rsidRPr="00DD5DD9">
              <w:rPr>
                <w:sz w:val="22"/>
              </w:rPr>
              <w:t xml:space="preserve">As per Epidemiological </w:t>
            </w:r>
            <w:r w:rsidR="002658A5" w:rsidRPr="00DD5DD9">
              <w:rPr>
                <w:sz w:val="22"/>
              </w:rPr>
              <w:t xml:space="preserve">Zone </w:t>
            </w:r>
            <w:r w:rsidRPr="00DD5DD9">
              <w:rPr>
                <w:sz w:val="22"/>
              </w:rPr>
              <w:t>1</w:t>
            </w:r>
            <w:r w:rsidR="002658A5" w:rsidRPr="00DD5DD9">
              <w:rPr>
                <w:sz w:val="22"/>
              </w:rPr>
              <w:t>.</w:t>
            </w:r>
          </w:p>
        </w:tc>
      </w:tr>
      <w:tr w:rsidR="00CA1E16" w:rsidRPr="00DD5DD9" w14:paraId="762754DC" w14:textId="77777777" w:rsidTr="6A7B07D3">
        <w:trPr>
          <w:cantSplit/>
        </w:trPr>
        <w:tc>
          <w:tcPr>
            <w:tcW w:w="1627" w:type="dxa"/>
            <w:tcBorders>
              <w:top w:val="single" w:sz="4" w:space="0" w:color="FFFFFF" w:themeColor="background1"/>
            </w:tcBorders>
            <w:shd w:val="clear" w:color="auto" w:fill="DBE5F1" w:themeFill="accent1" w:themeFillTint="33"/>
          </w:tcPr>
          <w:p w14:paraId="7E859C37" w14:textId="133D7C33" w:rsidR="00CA1E16" w:rsidRPr="00DD5DD9" w:rsidRDefault="00CA1E16" w:rsidP="0034651C">
            <w:pPr>
              <w:jc w:val="left"/>
              <w:rPr>
                <w:sz w:val="22"/>
              </w:rPr>
            </w:pPr>
            <w:r w:rsidRPr="00DD5DD9">
              <w:rPr>
                <w:sz w:val="22"/>
              </w:rPr>
              <w:t xml:space="preserve">Epidemiological </w:t>
            </w:r>
            <w:r w:rsidR="0034651C" w:rsidRPr="00DD5DD9">
              <w:rPr>
                <w:sz w:val="22"/>
              </w:rPr>
              <w:t>Zone</w:t>
            </w:r>
            <w:r w:rsidRPr="00DD5DD9">
              <w:rPr>
                <w:sz w:val="22"/>
              </w:rPr>
              <w:t xml:space="preserve"> 3</w:t>
            </w:r>
          </w:p>
        </w:tc>
        <w:tc>
          <w:tcPr>
            <w:tcW w:w="7582" w:type="dxa"/>
            <w:tcBorders>
              <w:top w:val="single" w:sz="4" w:space="0" w:color="FFFFFF" w:themeColor="background1"/>
            </w:tcBorders>
          </w:tcPr>
          <w:p w14:paraId="66C6DD5E" w14:textId="2C162FFF" w:rsidR="00CA1E16" w:rsidRPr="00DD5DD9" w:rsidRDefault="00CA1E16" w:rsidP="002658A5">
            <w:pPr>
              <w:jc w:val="left"/>
              <w:rPr>
                <w:sz w:val="22"/>
              </w:rPr>
            </w:pPr>
            <w:r w:rsidRPr="00DD5DD9">
              <w:rPr>
                <w:sz w:val="22"/>
              </w:rPr>
              <w:t xml:space="preserve">As per Epidemiological </w:t>
            </w:r>
            <w:r w:rsidR="002658A5" w:rsidRPr="00DD5DD9">
              <w:rPr>
                <w:sz w:val="22"/>
              </w:rPr>
              <w:t xml:space="preserve">Zone </w:t>
            </w:r>
            <w:r w:rsidRPr="00DD5DD9">
              <w:rPr>
                <w:sz w:val="22"/>
              </w:rPr>
              <w:t>1</w:t>
            </w:r>
            <w:r w:rsidR="002658A5" w:rsidRPr="00DD5DD9">
              <w:rPr>
                <w:sz w:val="22"/>
              </w:rPr>
              <w:t>.</w:t>
            </w:r>
          </w:p>
        </w:tc>
      </w:tr>
      <w:tr w:rsidR="00312394" w:rsidRPr="00DD5DD9" w14:paraId="4A16B1A3" w14:textId="77777777" w:rsidTr="6A7B07D3">
        <w:trPr>
          <w:cantSplit/>
        </w:trPr>
        <w:tc>
          <w:tcPr>
            <w:tcW w:w="1627" w:type="dxa"/>
            <w:tcBorders>
              <w:top w:val="single" w:sz="4" w:space="0" w:color="FFFFFF" w:themeColor="background1"/>
            </w:tcBorders>
            <w:shd w:val="clear" w:color="auto" w:fill="DBE5F1" w:themeFill="accent1" w:themeFillTint="33"/>
          </w:tcPr>
          <w:p w14:paraId="4A119D8C" w14:textId="17BEB432" w:rsidR="00312394" w:rsidRPr="00DD5DD9" w:rsidRDefault="6DB91AD5" w:rsidP="0B9EBA93">
            <w:pPr>
              <w:jc w:val="left"/>
              <w:rPr>
                <w:sz w:val="22"/>
              </w:rPr>
            </w:pPr>
            <w:r w:rsidRPr="00DD5DD9">
              <w:rPr>
                <w:sz w:val="22"/>
              </w:rPr>
              <w:t>Epidemiological Zone 4</w:t>
            </w:r>
          </w:p>
        </w:tc>
        <w:tc>
          <w:tcPr>
            <w:tcW w:w="7582" w:type="dxa"/>
            <w:tcBorders>
              <w:top w:val="single" w:sz="4" w:space="0" w:color="FFFFFF" w:themeColor="background1"/>
            </w:tcBorders>
          </w:tcPr>
          <w:p w14:paraId="20D5EDF6" w14:textId="48D1AD5F" w:rsidR="00383971" w:rsidRPr="00DD5DD9" w:rsidRDefault="6BA45770" w:rsidP="00DB4833">
            <w:pPr>
              <w:jc w:val="left"/>
              <w:rPr>
                <w:rFonts w:ascii="Calibri" w:eastAsia="Calibri" w:hAnsi="Calibri"/>
                <w:sz w:val="22"/>
              </w:rPr>
            </w:pPr>
            <w:r w:rsidRPr="00DD5DD9">
              <w:rPr>
                <w:sz w:val="22"/>
              </w:rPr>
              <w:t xml:space="preserve">In this epidemiological context, consider </w:t>
            </w:r>
            <w:r w:rsidR="036326DF" w:rsidRPr="00DD5DD9">
              <w:rPr>
                <w:sz w:val="22"/>
              </w:rPr>
              <w:t>preserving</w:t>
            </w:r>
            <w:r w:rsidR="248F27F4" w:rsidRPr="00DD5DD9">
              <w:rPr>
                <w:sz w:val="22"/>
              </w:rPr>
              <w:t xml:space="preserve"> point-of-care RT-PCR</w:t>
            </w:r>
            <w:r w:rsidR="036326DF" w:rsidRPr="00DD5DD9">
              <w:rPr>
                <w:sz w:val="22"/>
              </w:rPr>
              <w:t xml:space="preserve"> </w:t>
            </w:r>
            <w:r w:rsidRPr="00DD5DD9">
              <w:rPr>
                <w:sz w:val="22"/>
              </w:rPr>
              <w:t xml:space="preserve">testing </w:t>
            </w:r>
            <w:r w:rsidR="634045F1" w:rsidRPr="00DD5DD9">
              <w:rPr>
                <w:sz w:val="22"/>
              </w:rPr>
              <w:t>for</w:t>
            </w:r>
            <w:r w:rsidR="02B8713A" w:rsidRPr="00DD5DD9">
              <w:rPr>
                <w:sz w:val="22"/>
              </w:rPr>
              <w:t xml:space="preserve"> symptomatic </w:t>
            </w:r>
            <w:r w:rsidR="35B53A1A" w:rsidRPr="00DD5DD9">
              <w:rPr>
                <w:sz w:val="22"/>
              </w:rPr>
              <w:t>individuals</w:t>
            </w:r>
            <w:r w:rsidR="6D704FB6" w:rsidRPr="00DD5DD9">
              <w:rPr>
                <w:sz w:val="22"/>
              </w:rPr>
              <w:t xml:space="preserve"> (Priority Group 1)</w:t>
            </w:r>
            <w:r w:rsidR="3FC8F652" w:rsidRPr="00DD5DD9">
              <w:rPr>
                <w:sz w:val="22"/>
              </w:rPr>
              <w:t>,</w:t>
            </w:r>
            <w:r w:rsidR="248F27F4" w:rsidRPr="00DD5DD9">
              <w:rPr>
                <w:sz w:val="22"/>
              </w:rPr>
              <w:t xml:space="preserve"> especially those at risk of more severe disease</w:t>
            </w:r>
            <w:r w:rsidR="33D35CC0" w:rsidRPr="00DD5DD9">
              <w:rPr>
                <w:sz w:val="22"/>
              </w:rPr>
              <w:t xml:space="preserve"> and asymptomatic people in high and special-risk settings (Priority Group 4) </w:t>
            </w:r>
            <w:r w:rsidR="1A748580" w:rsidRPr="00DD5DD9">
              <w:rPr>
                <w:sz w:val="22"/>
              </w:rPr>
              <w:t>where a confirmed case has already been identified and transmission is likely</w:t>
            </w:r>
            <w:r w:rsidR="7E063375" w:rsidRPr="00DD5DD9">
              <w:rPr>
                <w:sz w:val="22"/>
              </w:rPr>
              <w:t>.</w:t>
            </w:r>
            <w:r w:rsidR="02B8713A" w:rsidRPr="00DD5DD9">
              <w:rPr>
                <w:sz w:val="22"/>
              </w:rPr>
              <w:t xml:space="preserve"> </w:t>
            </w:r>
          </w:p>
        </w:tc>
      </w:tr>
      <w:tr w:rsidR="00312394" w:rsidRPr="00DD5DD9" w14:paraId="43C7F3FF" w14:textId="77777777" w:rsidTr="6A7B07D3">
        <w:trPr>
          <w:cantSplit/>
        </w:trPr>
        <w:tc>
          <w:tcPr>
            <w:tcW w:w="9209" w:type="dxa"/>
            <w:gridSpan w:val="2"/>
          </w:tcPr>
          <w:p w14:paraId="5DEF6379" w14:textId="5D6C18BD" w:rsidR="00312394" w:rsidRPr="00DD5DD9" w:rsidRDefault="00312394" w:rsidP="00312394">
            <w:pPr>
              <w:jc w:val="left"/>
              <w:rPr>
                <w:b/>
                <w:sz w:val="22"/>
              </w:rPr>
            </w:pPr>
            <w:r w:rsidRPr="00DD5DD9">
              <w:rPr>
                <w:b/>
                <w:sz w:val="22"/>
              </w:rPr>
              <w:t>Laboratory-based serology (antibody) tests</w:t>
            </w:r>
          </w:p>
        </w:tc>
      </w:tr>
      <w:tr w:rsidR="00312394" w:rsidRPr="00DD5DD9" w14:paraId="603EDAE9" w14:textId="77777777" w:rsidTr="6A7B07D3">
        <w:trPr>
          <w:cantSplit/>
        </w:trPr>
        <w:tc>
          <w:tcPr>
            <w:tcW w:w="1627" w:type="dxa"/>
            <w:shd w:val="clear" w:color="auto" w:fill="DBE5F1" w:themeFill="accent1" w:themeFillTint="33"/>
          </w:tcPr>
          <w:p w14:paraId="68E84BB6" w14:textId="25DCB0EA" w:rsidR="00312394" w:rsidRPr="00DD5DD9" w:rsidRDefault="00312394" w:rsidP="00312394">
            <w:pPr>
              <w:jc w:val="left"/>
              <w:rPr>
                <w:rFonts w:cstheme="minorHAnsi"/>
                <w:sz w:val="22"/>
              </w:rPr>
            </w:pPr>
            <w:r w:rsidRPr="00DD5DD9">
              <w:rPr>
                <w:rFonts w:cstheme="minorHAnsi"/>
                <w:sz w:val="22"/>
              </w:rPr>
              <w:t>Epidemiological Zone 1</w:t>
            </w:r>
          </w:p>
        </w:tc>
        <w:tc>
          <w:tcPr>
            <w:tcW w:w="7582" w:type="dxa"/>
          </w:tcPr>
          <w:p w14:paraId="32AD694C" w14:textId="77777777" w:rsidR="00312394" w:rsidRPr="00DD5DD9" w:rsidRDefault="00312394" w:rsidP="00312394">
            <w:pPr>
              <w:jc w:val="left"/>
              <w:rPr>
                <w:rFonts w:cstheme="minorHAnsi"/>
                <w:sz w:val="22"/>
              </w:rPr>
            </w:pPr>
            <w:r w:rsidRPr="00DD5DD9">
              <w:rPr>
                <w:rFonts w:cstheme="minorHAnsi"/>
                <w:sz w:val="22"/>
              </w:rPr>
              <w:t xml:space="preserve">Reserved for where the result will influence individual patient or outbreak management, such as: </w:t>
            </w:r>
          </w:p>
          <w:p w14:paraId="41AD5CD4" w14:textId="41F7A952" w:rsidR="00312394" w:rsidRPr="00DD5DD9" w:rsidRDefault="00312394" w:rsidP="00C229FD">
            <w:pPr>
              <w:pStyle w:val="ListParagraph"/>
              <w:numPr>
                <w:ilvl w:val="0"/>
                <w:numId w:val="59"/>
              </w:numPr>
              <w:jc w:val="left"/>
              <w:rPr>
                <w:rFonts w:cstheme="minorHAnsi"/>
                <w:sz w:val="22"/>
              </w:rPr>
            </w:pPr>
            <w:r w:rsidRPr="00DD5DD9">
              <w:rPr>
                <w:rFonts w:cstheme="minorHAnsi"/>
                <w:sz w:val="22"/>
              </w:rPr>
              <w:t>Patients who have had symptoms before that are consistent with COVID-</w:t>
            </w:r>
            <w:r w:rsidR="00DD5DD9" w:rsidRPr="00DD5DD9">
              <w:rPr>
                <w:rFonts w:cstheme="minorHAnsi"/>
                <w:sz w:val="22"/>
              </w:rPr>
              <w:t>19 but</w:t>
            </w:r>
            <w:r w:rsidRPr="00DD5DD9">
              <w:rPr>
                <w:rFonts w:cstheme="minorHAnsi"/>
                <w:sz w:val="22"/>
              </w:rPr>
              <w:t xml:space="preserve"> are RT-PCR negative or were not tested by RT-PCR during their acute illness; or have unexpected positive or inconclusive results on RT-PCR assays.</w:t>
            </w:r>
          </w:p>
          <w:p w14:paraId="32CF1126" w14:textId="317BEB70" w:rsidR="00312394" w:rsidRPr="00DD5DD9" w:rsidRDefault="00312394" w:rsidP="00C229FD">
            <w:pPr>
              <w:pStyle w:val="ListParagraph"/>
              <w:numPr>
                <w:ilvl w:val="0"/>
                <w:numId w:val="59"/>
              </w:numPr>
              <w:jc w:val="left"/>
              <w:rPr>
                <w:rFonts w:cstheme="minorHAnsi"/>
                <w:sz w:val="22"/>
              </w:rPr>
            </w:pPr>
            <w:r w:rsidRPr="00DD5DD9">
              <w:rPr>
                <w:rFonts w:cstheme="minorHAnsi"/>
                <w:sz w:val="22"/>
              </w:rPr>
              <w:t>Upstream contacts of a case with uncertain epidemiological links.</w:t>
            </w:r>
          </w:p>
          <w:p w14:paraId="4CD1BA5E" w14:textId="5E0CD69E" w:rsidR="00312394" w:rsidRPr="00DD5DD9" w:rsidRDefault="00312394" w:rsidP="00C229FD">
            <w:pPr>
              <w:pStyle w:val="ListParagraph"/>
              <w:numPr>
                <w:ilvl w:val="0"/>
                <w:numId w:val="59"/>
              </w:numPr>
              <w:jc w:val="left"/>
              <w:rPr>
                <w:rFonts w:cstheme="minorHAnsi"/>
                <w:sz w:val="22"/>
              </w:rPr>
            </w:pPr>
            <w:r w:rsidRPr="00DD5DD9">
              <w:rPr>
                <w:rFonts w:cstheme="minorHAnsi"/>
                <w:sz w:val="22"/>
              </w:rPr>
              <w:t>To identify earlier undiagnosed cases (who might have had asymptomatic infection) in an affected household, workplace, or outbreak setting, where this might influence quarantine decisions for individuals and outbreak management.</w:t>
            </w:r>
          </w:p>
          <w:p w14:paraId="2D92410B" w14:textId="05AA5601" w:rsidR="00312394" w:rsidRPr="00DD5DD9" w:rsidRDefault="00312394" w:rsidP="00312394">
            <w:pPr>
              <w:jc w:val="left"/>
              <w:rPr>
                <w:rFonts w:cstheme="minorHAnsi"/>
                <w:sz w:val="22"/>
              </w:rPr>
            </w:pPr>
            <w:r w:rsidRPr="00DD5DD9">
              <w:rPr>
                <w:rFonts w:cstheme="minorHAnsi"/>
                <w:sz w:val="22"/>
              </w:rPr>
              <w:t>A positive antibody detection on a rapid (or laboratory-based) serology test does not correlate to immunity and protection from COVID-19.</w:t>
            </w:r>
          </w:p>
          <w:p w14:paraId="5D5626A9" w14:textId="6F2D5CE5" w:rsidR="00312394" w:rsidRPr="00DD5DD9" w:rsidRDefault="00312394" w:rsidP="00312394">
            <w:pPr>
              <w:jc w:val="left"/>
              <w:rPr>
                <w:rFonts w:cstheme="minorHAnsi"/>
                <w:sz w:val="22"/>
              </w:rPr>
            </w:pPr>
            <w:r w:rsidRPr="00DD5DD9">
              <w:rPr>
                <w:rFonts w:cstheme="minorHAnsi"/>
                <w:sz w:val="22"/>
              </w:rPr>
              <w:t>Unless clinically indicated, routine serology testing is not recommended post-vaccination to determine an individual’s antibody response profile.</w:t>
            </w:r>
          </w:p>
          <w:p w14:paraId="24E780A4" w14:textId="47329E5B" w:rsidR="00312394" w:rsidRPr="00DD5DD9" w:rsidRDefault="00312394" w:rsidP="00312394">
            <w:pPr>
              <w:jc w:val="left"/>
              <w:rPr>
                <w:rFonts w:cstheme="minorHAnsi"/>
                <w:sz w:val="22"/>
              </w:rPr>
            </w:pPr>
            <w:r w:rsidRPr="00DD5DD9">
              <w:rPr>
                <w:rFonts w:cstheme="minorHAnsi"/>
                <w:sz w:val="22"/>
              </w:rPr>
              <w:t xml:space="preserve">Refer to the </w:t>
            </w:r>
            <w:hyperlink r:id="rId27" w:history="1">
              <w:r w:rsidRPr="00DD5DD9">
                <w:rPr>
                  <w:rStyle w:val="Hyperlink"/>
                  <w:rFonts w:cstheme="minorHAnsi"/>
                  <w:i/>
                  <w:sz w:val="22"/>
                </w:rPr>
                <w:t>PHLN guidance on laboratory testing for SARS-CoV-2 (the virus that causes COVID-19)</w:t>
              </w:r>
            </w:hyperlink>
            <w:r w:rsidRPr="00DD5DD9">
              <w:rPr>
                <w:rFonts w:cstheme="minorHAnsi"/>
                <w:sz w:val="22"/>
              </w:rPr>
              <w:t xml:space="preserve"> to understand other appropriate contexts for use.</w:t>
            </w:r>
          </w:p>
        </w:tc>
      </w:tr>
      <w:tr w:rsidR="00312394" w:rsidRPr="00DD5DD9" w14:paraId="6573149B" w14:textId="77777777" w:rsidTr="6A7B07D3">
        <w:trPr>
          <w:cantSplit/>
        </w:trPr>
        <w:tc>
          <w:tcPr>
            <w:tcW w:w="1627" w:type="dxa"/>
            <w:shd w:val="clear" w:color="auto" w:fill="DBE5F1" w:themeFill="accent1" w:themeFillTint="33"/>
          </w:tcPr>
          <w:p w14:paraId="6660F37C" w14:textId="0CE9F226" w:rsidR="00312394" w:rsidRPr="00DD5DD9" w:rsidRDefault="00312394" w:rsidP="00312394">
            <w:pPr>
              <w:jc w:val="left"/>
              <w:rPr>
                <w:rFonts w:cstheme="minorHAnsi"/>
                <w:sz w:val="22"/>
              </w:rPr>
            </w:pPr>
            <w:r w:rsidRPr="00DD5DD9">
              <w:rPr>
                <w:rFonts w:cstheme="minorHAnsi"/>
                <w:sz w:val="22"/>
              </w:rPr>
              <w:t>Epidemiological Zone 2</w:t>
            </w:r>
          </w:p>
        </w:tc>
        <w:tc>
          <w:tcPr>
            <w:tcW w:w="7582" w:type="dxa"/>
          </w:tcPr>
          <w:p w14:paraId="3069C9E5" w14:textId="25D31372" w:rsidR="00312394" w:rsidRPr="00DD5DD9" w:rsidRDefault="00312394" w:rsidP="00312394">
            <w:pPr>
              <w:jc w:val="left"/>
              <w:rPr>
                <w:rFonts w:cstheme="minorHAnsi"/>
                <w:sz w:val="22"/>
              </w:rPr>
            </w:pPr>
            <w:r w:rsidRPr="00DD5DD9">
              <w:rPr>
                <w:rFonts w:cstheme="minorHAnsi"/>
                <w:sz w:val="22"/>
              </w:rPr>
              <w:t>As per Epidemiological Zone 1</w:t>
            </w:r>
          </w:p>
        </w:tc>
      </w:tr>
      <w:tr w:rsidR="00312394" w:rsidRPr="00DD5DD9" w14:paraId="0E70C18C" w14:textId="77777777" w:rsidTr="6A7B07D3">
        <w:trPr>
          <w:cantSplit/>
        </w:trPr>
        <w:tc>
          <w:tcPr>
            <w:tcW w:w="1627" w:type="dxa"/>
            <w:shd w:val="clear" w:color="auto" w:fill="DBE5F1" w:themeFill="accent1" w:themeFillTint="33"/>
          </w:tcPr>
          <w:p w14:paraId="0AEA63EA" w14:textId="2C90CF75" w:rsidR="00312394" w:rsidRPr="00DD5DD9" w:rsidRDefault="00312394" w:rsidP="00312394">
            <w:pPr>
              <w:jc w:val="left"/>
              <w:rPr>
                <w:rFonts w:cstheme="minorHAnsi"/>
                <w:sz w:val="22"/>
              </w:rPr>
            </w:pPr>
            <w:r w:rsidRPr="00DD5DD9">
              <w:rPr>
                <w:rFonts w:cstheme="minorHAnsi"/>
                <w:sz w:val="22"/>
              </w:rPr>
              <w:t>Epidemiological Zone 3</w:t>
            </w:r>
          </w:p>
        </w:tc>
        <w:tc>
          <w:tcPr>
            <w:tcW w:w="7582" w:type="dxa"/>
          </w:tcPr>
          <w:p w14:paraId="6E634931" w14:textId="77777777" w:rsidR="00312394" w:rsidRPr="00DD5DD9" w:rsidRDefault="00312394" w:rsidP="00312394">
            <w:pPr>
              <w:jc w:val="left"/>
              <w:rPr>
                <w:rFonts w:cstheme="minorHAnsi"/>
                <w:sz w:val="22"/>
              </w:rPr>
            </w:pPr>
            <w:r w:rsidRPr="00DD5DD9">
              <w:rPr>
                <w:rFonts w:cstheme="minorHAnsi"/>
                <w:sz w:val="22"/>
              </w:rPr>
              <w:t>As per Epidemiological Zone 1</w:t>
            </w:r>
          </w:p>
          <w:p w14:paraId="5D07C72C" w14:textId="7BC0630F" w:rsidR="00312394" w:rsidRPr="00DD5DD9" w:rsidRDefault="00312394" w:rsidP="00312394">
            <w:pPr>
              <w:jc w:val="left"/>
              <w:rPr>
                <w:rFonts w:cstheme="minorHAnsi"/>
                <w:sz w:val="22"/>
              </w:rPr>
            </w:pPr>
            <w:r w:rsidRPr="00DD5DD9">
              <w:rPr>
                <w:rFonts w:cstheme="minorHAnsi"/>
                <w:sz w:val="22"/>
              </w:rPr>
              <w:t>Limited utility in this context. Seek advice from pathology provider for appropriate application.</w:t>
            </w:r>
          </w:p>
        </w:tc>
      </w:tr>
      <w:tr w:rsidR="00312394" w:rsidRPr="00DD5DD9" w14:paraId="15359241" w14:textId="77777777" w:rsidTr="6A7B07D3">
        <w:trPr>
          <w:cantSplit/>
        </w:trPr>
        <w:tc>
          <w:tcPr>
            <w:tcW w:w="1627" w:type="dxa"/>
            <w:shd w:val="clear" w:color="auto" w:fill="DBE5F1" w:themeFill="accent1" w:themeFillTint="33"/>
          </w:tcPr>
          <w:p w14:paraId="2D724885" w14:textId="69E802BF" w:rsidR="00312394" w:rsidRPr="00DD5DD9" w:rsidRDefault="00312394" w:rsidP="00312394">
            <w:pPr>
              <w:jc w:val="left"/>
              <w:rPr>
                <w:rFonts w:cstheme="minorHAnsi"/>
                <w:sz w:val="22"/>
              </w:rPr>
            </w:pPr>
            <w:r w:rsidRPr="00DD5DD9">
              <w:rPr>
                <w:rFonts w:cstheme="minorHAnsi"/>
                <w:sz w:val="22"/>
              </w:rPr>
              <w:t>Epidemiological Zone 4</w:t>
            </w:r>
          </w:p>
        </w:tc>
        <w:tc>
          <w:tcPr>
            <w:tcW w:w="7582" w:type="dxa"/>
          </w:tcPr>
          <w:p w14:paraId="1454D329" w14:textId="0F0B5E99" w:rsidR="00312394" w:rsidRPr="00DD5DD9" w:rsidRDefault="00312394" w:rsidP="00312394">
            <w:pPr>
              <w:jc w:val="left"/>
              <w:rPr>
                <w:rFonts w:cstheme="minorHAnsi"/>
                <w:sz w:val="22"/>
              </w:rPr>
            </w:pPr>
            <w:r w:rsidRPr="00DD5DD9">
              <w:rPr>
                <w:rFonts w:cstheme="minorHAnsi"/>
                <w:sz w:val="22"/>
              </w:rPr>
              <w:t>As per Epidemiological Zone 3.</w:t>
            </w:r>
          </w:p>
        </w:tc>
      </w:tr>
      <w:tr w:rsidR="00312394" w:rsidRPr="00DD5DD9" w14:paraId="0B81A4A8" w14:textId="77777777" w:rsidTr="6A7B07D3">
        <w:trPr>
          <w:cantSplit/>
        </w:trPr>
        <w:tc>
          <w:tcPr>
            <w:tcW w:w="9209" w:type="dxa"/>
            <w:gridSpan w:val="2"/>
          </w:tcPr>
          <w:p w14:paraId="16BDD42E" w14:textId="30B792B6" w:rsidR="00312394" w:rsidRPr="00DD5DD9" w:rsidRDefault="00312394" w:rsidP="00312394">
            <w:pPr>
              <w:jc w:val="left"/>
              <w:rPr>
                <w:rFonts w:cstheme="minorHAnsi"/>
                <w:b/>
                <w:sz w:val="22"/>
              </w:rPr>
            </w:pPr>
            <w:r w:rsidRPr="00DD5DD9">
              <w:rPr>
                <w:rFonts w:cstheme="minorHAnsi"/>
                <w:b/>
                <w:sz w:val="22"/>
              </w:rPr>
              <w:t>Rapid antigen testing at the point-of-care</w:t>
            </w:r>
          </w:p>
        </w:tc>
      </w:tr>
      <w:tr w:rsidR="00312394" w:rsidRPr="00DD5DD9" w14:paraId="00D055E0" w14:textId="77777777" w:rsidTr="6A7B07D3">
        <w:trPr>
          <w:cantSplit/>
        </w:trPr>
        <w:tc>
          <w:tcPr>
            <w:tcW w:w="1627" w:type="dxa"/>
            <w:shd w:val="clear" w:color="auto" w:fill="DBE5F1" w:themeFill="accent1" w:themeFillTint="33"/>
          </w:tcPr>
          <w:p w14:paraId="07968080" w14:textId="60452644" w:rsidR="00312394" w:rsidRPr="00DD5DD9" w:rsidRDefault="00312394" w:rsidP="00312394">
            <w:pPr>
              <w:jc w:val="left"/>
              <w:rPr>
                <w:rFonts w:cstheme="minorHAnsi"/>
                <w:sz w:val="22"/>
              </w:rPr>
            </w:pPr>
            <w:r w:rsidRPr="00DD5DD9">
              <w:rPr>
                <w:rFonts w:cstheme="minorHAnsi"/>
                <w:sz w:val="22"/>
              </w:rPr>
              <w:lastRenderedPageBreak/>
              <w:t>Epidemiological Zone 1</w:t>
            </w:r>
          </w:p>
        </w:tc>
        <w:tc>
          <w:tcPr>
            <w:tcW w:w="7582" w:type="dxa"/>
          </w:tcPr>
          <w:p w14:paraId="558AFE4E" w14:textId="0D700EFA" w:rsidR="00312394" w:rsidRPr="00DD5DD9" w:rsidRDefault="00312394" w:rsidP="00312394">
            <w:pPr>
              <w:spacing w:after="160" w:line="259" w:lineRule="auto"/>
              <w:jc w:val="left"/>
              <w:rPr>
                <w:rFonts w:cstheme="minorHAnsi"/>
                <w:sz w:val="22"/>
              </w:rPr>
            </w:pPr>
            <w:r w:rsidRPr="00DD5DD9">
              <w:rPr>
                <w:rFonts w:cstheme="minorHAnsi"/>
                <w:sz w:val="22"/>
              </w:rPr>
              <w:t xml:space="preserve">Rapid antigen tests are not recommended for widespread use in low-risk settings (for example low prevalence environments where an individual is unlikely to be exposed to SARS-CoV-2, or where there is no community transmission). </w:t>
            </w:r>
          </w:p>
          <w:p w14:paraId="35FB3295" w14:textId="12857D72" w:rsidR="00312394" w:rsidRPr="00DD5DD9" w:rsidRDefault="00312394" w:rsidP="00312394">
            <w:pPr>
              <w:jc w:val="left"/>
              <w:rPr>
                <w:rFonts w:cstheme="minorHAnsi"/>
                <w:sz w:val="22"/>
              </w:rPr>
            </w:pPr>
            <w:r w:rsidRPr="00DD5DD9">
              <w:rPr>
                <w:rFonts w:cstheme="minorHAnsi"/>
                <w:sz w:val="22"/>
              </w:rPr>
              <w:t xml:space="preserve">Seek advice from a local jurisdictional public health authority on using rapid antigen tests in outbreak settings. </w:t>
            </w:r>
          </w:p>
        </w:tc>
      </w:tr>
      <w:tr w:rsidR="00312394" w:rsidRPr="00DD5DD9" w14:paraId="5E4D7D7D" w14:textId="77777777" w:rsidTr="6A7B07D3">
        <w:trPr>
          <w:cantSplit/>
        </w:trPr>
        <w:tc>
          <w:tcPr>
            <w:tcW w:w="1627" w:type="dxa"/>
            <w:shd w:val="clear" w:color="auto" w:fill="DBE5F1" w:themeFill="accent1" w:themeFillTint="33"/>
          </w:tcPr>
          <w:p w14:paraId="537B1A63" w14:textId="5F519041" w:rsidR="00312394" w:rsidRPr="00DD5DD9" w:rsidRDefault="00312394" w:rsidP="00312394">
            <w:pPr>
              <w:jc w:val="left"/>
              <w:rPr>
                <w:rFonts w:cstheme="minorHAnsi"/>
                <w:sz w:val="22"/>
              </w:rPr>
            </w:pPr>
            <w:r w:rsidRPr="00DD5DD9">
              <w:rPr>
                <w:rFonts w:cstheme="minorHAnsi"/>
                <w:sz w:val="22"/>
              </w:rPr>
              <w:t>Epidemiological Zone 2</w:t>
            </w:r>
          </w:p>
        </w:tc>
        <w:tc>
          <w:tcPr>
            <w:tcW w:w="7582" w:type="dxa"/>
          </w:tcPr>
          <w:p w14:paraId="704D3CC3" w14:textId="5A72E318" w:rsidR="00312394" w:rsidRPr="00DD5DD9" w:rsidRDefault="00312394" w:rsidP="00312394">
            <w:pPr>
              <w:jc w:val="left"/>
              <w:rPr>
                <w:rFonts w:cstheme="minorHAnsi"/>
                <w:sz w:val="22"/>
              </w:rPr>
            </w:pPr>
            <w:r w:rsidRPr="00DD5DD9">
              <w:rPr>
                <w:rFonts w:cstheme="minorHAnsi"/>
                <w:sz w:val="22"/>
              </w:rPr>
              <w:t>Where the pre-test probability is high, rapid antigen tests may have a role for public health investigation. For example, for regular repeat surveillance testing or urgent triage of vulnerable high-risk individuals.</w:t>
            </w:r>
          </w:p>
          <w:p w14:paraId="0BA5F2A3" w14:textId="262A32B7" w:rsidR="00312394" w:rsidRPr="00DD5DD9" w:rsidRDefault="00312394" w:rsidP="00312394">
            <w:pPr>
              <w:jc w:val="left"/>
              <w:rPr>
                <w:rFonts w:cstheme="minorHAnsi"/>
                <w:sz w:val="22"/>
              </w:rPr>
            </w:pPr>
            <w:r w:rsidRPr="00DD5DD9">
              <w:rPr>
                <w:rFonts w:cstheme="minorHAnsi"/>
                <w:sz w:val="22"/>
              </w:rPr>
              <w:t>This technology may prove useful as a screening test for individuals in high risk settings (that is, high risk of exposure/transmission, or severe disease outcomes) or as a workplace screening measure to ensure business continuity.</w:t>
            </w:r>
          </w:p>
          <w:p w14:paraId="785A0B10" w14:textId="5DED99AF" w:rsidR="00312394" w:rsidRPr="00DD5DD9" w:rsidRDefault="00312394" w:rsidP="00312394">
            <w:pPr>
              <w:jc w:val="left"/>
              <w:rPr>
                <w:rFonts w:cstheme="minorHAnsi"/>
                <w:sz w:val="22"/>
              </w:rPr>
            </w:pPr>
            <w:r w:rsidRPr="00DD5DD9">
              <w:rPr>
                <w:rFonts w:cstheme="minorHAnsi"/>
                <w:sz w:val="22"/>
              </w:rPr>
              <w:t>It offers rapid results in relevant settings, while reducing pressure on RT-PCR capacity. Positive detections need RT-PCR for confirmation and sequencing as appropriate. RT-PCR testing is also recommended for individuals that return a negative rapid test result but have symptoms compatible with COVID-19.</w:t>
            </w:r>
          </w:p>
          <w:p w14:paraId="20F1260D" w14:textId="1A4306E6" w:rsidR="00312394" w:rsidRPr="00DD5DD9" w:rsidRDefault="00312394" w:rsidP="00312394">
            <w:pPr>
              <w:jc w:val="left"/>
              <w:rPr>
                <w:rFonts w:cstheme="minorHAnsi"/>
                <w:sz w:val="22"/>
              </w:rPr>
            </w:pPr>
            <w:r w:rsidRPr="00DD5DD9">
              <w:rPr>
                <w:rFonts w:cstheme="minorHAnsi"/>
                <w:sz w:val="22"/>
              </w:rPr>
              <w:t xml:space="preserve">See </w:t>
            </w:r>
            <w:r w:rsidRPr="00DD5DD9">
              <w:rPr>
                <w:rFonts w:cstheme="minorHAnsi"/>
                <w:sz w:val="22"/>
                <w:u w:val="single"/>
              </w:rPr>
              <w:t>Annex A</w:t>
            </w:r>
            <w:r w:rsidRPr="00DD5DD9">
              <w:rPr>
                <w:rFonts w:cstheme="minorHAnsi"/>
                <w:sz w:val="22"/>
              </w:rPr>
              <w:t xml:space="preserve"> for more information on the benefits and limits of rapid antigen tests.</w:t>
            </w:r>
          </w:p>
        </w:tc>
      </w:tr>
      <w:tr w:rsidR="00312394" w:rsidRPr="00DD5DD9" w14:paraId="705BC43F" w14:textId="77777777" w:rsidTr="6A7B07D3">
        <w:trPr>
          <w:cantSplit/>
        </w:trPr>
        <w:tc>
          <w:tcPr>
            <w:tcW w:w="1627" w:type="dxa"/>
            <w:shd w:val="clear" w:color="auto" w:fill="DBE5F1" w:themeFill="accent1" w:themeFillTint="33"/>
          </w:tcPr>
          <w:p w14:paraId="5DD40A29" w14:textId="4FFF464C" w:rsidR="00312394" w:rsidRPr="00DD5DD9" w:rsidRDefault="00312394" w:rsidP="00312394">
            <w:pPr>
              <w:jc w:val="left"/>
              <w:rPr>
                <w:rFonts w:cstheme="minorHAnsi"/>
                <w:sz w:val="22"/>
              </w:rPr>
            </w:pPr>
            <w:r w:rsidRPr="00DD5DD9">
              <w:rPr>
                <w:rFonts w:cstheme="minorHAnsi"/>
                <w:sz w:val="22"/>
              </w:rPr>
              <w:t>Epidemiological Zone 3</w:t>
            </w:r>
          </w:p>
        </w:tc>
        <w:tc>
          <w:tcPr>
            <w:tcW w:w="7582" w:type="dxa"/>
          </w:tcPr>
          <w:p w14:paraId="2A96BA5C" w14:textId="7B169B99" w:rsidR="00312394" w:rsidRPr="00DD5DD9" w:rsidRDefault="00312394" w:rsidP="00312394">
            <w:pPr>
              <w:jc w:val="left"/>
              <w:rPr>
                <w:rFonts w:cstheme="minorHAnsi"/>
                <w:sz w:val="22"/>
              </w:rPr>
            </w:pPr>
            <w:r w:rsidRPr="00DD5DD9">
              <w:rPr>
                <w:rFonts w:cstheme="minorHAnsi"/>
                <w:sz w:val="22"/>
              </w:rPr>
              <w:t>As per Epidemiological Zone 2.</w:t>
            </w:r>
          </w:p>
          <w:p w14:paraId="0B9864B2" w14:textId="44134673" w:rsidR="00312394" w:rsidRPr="00C229FD" w:rsidRDefault="444E1A0A" w:rsidP="6D31A3BD">
            <w:pPr>
              <w:jc w:val="left"/>
              <w:rPr>
                <w:rFonts w:cstheme="minorHAnsi"/>
                <w:sz w:val="22"/>
              </w:rPr>
            </w:pPr>
            <w:r w:rsidRPr="00DD5DD9">
              <w:rPr>
                <w:rFonts w:cstheme="minorHAnsi"/>
                <w:sz w:val="22"/>
              </w:rPr>
              <w:t xml:space="preserve">In this epidemiological zone it is expected that there will be a greater </w:t>
            </w:r>
            <w:r w:rsidR="64247328" w:rsidRPr="00DD5DD9">
              <w:rPr>
                <w:rFonts w:cstheme="minorHAnsi"/>
                <w:sz w:val="22"/>
              </w:rPr>
              <w:t xml:space="preserve">business </w:t>
            </w:r>
            <w:r w:rsidRPr="00DD5DD9">
              <w:rPr>
                <w:rFonts w:cstheme="minorHAnsi"/>
                <w:sz w:val="22"/>
              </w:rPr>
              <w:t xml:space="preserve">interest </w:t>
            </w:r>
            <w:r w:rsidR="64247328" w:rsidRPr="00C229FD">
              <w:rPr>
                <w:rFonts w:cstheme="minorHAnsi"/>
                <w:sz w:val="22"/>
              </w:rPr>
              <w:t>in the implementation</w:t>
            </w:r>
            <w:r w:rsidRPr="00C229FD">
              <w:rPr>
                <w:rFonts w:cstheme="minorHAnsi"/>
                <w:sz w:val="22"/>
              </w:rPr>
              <w:t xml:space="preserve"> </w:t>
            </w:r>
            <w:r w:rsidR="64247328" w:rsidRPr="00C229FD">
              <w:rPr>
                <w:rFonts w:cstheme="minorHAnsi"/>
                <w:sz w:val="22"/>
              </w:rPr>
              <w:t>of</w:t>
            </w:r>
            <w:r w:rsidRPr="00C229FD">
              <w:rPr>
                <w:rFonts w:cstheme="minorHAnsi"/>
                <w:sz w:val="22"/>
              </w:rPr>
              <w:t xml:space="preserve"> workplace screening programs using rapid antigen tests. This may be as part of a supervised program or at home testing, in accordance with TGA requirements. </w:t>
            </w:r>
            <w:r w:rsidR="64247328" w:rsidRPr="00C229FD">
              <w:rPr>
                <w:rFonts w:cstheme="minorHAnsi"/>
                <w:sz w:val="22"/>
              </w:rPr>
              <w:t>Consideration may also be given to their use for interstate domestic travel pre</w:t>
            </w:r>
            <w:r w:rsidR="2541038A" w:rsidRPr="00C229FD">
              <w:rPr>
                <w:rFonts w:cstheme="minorHAnsi"/>
                <w:sz w:val="22"/>
              </w:rPr>
              <w:t>-</w:t>
            </w:r>
            <w:r w:rsidR="64247328" w:rsidRPr="00C229FD">
              <w:rPr>
                <w:rFonts w:cstheme="minorHAnsi"/>
                <w:sz w:val="22"/>
              </w:rPr>
              <w:t>departure or post arrival travel purposes.</w:t>
            </w:r>
          </w:p>
        </w:tc>
      </w:tr>
      <w:tr w:rsidR="00312394" w:rsidRPr="00DD5DD9" w14:paraId="1B8CADD5" w14:textId="77777777" w:rsidTr="6A7B07D3">
        <w:trPr>
          <w:cantSplit/>
        </w:trPr>
        <w:tc>
          <w:tcPr>
            <w:tcW w:w="1627" w:type="dxa"/>
            <w:shd w:val="clear" w:color="auto" w:fill="DBE5F1" w:themeFill="accent1" w:themeFillTint="33"/>
          </w:tcPr>
          <w:p w14:paraId="6568123D" w14:textId="3744AFF0" w:rsidR="00312394" w:rsidRPr="00DD5DD9" w:rsidRDefault="00312394" w:rsidP="00312394">
            <w:pPr>
              <w:jc w:val="left"/>
              <w:rPr>
                <w:rFonts w:cstheme="minorHAnsi"/>
                <w:sz w:val="22"/>
              </w:rPr>
            </w:pPr>
            <w:r w:rsidRPr="00DD5DD9">
              <w:rPr>
                <w:rFonts w:cstheme="minorHAnsi"/>
                <w:sz w:val="22"/>
              </w:rPr>
              <w:t xml:space="preserve">Epidemiological Zone </w:t>
            </w:r>
            <w:r w:rsidR="004D1CBB" w:rsidRPr="00DD5DD9">
              <w:rPr>
                <w:rFonts w:cstheme="minorHAnsi"/>
                <w:sz w:val="22"/>
              </w:rPr>
              <w:t>4</w:t>
            </w:r>
          </w:p>
        </w:tc>
        <w:tc>
          <w:tcPr>
            <w:tcW w:w="7582" w:type="dxa"/>
          </w:tcPr>
          <w:p w14:paraId="56D040B3" w14:textId="2752E5C2" w:rsidR="00EB12B8" w:rsidRPr="00DD5DD9" w:rsidRDefault="29AAD1E4" w:rsidP="6A9820AC">
            <w:pPr>
              <w:jc w:val="left"/>
              <w:rPr>
                <w:rFonts w:cstheme="minorHAnsi"/>
                <w:sz w:val="22"/>
              </w:rPr>
            </w:pPr>
            <w:r w:rsidRPr="00DD5DD9">
              <w:rPr>
                <w:rFonts w:cstheme="minorHAnsi"/>
                <w:sz w:val="22"/>
              </w:rPr>
              <w:t>In this epidemiological zone,</w:t>
            </w:r>
            <w:r w:rsidR="5021A8A1" w:rsidRPr="00DD5DD9">
              <w:rPr>
                <w:rFonts w:cstheme="minorHAnsi"/>
                <w:sz w:val="22"/>
              </w:rPr>
              <w:t xml:space="preserve"> consider </w:t>
            </w:r>
            <w:r w:rsidRPr="00DD5DD9">
              <w:rPr>
                <w:rFonts w:cstheme="minorHAnsi"/>
                <w:sz w:val="22"/>
              </w:rPr>
              <w:t>rapid antigen tests</w:t>
            </w:r>
            <w:r w:rsidR="1A8191CA" w:rsidRPr="00DD5DD9">
              <w:rPr>
                <w:rFonts w:cstheme="minorHAnsi"/>
                <w:sz w:val="22"/>
              </w:rPr>
              <w:t xml:space="preserve"> for </w:t>
            </w:r>
            <w:r w:rsidR="00671343" w:rsidRPr="00DD5DD9">
              <w:rPr>
                <w:rFonts w:cstheme="minorHAnsi"/>
                <w:sz w:val="22"/>
              </w:rPr>
              <w:t>symptomatic (</w:t>
            </w:r>
            <w:r w:rsidR="1A8191CA" w:rsidRPr="00DD5DD9">
              <w:rPr>
                <w:rFonts w:cstheme="minorHAnsi"/>
                <w:sz w:val="22"/>
              </w:rPr>
              <w:t xml:space="preserve">Priority Groups </w:t>
            </w:r>
            <w:r w:rsidR="00EB12B8" w:rsidRPr="00DD5DD9">
              <w:rPr>
                <w:rFonts w:cstheme="minorHAnsi"/>
                <w:sz w:val="22"/>
              </w:rPr>
              <w:t>1</w:t>
            </w:r>
            <w:r w:rsidR="00671343" w:rsidRPr="00DD5DD9">
              <w:rPr>
                <w:rFonts w:cstheme="minorHAnsi"/>
                <w:sz w:val="22"/>
              </w:rPr>
              <w:t>)</w:t>
            </w:r>
            <w:r w:rsidR="1A8191CA" w:rsidRPr="00DD5DD9">
              <w:rPr>
                <w:rFonts w:cstheme="minorHAnsi"/>
                <w:sz w:val="22"/>
              </w:rPr>
              <w:t xml:space="preserve"> and </w:t>
            </w:r>
            <w:r w:rsidR="00671343" w:rsidRPr="00DD5DD9">
              <w:rPr>
                <w:rFonts w:cstheme="minorHAnsi"/>
                <w:sz w:val="22"/>
              </w:rPr>
              <w:t xml:space="preserve">close contacts (Priority Group 2). </w:t>
            </w:r>
          </w:p>
          <w:p w14:paraId="7069FAE4" w14:textId="1B0D7CF4" w:rsidR="00312394" w:rsidRPr="00DD5DD9" w:rsidRDefault="45F8326A" w:rsidP="6A9820AC">
            <w:pPr>
              <w:jc w:val="left"/>
              <w:rPr>
                <w:rFonts w:cstheme="minorHAnsi"/>
                <w:sz w:val="22"/>
              </w:rPr>
            </w:pPr>
            <w:r w:rsidRPr="00DD5DD9">
              <w:rPr>
                <w:rFonts w:cstheme="minorHAnsi"/>
                <w:sz w:val="22"/>
              </w:rPr>
              <w:t>C</w:t>
            </w:r>
            <w:r w:rsidR="62A4F6D2" w:rsidRPr="00DD5DD9">
              <w:rPr>
                <w:rFonts w:cstheme="minorHAnsi"/>
                <w:sz w:val="22"/>
              </w:rPr>
              <w:t>onserve</w:t>
            </w:r>
            <w:r w:rsidR="2A4B5741" w:rsidRPr="00DD5DD9">
              <w:rPr>
                <w:rFonts w:cstheme="minorHAnsi"/>
                <w:sz w:val="22"/>
              </w:rPr>
              <w:t xml:space="preserve"> </w:t>
            </w:r>
            <w:r w:rsidR="62A4F6D2" w:rsidRPr="00DD5DD9">
              <w:rPr>
                <w:rFonts w:cstheme="minorHAnsi"/>
                <w:sz w:val="22"/>
              </w:rPr>
              <w:t xml:space="preserve">NAAT </w:t>
            </w:r>
            <w:r w:rsidR="2A4B5741" w:rsidRPr="00DD5DD9">
              <w:rPr>
                <w:rFonts w:cstheme="minorHAnsi"/>
                <w:sz w:val="22"/>
              </w:rPr>
              <w:t>capacity</w:t>
            </w:r>
            <w:r w:rsidR="2CB14BE1" w:rsidRPr="00DD5DD9">
              <w:rPr>
                <w:rFonts w:cstheme="minorHAnsi"/>
                <w:sz w:val="22"/>
              </w:rPr>
              <w:t xml:space="preserve"> (both laboratory-based and point-of-care)</w:t>
            </w:r>
            <w:r w:rsidR="2A4B5741" w:rsidRPr="00DD5DD9">
              <w:rPr>
                <w:rFonts w:cstheme="minorHAnsi"/>
                <w:sz w:val="22"/>
              </w:rPr>
              <w:t xml:space="preserve"> for </w:t>
            </w:r>
            <w:r w:rsidR="0F83233D" w:rsidRPr="00DD5DD9">
              <w:rPr>
                <w:rFonts w:cstheme="minorHAnsi"/>
                <w:sz w:val="22"/>
              </w:rPr>
              <w:t>P</w:t>
            </w:r>
            <w:r w:rsidR="2A4B5741" w:rsidRPr="00DD5DD9">
              <w:rPr>
                <w:rFonts w:cstheme="minorHAnsi"/>
                <w:sz w:val="22"/>
              </w:rPr>
              <w:t xml:space="preserve">riority </w:t>
            </w:r>
            <w:r w:rsidR="0F83233D" w:rsidRPr="00DD5DD9">
              <w:rPr>
                <w:rFonts w:cstheme="minorHAnsi"/>
                <w:sz w:val="22"/>
              </w:rPr>
              <w:t>G</w:t>
            </w:r>
            <w:r w:rsidR="2A4B5741" w:rsidRPr="00DD5DD9">
              <w:rPr>
                <w:rFonts w:cstheme="minorHAnsi"/>
                <w:sz w:val="22"/>
              </w:rPr>
              <w:t>roups</w:t>
            </w:r>
            <w:r w:rsidR="0F83233D" w:rsidRPr="00DD5DD9">
              <w:rPr>
                <w:rFonts w:cstheme="minorHAnsi"/>
                <w:sz w:val="22"/>
              </w:rPr>
              <w:t xml:space="preserve"> 1</w:t>
            </w:r>
            <w:r w:rsidR="211850A4" w:rsidRPr="00DD5DD9">
              <w:rPr>
                <w:rFonts w:cstheme="minorHAnsi"/>
                <w:sz w:val="22"/>
              </w:rPr>
              <w:t xml:space="preserve"> and Priority Group 4 </w:t>
            </w:r>
            <w:r w:rsidR="180D81BB" w:rsidRPr="00DD5DD9">
              <w:rPr>
                <w:rFonts w:cstheme="minorHAnsi"/>
                <w:sz w:val="22"/>
              </w:rPr>
              <w:t>(</w:t>
            </w:r>
            <w:r w:rsidR="211850A4" w:rsidRPr="00DD5DD9">
              <w:rPr>
                <w:rFonts w:cstheme="minorHAnsi"/>
                <w:sz w:val="22"/>
              </w:rPr>
              <w:t xml:space="preserve">where a </w:t>
            </w:r>
            <w:r w:rsidR="3E1BF4C3" w:rsidRPr="00DD5DD9">
              <w:rPr>
                <w:rFonts w:cstheme="minorHAnsi"/>
                <w:sz w:val="22"/>
              </w:rPr>
              <w:t>confirmed case has already been identified and transmission is likel</w:t>
            </w:r>
            <w:r w:rsidR="2555F04A" w:rsidRPr="00DD5DD9">
              <w:rPr>
                <w:rFonts w:cstheme="minorHAnsi"/>
                <w:sz w:val="22"/>
              </w:rPr>
              <w:t>y</w:t>
            </w:r>
            <w:r w:rsidR="180D81BB" w:rsidRPr="00DD5DD9">
              <w:rPr>
                <w:rFonts w:cstheme="minorHAnsi"/>
                <w:sz w:val="22"/>
              </w:rPr>
              <w:t xml:space="preserve">), </w:t>
            </w:r>
            <w:r w:rsidR="2A4B5741" w:rsidRPr="00DD5DD9">
              <w:rPr>
                <w:rFonts w:cstheme="minorHAnsi"/>
                <w:sz w:val="22"/>
              </w:rPr>
              <w:t xml:space="preserve">as defined in Section </w:t>
            </w:r>
            <w:r w:rsidR="00AF1E3D" w:rsidRPr="00DD5DD9">
              <w:rPr>
                <w:rFonts w:cstheme="minorHAnsi"/>
                <w:sz w:val="22"/>
              </w:rPr>
              <w:t>3.2.</w:t>
            </w:r>
            <w:r w:rsidR="2A4B5741" w:rsidRPr="00DD5DD9">
              <w:rPr>
                <w:rFonts w:cstheme="minorHAnsi"/>
                <w:sz w:val="22"/>
              </w:rPr>
              <w:t>4</w:t>
            </w:r>
            <w:r w:rsidR="4C49CE7B" w:rsidRPr="00DD5DD9">
              <w:rPr>
                <w:rFonts w:cstheme="minorHAnsi"/>
                <w:sz w:val="22"/>
              </w:rPr>
              <w:t>.</w:t>
            </w:r>
          </w:p>
          <w:p w14:paraId="6490A166" w14:textId="1D3F119B" w:rsidR="00312394" w:rsidRPr="00DD5DD9" w:rsidRDefault="2E3FBB02" w:rsidP="6A9820AC">
            <w:pPr>
              <w:jc w:val="left"/>
              <w:rPr>
                <w:rFonts w:eastAsia="Calibri" w:cstheme="minorHAnsi"/>
                <w:sz w:val="22"/>
              </w:rPr>
            </w:pPr>
            <w:r w:rsidRPr="00DD5DD9">
              <w:rPr>
                <w:rFonts w:eastAsia="Calibri" w:cstheme="minorHAnsi"/>
                <w:sz w:val="22"/>
              </w:rPr>
              <w:t>A positive rapid antigen test result does not need to be confirmed by NAAT-based testing methods. A person</w:t>
            </w:r>
            <w:r w:rsidR="04B07405" w:rsidRPr="00DD5DD9">
              <w:rPr>
                <w:rFonts w:eastAsia="Calibri" w:cstheme="minorHAnsi"/>
                <w:sz w:val="22"/>
              </w:rPr>
              <w:t xml:space="preserve"> that tests positive on a rapid antigen test</w:t>
            </w:r>
            <w:r w:rsidRPr="00DD5DD9">
              <w:rPr>
                <w:rFonts w:eastAsia="Calibri" w:cstheme="minorHAnsi"/>
                <w:sz w:val="22"/>
              </w:rPr>
              <w:t xml:space="preserve"> </w:t>
            </w:r>
            <w:r w:rsidR="04B07405" w:rsidRPr="00DD5DD9">
              <w:rPr>
                <w:rFonts w:eastAsia="Calibri" w:cstheme="minorHAnsi"/>
                <w:sz w:val="22"/>
              </w:rPr>
              <w:t>meets the definition of a</w:t>
            </w:r>
            <w:r w:rsidRPr="00DD5DD9">
              <w:rPr>
                <w:rFonts w:eastAsia="Calibri" w:cstheme="minorHAnsi"/>
                <w:sz w:val="22"/>
              </w:rPr>
              <w:t xml:space="preserve"> probable </w:t>
            </w:r>
            <w:r w:rsidR="2A710637" w:rsidRPr="00DD5DD9">
              <w:rPr>
                <w:rFonts w:eastAsia="Calibri" w:cstheme="minorHAnsi"/>
                <w:sz w:val="22"/>
              </w:rPr>
              <w:t xml:space="preserve">COVID-19 </w:t>
            </w:r>
            <w:r w:rsidRPr="00DD5DD9">
              <w:rPr>
                <w:rFonts w:eastAsia="Calibri" w:cstheme="minorHAnsi"/>
                <w:sz w:val="22"/>
              </w:rPr>
              <w:t>case</w:t>
            </w:r>
            <w:r w:rsidR="78F4C950" w:rsidRPr="00DD5DD9">
              <w:rPr>
                <w:rFonts w:eastAsia="Calibri" w:cstheme="minorHAnsi"/>
                <w:sz w:val="22"/>
              </w:rPr>
              <w:t>. For more information, please refer to the National Guidelines.</w:t>
            </w:r>
          </w:p>
        </w:tc>
      </w:tr>
      <w:tr w:rsidR="00312394" w:rsidRPr="00DD5DD9" w14:paraId="392F51FA" w14:textId="77777777" w:rsidTr="6A7B07D3">
        <w:trPr>
          <w:cantSplit/>
        </w:trPr>
        <w:tc>
          <w:tcPr>
            <w:tcW w:w="9209" w:type="dxa"/>
            <w:gridSpan w:val="2"/>
            <w:shd w:val="clear" w:color="auto" w:fill="DBE5F1" w:themeFill="accent1" w:themeFillTint="33"/>
          </w:tcPr>
          <w:p w14:paraId="543610CC" w14:textId="0F870500" w:rsidR="00312394" w:rsidRPr="00DD5DD9" w:rsidRDefault="00312394" w:rsidP="00312394">
            <w:pPr>
              <w:jc w:val="left"/>
              <w:rPr>
                <w:rFonts w:cstheme="minorHAnsi"/>
                <w:sz w:val="22"/>
              </w:rPr>
            </w:pPr>
            <w:r w:rsidRPr="00DD5DD9">
              <w:rPr>
                <w:rFonts w:cstheme="minorHAnsi"/>
                <w:b/>
                <w:sz w:val="22"/>
              </w:rPr>
              <w:t>Rapid non-RT-PCR nucleic acid amplification tests (NAAT) (that is, LAMP tests) at the point-of-care (or near point of care)</w:t>
            </w:r>
          </w:p>
        </w:tc>
      </w:tr>
      <w:tr w:rsidR="00312394" w:rsidRPr="00DD5DD9" w14:paraId="71DD782A" w14:textId="77777777" w:rsidTr="6A7B07D3">
        <w:trPr>
          <w:cantSplit/>
        </w:trPr>
        <w:tc>
          <w:tcPr>
            <w:tcW w:w="1627" w:type="dxa"/>
            <w:shd w:val="clear" w:color="auto" w:fill="DBE5F1" w:themeFill="accent1" w:themeFillTint="33"/>
          </w:tcPr>
          <w:p w14:paraId="06E91E36" w14:textId="3D85B2EA" w:rsidR="00312394" w:rsidRPr="00DD5DD9" w:rsidRDefault="00312394" w:rsidP="00312394">
            <w:pPr>
              <w:jc w:val="left"/>
              <w:rPr>
                <w:rFonts w:cstheme="minorHAnsi"/>
                <w:sz w:val="22"/>
              </w:rPr>
            </w:pPr>
            <w:r w:rsidRPr="00DD5DD9">
              <w:rPr>
                <w:rFonts w:cstheme="minorHAnsi"/>
                <w:sz w:val="22"/>
              </w:rPr>
              <w:t>Epidemiological Zone 1</w:t>
            </w:r>
          </w:p>
        </w:tc>
        <w:tc>
          <w:tcPr>
            <w:tcW w:w="7582" w:type="dxa"/>
          </w:tcPr>
          <w:p w14:paraId="3838B0A5" w14:textId="328271EF" w:rsidR="00312394" w:rsidRPr="00DD5DD9" w:rsidRDefault="00312394" w:rsidP="00312394">
            <w:pPr>
              <w:jc w:val="left"/>
              <w:rPr>
                <w:rFonts w:cstheme="minorHAnsi"/>
                <w:sz w:val="22"/>
              </w:rPr>
            </w:pPr>
            <w:r w:rsidRPr="00DD5DD9">
              <w:rPr>
                <w:rFonts w:cstheme="minorHAnsi"/>
                <w:sz w:val="22"/>
              </w:rPr>
              <w:t>Rapid non-RT-PCR NAAT are not recommended for widespread use in low prevalence environments. They may be useful in outbreak settings.</w:t>
            </w:r>
          </w:p>
        </w:tc>
      </w:tr>
      <w:tr w:rsidR="00312394" w:rsidRPr="00DD5DD9" w14:paraId="24998314" w14:textId="77777777" w:rsidTr="6A7B07D3">
        <w:trPr>
          <w:cantSplit/>
        </w:trPr>
        <w:tc>
          <w:tcPr>
            <w:tcW w:w="1627" w:type="dxa"/>
            <w:shd w:val="clear" w:color="auto" w:fill="DBE5F1" w:themeFill="accent1" w:themeFillTint="33"/>
          </w:tcPr>
          <w:p w14:paraId="53914157" w14:textId="4D2D86AF" w:rsidR="00312394" w:rsidRPr="00DD5DD9" w:rsidRDefault="00312394" w:rsidP="00312394">
            <w:pPr>
              <w:jc w:val="left"/>
              <w:rPr>
                <w:rFonts w:cstheme="minorHAnsi"/>
                <w:sz w:val="22"/>
              </w:rPr>
            </w:pPr>
            <w:r w:rsidRPr="00DD5DD9">
              <w:rPr>
                <w:rFonts w:cstheme="minorHAnsi"/>
                <w:sz w:val="22"/>
              </w:rPr>
              <w:lastRenderedPageBreak/>
              <w:t>Epidemiological Zone 2</w:t>
            </w:r>
          </w:p>
        </w:tc>
        <w:tc>
          <w:tcPr>
            <w:tcW w:w="7582" w:type="dxa"/>
          </w:tcPr>
          <w:p w14:paraId="4CC2E463" w14:textId="5159B497" w:rsidR="00312394" w:rsidRPr="00DD5DD9" w:rsidRDefault="00312394" w:rsidP="00312394">
            <w:pPr>
              <w:jc w:val="left"/>
              <w:rPr>
                <w:rFonts w:cstheme="minorHAnsi"/>
                <w:sz w:val="22"/>
              </w:rPr>
            </w:pPr>
            <w:r w:rsidRPr="00DD5DD9">
              <w:rPr>
                <w:rFonts w:cstheme="minorHAnsi"/>
                <w:sz w:val="22"/>
              </w:rPr>
              <w:t xml:space="preserve">Where the pre-test probability is high, rapid non-RT-PCR NAAT may have a role in public health investigations. For example, regular repeat surveillance testing or urgent triage of vulnerable high-risk individuals when the chosen device has been properly calibrated by a public health reference laboratory against RT-PCR. </w:t>
            </w:r>
          </w:p>
          <w:p w14:paraId="647B329F" w14:textId="7E607419" w:rsidR="00312394" w:rsidRPr="00DD5DD9" w:rsidRDefault="00312394" w:rsidP="00312394">
            <w:pPr>
              <w:jc w:val="left"/>
              <w:rPr>
                <w:rFonts w:cstheme="minorHAnsi"/>
                <w:sz w:val="22"/>
              </w:rPr>
            </w:pPr>
            <w:r w:rsidRPr="00DD5DD9">
              <w:rPr>
                <w:rFonts w:cstheme="minorHAnsi"/>
                <w:sz w:val="22"/>
              </w:rPr>
              <w:t>This technology may prove useful as a screening test for individuals in high risk settings (that is, high risk of exposure/transmission, or severe disease outcomes) or as a workplace screening measure to ensure business continuity.</w:t>
            </w:r>
          </w:p>
          <w:p w14:paraId="6CE94E7B" w14:textId="6989E662" w:rsidR="00312394" w:rsidRPr="00DD5DD9" w:rsidRDefault="00312394" w:rsidP="00312394">
            <w:pPr>
              <w:jc w:val="left"/>
              <w:rPr>
                <w:rFonts w:cstheme="minorHAnsi"/>
                <w:sz w:val="22"/>
              </w:rPr>
            </w:pPr>
            <w:r w:rsidRPr="00DD5DD9">
              <w:rPr>
                <w:rFonts w:cstheme="minorHAnsi"/>
                <w:sz w:val="22"/>
              </w:rPr>
              <w:t>It offers rapid results while reducing pressure on RT-PCR capacity. Positive detections would need RT-PCR for confirmation and sequencing as appropriate. RT-PCR testing is also recommended for individuals that return a negative rapid test result but have symptoms compatible with COVID-19.</w:t>
            </w:r>
          </w:p>
          <w:p w14:paraId="09C3B062" w14:textId="77777777" w:rsidR="00312394" w:rsidRPr="00DD5DD9" w:rsidRDefault="00312394" w:rsidP="00312394">
            <w:pPr>
              <w:jc w:val="left"/>
              <w:rPr>
                <w:rFonts w:cstheme="minorHAnsi"/>
                <w:sz w:val="22"/>
              </w:rPr>
            </w:pPr>
            <w:r w:rsidRPr="00DD5DD9">
              <w:rPr>
                <w:rFonts w:cstheme="minorHAnsi"/>
                <w:sz w:val="22"/>
              </w:rPr>
              <w:t>PHLN recommends the use of multiplex RT-PCR assays that detect SARS-CoV-2 and other commonly circulating respiratory viruses, where resourcing and laboratory workflows allow, to conserve resources and ensure optimal surveillance.</w:t>
            </w:r>
          </w:p>
          <w:p w14:paraId="068482C5" w14:textId="7971EBBB" w:rsidR="00312394" w:rsidRPr="00DD5DD9" w:rsidRDefault="00312394" w:rsidP="00312394">
            <w:pPr>
              <w:jc w:val="left"/>
              <w:rPr>
                <w:rFonts w:cstheme="minorHAnsi"/>
                <w:sz w:val="22"/>
              </w:rPr>
            </w:pPr>
            <w:r w:rsidRPr="00DD5DD9">
              <w:rPr>
                <w:rFonts w:cstheme="minorHAnsi"/>
                <w:sz w:val="22"/>
              </w:rPr>
              <w:t xml:space="preserve">See </w:t>
            </w:r>
            <w:r w:rsidRPr="00DD5DD9">
              <w:rPr>
                <w:rFonts w:cstheme="minorHAnsi"/>
                <w:sz w:val="22"/>
                <w:u w:val="single"/>
              </w:rPr>
              <w:t>Annex A</w:t>
            </w:r>
            <w:r w:rsidRPr="00DD5DD9">
              <w:rPr>
                <w:rFonts w:cstheme="minorHAnsi"/>
                <w:sz w:val="22"/>
              </w:rPr>
              <w:t xml:space="preserve"> for more information on the benefits and limitations of rapid non-RT-PCR NAAT.</w:t>
            </w:r>
          </w:p>
        </w:tc>
      </w:tr>
      <w:tr w:rsidR="00312394" w:rsidRPr="00DD5DD9" w14:paraId="19306E07" w14:textId="77777777" w:rsidTr="6A7B07D3">
        <w:trPr>
          <w:cantSplit/>
        </w:trPr>
        <w:tc>
          <w:tcPr>
            <w:tcW w:w="1627" w:type="dxa"/>
            <w:shd w:val="clear" w:color="auto" w:fill="DBE5F1" w:themeFill="accent1" w:themeFillTint="33"/>
          </w:tcPr>
          <w:p w14:paraId="2BD745DC" w14:textId="6694D2F2" w:rsidR="00312394" w:rsidRPr="00DD5DD9" w:rsidRDefault="00312394" w:rsidP="00312394">
            <w:pPr>
              <w:jc w:val="left"/>
              <w:rPr>
                <w:rFonts w:cstheme="minorHAnsi"/>
                <w:sz w:val="22"/>
              </w:rPr>
            </w:pPr>
            <w:r w:rsidRPr="00DD5DD9">
              <w:rPr>
                <w:rFonts w:cstheme="minorHAnsi"/>
                <w:sz w:val="22"/>
              </w:rPr>
              <w:t>Epidemiological Zone 3</w:t>
            </w:r>
          </w:p>
        </w:tc>
        <w:tc>
          <w:tcPr>
            <w:tcW w:w="7582" w:type="dxa"/>
          </w:tcPr>
          <w:p w14:paraId="7C9FCAB5" w14:textId="7F9AE532" w:rsidR="00312394" w:rsidRPr="00DD5DD9" w:rsidRDefault="00312394" w:rsidP="00312394">
            <w:pPr>
              <w:jc w:val="left"/>
              <w:rPr>
                <w:rFonts w:cstheme="minorHAnsi"/>
                <w:sz w:val="22"/>
              </w:rPr>
            </w:pPr>
            <w:r w:rsidRPr="00DD5DD9">
              <w:rPr>
                <w:rFonts w:cstheme="minorHAnsi"/>
                <w:sz w:val="22"/>
              </w:rPr>
              <w:t>As per Epidemiological Zone 2</w:t>
            </w:r>
            <w:r w:rsidR="00224106" w:rsidRPr="00224106">
              <w:rPr>
                <w:rFonts w:cstheme="minorHAnsi"/>
                <w:sz w:val="22"/>
              </w:rPr>
              <w:t>. However, for a symptomatic individual where an initial RAT is negative, consider undertaking a repeat RAT (after 24 hours) where NAA is not available.</w:t>
            </w:r>
          </w:p>
        </w:tc>
      </w:tr>
      <w:tr w:rsidR="004D1CBB" w:rsidRPr="00DD5DD9" w14:paraId="30CD01C1" w14:textId="77777777" w:rsidTr="6A7B07D3">
        <w:trPr>
          <w:cantSplit/>
        </w:trPr>
        <w:tc>
          <w:tcPr>
            <w:tcW w:w="1627" w:type="dxa"/>
            <w:shd w:val="clear" w:color="auto" w:fill="DBE5F1" w:themeFill="accent1" w:themeFillTint="33"/>
          </w:tcPr>
          <w:p w14:paraId="7C4158AC" w14:textId="705358E7" w:rsidR="004D1CBB" w:rsidRPr="00DD5DD9" w:rsidRDefault="1D7B37A6" w:rsidP="00312394">
            <w:pPr>
              <w:jc w:val="left"/>
              <w:rPr>
                <w:rFonts w:cstheme="minorHAnsi"/>
                <w:sz w:val="22"/>
              </w:rPr>
            </w:pPr>
            <w:r w:rsidRPr="00DD5DD9">
              <w:rPr>
                <w:rFonts w:cstheme="minorHAnsi"/>
                <w:sz w:val="22"/>
              </w:rPr>
              <w:t>Epidemiological Zone 4</w:t>
            </w:r>
          </w:p>
        </w:tc>
        <w:tc>
          <w:tcPr>
            <w:tcW w:w="7582" w:type="dxa"/>
          </w:tcPr>
          <w:p w14:paraId="640D7299" w14:textId="77777777" w:rsidR="00422C70" w:rsidRPr="00DD5DD9" w:rsidRDefault="578B077E" w:rsidP="6A9820AC">
            <w:pPr>
              <w:jc w:val="left"/>
              <w:rPr>
                <w:rFonts w:cstheme="minorBidi"/>
                <w:sz w:val="22"/>
              </w:rPr>
            </w:pPr>
            <w:r w:rsidRPr="00DD5DD9">
              <w:rPr>
                <w:rFonts w:cstheme="minorBidi"/>
                <w:sz w:val="22"/>
              </w:rPr>
              <w:t xml:space="preserve">In this epidemiological context, consider reserving </w:t>
            </w:r>
            <w:r w:rsidR="03AF6501" w:rsidRPr="00DD5DD9">
              <w:rPr>
                <w:rFonts w:cstheme="minorBidi"/>
                <w:sz w:val="22"/>
              </w:rPr>
              <w:t>non</w:t>
            </w:r>
            <w:r w:rsidR="042A06E3" w:rsidRPr="00DD5DD9">
              <w:rPr>
                <w:rFonts w:cstheme="minorBidi"/>
                <w:sz w:val="22"/>
              </w:rPr>
              <w:t>-</w:t>
            </w:r>
            <w:r w:rsidR="03AF6501" w:rsidRPr="00DD5DD9">
              <w:rPr>
                <w:rFonts w:cstheme="minorBidi"/>
                <w:sz w:val="22"/>
              </w:rPr>
              <w:t xml:space="preserve">RT-PCR </w:t>
            </w:r>
            <w:r w:rsidR="73215361" w:rsidRPr="00DD5DD9">
              <w:rPr>
                <w:rFonts w:cstheme="minorBidi"/>
                <w:sz w:val="22"/>
              </w:rPr>
              <w:t xml:space="preserve">NAAT </w:t>
            </w:r>
            <w:r w:rsidR="7FB6256B" w:rsidRPr="00DD5DD9">
              <w:rPr>
                <w:rFonts w:cstheme="minorBidi"/>
                <w:sz w:val="22"/>
              </w:rPr>
              <w:t>for</w:t>
            </w:r>
            <w:r w:rsidR="00422C70" w:rsidRPr="00DD5DD9">
              <w:rPr>
                <w:rFonts w:cstheme="minorBidi"/>
                <w:sz w:val="22"/>
              </w:rPr>
              <w:t>:</w:t>
            </w:r>
          </w:p>
          <w:p w14:paraId="58BA2238" w14:textId="564FC99B" w:rsidR="00422C70" w:rsidRPr="00DD5DD9" w:rsidRDefault="7FB6256B" w:rsidP="00422C70">
            <w:pPr>
              <w:pStyle w:val="ListParagraph"/>
              <w:numPr>
                <w:ilvl w:val="0"/>
                <w:numId w:val="58"/>
              </w:numPr>
              <w:jc w:val="left"/>
              <w:rPr>
                <w:rFonts w:cstheme="minorBidi"/>
                <w:sz w:val="22"/>
              </w:rPr>
            </w:pPr>
            <w:r w:rsidRPr="00DD5DD9">
              <w:rPr>
                <w:rFonts w:cstheme="minorBidi"/>
                <w:sz w:val="22"/>
              </w:rPr>
              <w:t>symptomatic individuals</w:t>
            </w:r>
            <w:r w:rsidR="15D2E42D" w:rsidRPr="00DD5DD9">
              <w:rPr>
                <w:rFonts w:cstheme="minorBidi"/>
                <w:sz w:val="22"/>
              </w:rPr>
              <w:t xml:space="preserve"> (Priority Group</w:t>
            </w:r>
            <w:r w:rsidR="3C8E7C1D" w:rsidRPr="00DD5DD9">
              <w:rPr>
                <w:rFonts w:cstheme="minorBidi"/>
                <w:sz w:val="22"/>
              </w:rPr>
              <w:t xml:space="preserve"> </w:t>
            </w:r>
            <w:r w:rsidR="15D2E42D" w:rsidRPr="00C229FD">
              <w:rPr>
                <w:rFonts w:cstheme="minorBidi"/>
                <w:sz w:val="22"/>
              </w:rPr>
              <w:t>1)</w:t>
            </w:r>
            <w:r w:rsidRPr="00C229FD">
              <w:rPr>
                <w:rFonts w:cstheme="minorBidi"/>
                <w:sz w:val="22"/>
              </w:rPr>
              <w:t>, especially those at risk of more severe disease</w:t>
            </w:r>
          </w:p>
          <w:p w14:paraId="339B8517" w14:textId="651DBC2E" w:rsidR="00422C70" w:rsidRPr="00DD5DD9" w:rsidRDefault="7FB6256B" w:rsidP="00422C70">
            <w:pPr>
              <w:pStyle w:val="ListParagraph"/>
              <w:numPr>
                <w:ilvl w:val="0"/>
                <w:numId w:val="58"/>
              </w:numPr>
              <w:jc w:val="left"/>
              <w:rPr>
                <w:rFonts w:cstheme="minorBidi"/>
                <w:sz w:val="22"/>
              </w:rPr>
            </w:pPr>
            <w:r w:rsidRPr="00DD5DD9">
              <w:rPr>
                <w:rFonts w:cstheme="minorBidi"/>
                <w:sz w:val="22"/>
              </w:rPr>
              <w:t>asymptomatic people in high and special-risk settings (Priority Group 4) where there has been a confirmed positive case in that setting and transmission is likely</w:t>
            </w:r>
            <w:r w:rsidR="00422C70" w:rsidRPr="00DD5DD9">
              <w:rPr>
                <w:rFonts w:cstheme="minorBidi"/>
                <w:sz w:val="22"/>
              </w:rPr>
              <w:t>, and</w:t>
            </w:r>
          </w:p>
          <w:p w14:paraId="71F3CB59" w14:textId="0BC7FF85" w:rsidR="00D60E34" w:rsidRPr="00DD5DD9" w:rsidRDefault="00422C70" w:rsidP="00C229FD">
            <w:pPr>
              <w:pStyle w:val="ListParagraph"/>
              <w:numPr>
                <w:ilvl w:val="0"/>
                <w:numId w:val="58"/>
              </w:numPr>
              <w:jc w:val="left"/>
              <w:rPr>
                <w:rFonts w:cstheme="minorBidi"/>
                <w:sz w:val="22"/>
              </w:rPr>
            </w:pPr>
            <w:r w:rsidRPr="00DD5DD9">
              <w:rPr>
                <w:rFonts w:cstheme="minorBidi"/>
                <w:sz w:val="22"/>
              </w:rPr>
              <w:t xml:space="preserve">exceptions as </w:t>
            </w:r>
            <w:r w:rsidR="00395C33" w:rsidRPr="00DD5DD9">
              <w:rPr>
                <w:rFonts w:cstheme="minorBidi"/>
                <w:sz w:val="22"/>
              </w:rPr>
              <w:t>l</w:t>
            </w:r>
            <w:r w:rsidR="7195F6DD" w:rsidRPr="00C229FD">
              <w:rPr>
                <w:rFonts w:cstheme="minorBidi"/>
                <w:sz w:val="22"/>
              </w:rPr>
              <w:t>isted in Section 3.2.4.</w:t>
            </w:r>
          </w:p>
        </w:tc>
      </w:tr>
      <w:tr w:rsidR="00312394" w:rsidRPr="00DD5DD9" w14:paraId="79D27FB4" w14:textId="77777777" w:rsidTr="6A7B07D3">
        <w:trPr>
          <w:cantSplit/>
        </w:trPr>
        <w:tc>
          <w:tcPr>
            <w:tcW w:w="9209" w:type="dxa"/>
            <w:gridSpan w:val="2"/>
          </w:tcPr>
          <w:p w14:paraId="0B849EF3" w14:textId="77777777" w:rsidR="00312394" w:rsidRPr="00DD5DD9" w:rsidRDefault="00312394" w:rsidP="00312394">
            <w:pPr>
              <w:jc w:val="left"/>
              <w:rPr>
                <w:rFonts w:cstheme="minorHAnsi"/>
                <w:b/>
                <w:sz w:val="22"/>
              </w:rPr>
            </w:pPr>
            <w:r w:rsidRPr="00DD5DD9">
              <w:rPr>
                <w:rFonts w:cstheme="minorHAnsi"/>
                <w:b/>
                <w:sz w:val="22"/>
              </w:rPr>
              <w:t>Genomic sequencing</w:t>
            </w:r>
          </w:p>
        </w:tc>
      </w:tr>
      <w:tr w:rsidR="00312394" w:rsidRPr="00DD5DD9" w14:paraId="2032AB6C" w14:textId="77777777" w:rsidTr="6A7B07D3">
        <w:trPr>
          <w:cantSplit/>
        </w:trPr>
        <w:tc>
          <w:tcPr>
            <w:tcW w:w="1627" w:type="dxa"/>
            <w:shd w:val="clear" w:color="auto" w:fill="DBE5F1" w:themeFill="accent1" w:themeFillTint="33"/>
          </w:tcPr>
          <w:p w14:paraId="1B7A1BC5" w14:textId="31B5E6ED" w:rsidR="00312394" w:rsidRPr="00DD5DD9" w:rsidRDefault="00312394" w:rsidP="00312394">
            <w:pPr>
              <w:jc w:val="left"/>
              <w:rPr>
                <w:rFonts w:cstheme="minorHAnsi"/>
                <w:sz w:val="22"/>
              </w:rPr>
            </w:pPr>
            <w:r w:rsidRPr="00DD5DD9">
              <w:rPr>
                <w:rFonts w:cstheme="minorHAnsi"/>
                <w:sz w:val="22"/>
              </w:rPr>
              <w:t>Epidemiological Zone 1</w:t>
            </w:r>
          </w:p>
        </w:tc>
        <w:tc>
          <w:tcPr>
            <w:tcW w:w="7582" w:type="dxa"/>
          </w:tcPr>
          <w:p w14:paraId="36882650" w14:textId="0F92FB4D" w:rsidR="00312394" w:rsidRPr="00DD5DD9" w:rsidRDefault="00312394" w:rsidP="00312394">
            <w:pPr>
              <w:jc w:val="left"/>
              <w:rPr>
                <w:rFonts w:cstheme="minorHAnsi"/>
                <w:sz w:val="22"/>
              </w:rPr>
            </w:pPr>
            <w:r w:rsidRPr="00DD5DD9">
              <w:rPr>
                <w:rFonts w:cstheme="minorHAnsi"/>
                <w:sz w:val="22"/>
              </w:rPr>
              <w:t xml:space="preserve">Genomics can differentiate between SARS-CoV-2 strains introduced from overseas or interstate and local transmission and can help to identify a source or index case. Genomics is also important for monitoring virus evolution. In this epidemiological context, the </w:t>
            </w:r>
            <w:r w:rsidRPr="00DD5DD9">
              <w:rPr>
                <w:rFonts w:cstheme="minorHAnsi"/>
                <w:sz w:val="22"/>
                <w:u w:val="single"/>
              </w:rPr>
              <w:t>aim is to sequence every positive case</w:t>
            </w:r>
            <w:r w:rsidRPr="00DD5DD9">
              <w:rPr>
                <w:rFonts w:cstheme="minorHAnsi"/>
                <w:sz w:val="22"/>
              </w:rPr>
              <w:t xml:space="preserve">. </w:t>
            </w:r>
          </w:p>
        </w:tc>
      </w:tr>
      <w:tr w:rsidR="00312394" w:rsidRPr="00DD5DD9" w14:paraId="65532DC0" w14:textId="77777777" w:rsidTr="6A7B07D3">
        <w:trPr>
          <w:cantSplit/>
        </w:trPr>
        <w:tc>
          <w:tcPr>
            <w:tcW w:w="1627" w:type="dxa"/>
            <w:shd w:val="clear" w:color="auto" w:fill="DBE5F1" w:themeFill="accent1" w:themeFillTint="33"/>
          </w:tcPr>
          <w:p w14:paraId="52E71856" w14:textId="163027DD" w:rsidR="00312394" w:rsidRPr="00DD5DD9" w:rsidRDefault="00312394" w:rsidP="00312394">
            <w:pPr>
              <w:jc w:val="left"/>
              <w:rPr>
                <w:rFonts w:cstheme="minorHAnsi"/>
                <w:sz w:val="22"/>
              </w:rPr>
            </w:pPr>
            <w:r w:rsidRPr="00DD5DD9">
              <w:rPr>
                <w:rFonts w:cstheme="minorHAnsi"/>
                <w:sz w:val="22"/>
              </w:rPr>
              <w:t>Epidemiological Zone 2</w:t>
            </w:r>
          </w:p>
        </w:tc>
        <w:tc>
          <w:tcPr>
            <w:tcW w:w="7582" w:type="dxa"/>
          </w:tcPr>
          <w:p w14:paraId="069D8DBD" w14:textId="40A71727" w:rsidR="00312394" w:rsidRPr="00DD5DD9" w:rsidRDefault="00312394" w:rsidP="00312394">
            <w:pPr>
              <w:jc w:val="left"/>
              <w:rPr>
                <w:rFonts w:cstheme="minorHAnsi"/>
                <w:sz w:val="22"/>
              </w:rPr>
            </w:pPr>
            <w:r w:rsidRPr="00DD5DD9">
              <w:rPr>
                <w:rFonts w:cstheme="minorHAnsi"/>
                <w:sz w:val="22"/>
              </w:rPr>
              <w:t xml:space="preserve">May be used for new local outbreaks to identify links that cannot be confirmed epidemiologically. The aim in this epidemiological context is to </w:t>
            </w:r>
            <w:r w:rsidRPr="00DD5DD9">
              <w:rPr>
                <w:rFonts w:cstheme="minorHAnsi"/>
                <w:sz w:val="22"/>
                <w:u w:val="single"/>
              </w:rPr>
              <w:t>sequence every positive case. Some prioritising may be needed</w:t>
            </w:r>
            <w:r w:rsidRPr="00DD5DD9">
              <w:rPr>
                <w:rFonts w:cstheme="minorHAnsi"/>
                <w:sz w:val="22"/>
              </w:rPr>
              <w:t xml:space="preserve"> depending on capacity.</w:t>
            </w:r>
          </w:p>
        </w:tc>
      </w:tr>
      <w:tr w:rsidR="00312394" w:rsidRPr="00DD5DD9" w14:paraId="0AD1203F" w14:textId="77777777" w:rsidTr="6A7B07D3">
        <w:trPr>
          <w:cantSplit/>
        </w:trPr>
        <w:tc>
          <w:tcPr>
            <w:tcW w:w="1627" w:type="dxa"/>
            <w:shd w:val="clear" w:color="auto" w:fill="DBE5F1" w:themeFill="accent1" w:themeFillTint="33"/>
          </w:tcPr>
          <w:p w14:paraId="430F1164" w14:textId="595D5749" w:rsidR="00312394" w:rsidRPr="00DD5DD9" w:rsidRDefault="00312394" w:rsidP="00312394">
            <w:pPr>
              <w:jc w:val="left"/>
              <w:rPr>
                <w:rFonts w:cstheme="minorHAnsi"/>
                <w:sz w:val="22"/>
              </w:rPr>
            </w:pPr>
            <w:r w:rsidRPr="00DD5DD9">
              <w:rPr>
                <w:rFonts w:cstheme="minorHAnsi"/>
                <w:sz w:val="22"/>
              </w:rPr>
              <w:lastRenderedPageBreak/>
              <w:t>Epidemiological Zone 3</w:t>
            </w:r>
          </w:p>
        </w:tc>
        <w:tc>
          <w:tcPr>
            <w:tcW w:w="7582" w:type="dxa"/>
          </w:tcPr>
          <w:p w14:paraId="446574B8" w14:textId="5C400D98" w:rsidR="00312394" w:rsidRPr="00DD5DD9" w:rsidRDefault="00312394" w:rsidP="00312394">
            <w:pPr>
              <w:jc w:val="left"/>
              <w:rPr>
                <w:rFonts w:cstheme="minorHAnsi"/>
                <w:sz w:val="22"/>
              </w:rPr>
            </w:pPr>
            <w:r w:rsidRPr="00DD5DD9">
              <w:rPr>
                <w:rFonts w:cstheme="minorHAnsi"/>
                <w:sz w:val="22"/>
              </w:rPr>
              <w:t xml:space="preserve">To support the collection of timely and accurate information from SARS-CoV-2 genomic surveillance, including detection of variants in this epidemiological zone, the Communicable Diseases Genomics Network (CDGN)(an expert reference network of PHLN) has developed the </w:t>
            </w:r>
            <w:hyperlink r:id="rId28" w:history="1">
              <w:r w:rsidRPr="00DD5DD9">
                <w:rPr>
                  <w:rStyle w:val="Hyperlink"/>
                  <w:rFonts w:cstheme="minorHAnsi"/>
                  <w:i/>
                  <w:iCs/>
                  <w:sz w:val="22"/>
                </w:rPr>
                <w:t>Sampling strategy for SARS-CoV-2 genomic surveillance</w:t>
              </w:r>
            </w:hyperlink>
            <w:r w:rsidRPr="00DD5DD9">
              <w:rPr>
                <w:rFonts w:cstheme="minorHAnsi"/>
                <w:i/>
                <w:iCs/>
                <w:sz w:val="22"/>
              </w:rPr>
              <w:t xml:space="preserve"> </w:t>
            </w:r>
            <w:r w:rsidRPr="00DD5DD9">
              <w:rPr>
                <w:rFonts w:cstheme="minorHAnsi"/>
                <w:sz w:val="22"/>
              </w:rPr>
              <w:t>(the Strategy).</w:t>
            </w:r>
          </w:p>
          <w:p w14:paraId="1738E40B" w14:textId="62BD7648" w:rsidR="00312394" w:rsidRPr="00DD5DD9" w:rsidRDefault="00312394" w:rsidP="00312394">
            <w:pPr>
              <w:jc w:val="left"/>
              <w:rPr>
                <w:rFonts w:cstheme="minorHAnsi"/>
                <w:sz w:val="22"/>
              </w:rPr>
            </w:pPr>
            <w:r w:rsidRPr="00DD5DD9">
              <w:rPr>
                <w:rFonts w:cstheme="minorHAnsi"/>
                <w:sz w:val="22"/>
              </w:rPr>
              <w:t xml:space="preserve">The Strategy outlines an approach for genomic surveillance from </w:t>
            </w:r>
            <w:r w:rsidRPr="00DD5DD9">
              <w:rPr>
                <w:rFonts w:cstheme="minorHAnsi"/>
                <w:i/>
                <w:iCs/>
                <w:sz w:val="22"/>
              </w:rPr>
              <w:t>comprehensive sequencing</w:t>
            </w:r>
            <w:r w:rsidRPr="00DD5DD9">
              <w:rPr>
                <w:rFonts w:cstheme="minorHAnsi"/>
                <w:sz w:val="22"/>
              </w:rPr>
              <w:t xml:space="preserve"> (in Epidemiological Zones 1-2) to </w:t>
            </w:r>
            <w:r w:rsidRPr="00DD5DD9">
              <w:rPr>
                <w:rFonts w:cstheme="minorHAnsi"/>
                <w:i/>
                <w:iCs/>
                <w:sz w:val="22"/>
              </w:rPr>
              <w:t xml:space="preserve">selective and targeted sequencing </w:t>
            </w:r>
            <w:r w:rsidRPr="00DD5DD9">
              <w:rPr>
                <w:rFonts w:cstheme="minorHAnsi"/>
                <w:sz w:val="22"/>
              </w:rPr>
              <w:t>(in Epidemiological Zone 3</w:t>
            </w:r>
            <w:r w:rsidR="004D1CBB" w:rsidRPr="00DD5DD9">
              <w:rPr>
                <w:rFonts w:cstheme="minorHAnsi"/>
                <w:sz w:val="22"/>
              </w:rPr>
              <w:t>-4</w:t>
            </w:r>
            <w:r w:rsidRPr="00DD5DD9">
              <w:rPr>
                <w:rFonts w:cstheme="minorHAnsi"/>
                <w:sz w:val="22"/>
              </w:rPr>
              <w:t>), balancing the utility and cost of real-time SARS-CoV-2 genomic surveillance in the environment of the rapid spread of a dominant strain of the virus.</w:t>
            </w:r>
          </w:p>
          <w:p w14:paraId="341AFFB9" w14:textId="2ADD5E27" w:rsidR="00312394" w:rsidRPr="00DD5DD9" w:rsidRDefault="00312394" w:rsidP="00312394">
            <w:pPr>
              <w:jc w:val="left"/>
              <w:rPr>
                <w:rFonts w:cstheme="minorHAnsi"/>
                <w:sz w:val="22"/>
              </w:rPr>
            </w:pPr>
            <w:r w:rsidRPr="00DD5DD9">
              <w:rPr>
                <w:rFonts w:cstheme="minorHAnsi"/>
                <w:sz w:val="22"/>
              </w:rPr>
              <w:t>The aim in this epidemiological context should be to prioritise the sequencing of cases in line with the CDGN Strategy, depending on local capacity.</w:t>
            </w:r>
          </w:p>
        </w:tc>
      </w:tr>
      <w:tr w:rsidR="004D1CBB" w:rsidRPr="00DD5DD9" w14:paraId="092A854F" w14:textId="77777777" w:rsidTr="6A7B07D3">
        <w:trPr>
          <w:cantSplit/>
        </w:trPr>
        <w:tc>
          <w:tcPr>
            <w:tcW w:w="1627" w:type="dxa"/>
            <w:shd w:val="clear" w:color="auto" w:fill="DBE5F1" w:themeFill="accent1" w:themeFillTint="33"/>
          </w:tcPr>
          <w:p w14:paraId="07A9E667" w14:textId="7DB6F190" w:rsidR="004D1CBB" w:rsidRPr="00DD5DD9" w:rsidRDefault="5AAE1960" w:rsidP="6A7B07D3">
            <w:pPr>
              <w:jc w:val="left"/>
              <w:rPr>
                <w:rFonts w:cstheme="minorHAnsi"/>
                <w:sz w:val="22"/>
              </w:rPr>
            </w:pPr>
            <w:r w:rsidRPr="00DD5DD9">
              <w:rPr>
                <w:rFonts w:cstheme="minorHAnsi"/>
                <w:sz w:val="22"/>
              </w:rPr>
              <w:t>Epidemiological Zone 4</w:t>
            </w:r>
          </w:p>
          <w:p w14:paraId="031B9A00" w14:textId="0300EC5F" w:rsidR="004D1CBB" w:rsidRPr="00DD5DD9" w:rsidRDefault="004D1CBB" w:rsidP="6A7B07D3">
            <w:pPr>
              <w:jc w:val="left"/>
              <w:rPr>
                <w:rFonts w:eastAsia="Calibri" w:cstheme="minorHAnsi"/>
                <w:sz w:val="22"/>
              </w:rPr>
            </w:pPr>
          </w:p>
        </w:tc>
        <w:tc>
          <w:tcPr>
            <w:tcW w:w="7582" w:type="dxa"/>
          </w:tcPr>
          <w:p w14:paraId="7B15937A" w14:textId="77777777" w:rsidR="004D1CBB" w:rsidRPr="00DD5DD9" w:rsidRDefault="004D1CBB" w:rsidP="00312394">
            <w:pPr>
              <w:jc w:val="left"/>
              <w:rPr>
                <w:rFonts w:cstheme="minorHAnsi"/>
                <w:sz w:val="22"/>
              </w:rPr>
            </w:pPr>
            <w:r w:rsidRPr="00DD5DD9">
              <w:rPr>
                <w:rFonts w:cstheme="minorHAnsi"/>
                <w:sz w:val="22"/>
              </w:rPr>
              <w:t>As per Epidemiological Zone 3.</w:t>
            </w:r>
          </w:p>
          <w:p w14:paraId="54EFA8C6" w14:textId="077BBC19" w:rsidR="004D1CBB" w:rsidRPr="00DD5DD9" w:rsidRDefault="6AFCAE9E" w:rsidP="6A9820AC">
            <w:pPr>
              <w:jc w:val="left"/>
              <w:rPr>
                <w:rFonts w:cstheme="minorHAnsi"/>
                <w:sz w:val="22"/>
              </w:rPr>
            </w:pPr>
            <w:r w:rsidRPr="00DD5DD9">
              <w:rPr>
                <w:rFonts w:cstheme="minorHAnsi"/>
                <w:sz w:val="22"/>
              </w:rPr>
              <w:t xml:space="preserve">The aim in this epidemiological context should be to prioritise the sequencing of cases suspected of harbouring a new variant of </w:t>
            </w:r>
            <w:r w:rsidR="5252DBD3" w:rsidRPr="00DD5DD9">
              <w:rPr>
                <w:rFonts w:cstheme="minorHAnsi"/>
                <w:sz w:val="22"/>
              </w:rPr>
              <w:t xml:space="preserve">interest or </w:t>
            </w:r>
            <w:r w:rsidRPr="00DD5DD9">
              <w:rPr>
                <w:rFonts w:cstheme="minorHAnsi"/>
                <w:sz w:val="22"/>
              </w:rPr>
              <w:t>concern, in line with the CDGN Strategy</w:t>
            </w:r>
            <w:r w:rsidR="25FB9E20" w:rsidRPr="00DD5DD9">
              <w:rPr>
                <w:rFonts w:cstheme="minorHAnsi"/>
                <w:sz w:val="22"/>
              </w:rPr>
              <w:t xml:space="preserve"> (for example, international arrivals confirmed as being a positive case)</w:t>
            </w:r>
            <w:r w:rsidR="5252DBD3" w:rsidRPr="00DD5DD9">
              <w:rPr>
                <w:rFonts w:cstheme="minorHAnsi"/>
                <w:sz w:val="22"/>
              </w:rPr>
              <w:t>, monitor the prevalence of a given variant in the community and to monitor virus evolution in severely immunocompromised cases.</w:t>
            </w:r>
          </w:p>
        </w:tc>
      </w:tr>
      <w:tr w:rsidR="00312394" w:rsidRPr="00DD5DD9" w14:paraId="7DE87A1C" w14:textId="77777777" w:rsidTr="6A7B07D3">
        <w:trPr>
          <w:cantSplit/>
        </w:trPr>
        <w:tc>
          <w:tcPr>
            <w:tcW w:w="9209" w:type="dxa"/>
            <w:gridSpan w:val="2"/>
            <w:shd w:val="clear" w:color="auto" w:fill="8DB3E2" w:themeFill="text2" w:themeFillTint="66"/>
          </w:tcPr>
          <w:p w14:paraId="13CEC1AB" w14:textId="77777777" w:rsidR="00312394" w:rsidRPr="00DD5DD9" w:rsidRDefault="00312394" w:rsidP="00312394">
            <w:pPr>
              <w:rPr>
                <w:rFonts w:cstheme="minorHAnsi"/>
                <w:i/>
                <w:sz w:val="22"/>
              </w:rPr>
            </w:pPr>
            <w:r w:rsidRPr="00DD5DD9">
              <w:rPr>
                <w:rFonts w:cstheme="minorHAnsi"/>
                <w:i/>
                <w:sz w:val="22"/>
              </w:rPr>
              <w:t>Testing methodology</w:t>
            </w:r>
          </w:p>
        </w:tc>
      </w:tr>
      <w:tr w:rsidR="00312394" w:rsidRPr="00DD5DD9" w14:paraId="008B7232" w14:textId="77777777" w:rsidTr="6A7B07D3">
        <w:trPr>
          <w:cantSplit/>
        </w:trPr>
        <w:tc>
          <w:tcPr>
            <w:tcW w:w="9209" w:type="dxa"/>
            <w:gridSpan w:val="2"/>
          </w:tcPr>
          <w:p w14:paraId="5AA17ED4" w14:textId="77777777" w:rsidR="00312394" w:rsidRPr="00DD5DD9" w:rsidRDefault="00312394" w:rsidP="00312394">
            <w:pPr>
              <w:rPr>
                <w:rFonts w:cstheme="minorHAnsi"/>
                <w:b/>
                <w:sz w:val="22"/>
              </w:rPr>
            </w:pPr>
            <w:r w:rsidRPr="00DD5DD9">
              <w:rPr>
                <w:rFonts w:cstheme="minorHAnsi"/>
                <w:b/>
                <w:sz w:val="22"/>
              </w:rPr>
              <w:t>Wastewater testing (RT-PCR or genomic sequencing)</w:t>
            </w:r>
          </w:p>
        </w:tc>
      </w:tr>
      <w:tr w:rsidR="00312394" w:rsidRPr="00DD5DD9" w14:paraId="5624A75B" w14:textId="77777777" w:rsidTr="6A7B07D3">
        <w:trPr>
          <w:cantSplit/>
        </w:trPr>
        <w:tc>
          <w:tcPr>
            <w:tcW w:w="1627" w:type="dxa"/>
            <w:shd w:val="clear" w:color="auto" w:fill="DBE5F1" w:themeFill="accent1" w:themeFillTint="33"/>
          </w:tcPr>
          <w:p w14:paraId="00A8A037" w14:textId="66B36F77" w:rsidR="00312394" w:rsidRPr="00DD5DD9" w:rsidRDefault="00312394" w:rsidP="00312394">
            <w:pPr>
              <w:jc w:val="left"/>
              <w:rPr>
                <w:rFonts w:cstheme="minorHAnsi"/>
                <w:sz w:val="22"/>
              </w:rPr>
            </w:pPr>
            <w:r w:rsidRPr="00DD5DD9">
              <w:rPr>
                <w:rFonts w:cstheme="minorHAnsi"/>
                <w:sz w:val="22"/>
              </w:rPr>
              <w:t>Epidemiological Zone 1</w:t>
            </w:r>
          </w:p>
        </w:tc>
        <w:tc>
          <w:tcPr>
            <w:tcW w:w="7582" w:type="dxa"/>
          </w:tcPr>
          <w:p w14:paraId="60170C5C" w14:textId="0971C13C" w:rsidR="00312394" w:rsidRPr="00DD5DD9" w:rsidRDefault="00312394" w:rsidP="00312394">
            <w:pPr>
              <w:jc w:val="left"/>
              <w:rPr>
                <w:rFonts w:cstheme="minorHAnsi"/>
                <w:sz w:val="22"/>
              </w:rPr>
            </w:pPr>
            <w:r w:rsidRPr="00DD5DD9">
              <w:rPr>
                <w:rFonts w:cstheme="minorHAnsi"/>
                <w:sz w:val="22"/>
              </w:rPr>
              <w:t>To detect the presence of SARS-CoV-2 in the community, as a way to indicate whether COVID-19 has truly been contained in an area and/or as an additional source of information to support decision-making about whether to adjust public health measures and directions.</w:t>
            </w:r>
            <w:r w:rsidRPr="00DD5DD9">
              <w:rPr>
                <w:rFonts w:cstheme="minorHAnsi"/>
                <w:sz w:val="22"/>
                <w:vertAlign w:val="superscript"/>
              </w:rPr>
              <w:footnoteReference w:id="11"/>
            </w:r>
            <w:r w:rsidRPr="00DD5DD9">
              <w:rPr>
                <w:rFonts w:cstheme="minorHAnsi"/>
                <w:sz w:val="22"/>
              </w:rPr>
              <w:t xml:space="preserve"> The </w:t>
            </w:r>
            <w:r w:rsidRPr="00DD5DD9">
              <w:rPr>
                <w:rFonts w:cstheme="minorHAnsi"/>
                <w:i/>
                <w:iCs/>
                <w:sz w:val="22"/>
              </w:rPr>
              <w:t>National SARS-CoV-2 Wastewater Surveillance Operational Guidance</w:t>
            </w:r>
            <w:r w:rsidRPr="00DD5DD9">
              <w:rPr>
                <w:rStyle w:val="FootnoteReference"/>
                <w:rFonts w:cstheme="minorHAnsi"/>
                <w:i/>
                <w:iCs/>
                <w:sz w:val="22"/>
              </w:rPr>
              <w:footnoteReference w:id="12"/>
            </w:r>
            <w:r w:rsidRPr="00DD5DD9">
              <w:rPr>
                <w:rFonts w:cstheme="minorHAnsi"/>
                <w:sz w:val="22"/>
              </w:rPr>
              <w:t xml:space="preserve"> details how wastewater epidemiology adds to SARS-CoV-2 surveillance and informs public health actions at the jurisdictional and national levels.</w:t>
            </w:r>
          </w:p>
          <w:p w14:paraId="45F0CA0B" w14:textId="77777777" w:rsidR="00312394" w:rsidRPr="00DD5DD9" w:rsidRDefault="00312394" w:rsidP="00312394">
            <w:pPr>
              <w:jc w:val="left"/>
              <w:rPr>
                <w:rFonts w:cstheme="minorHAnsi"/>
                <w:sz w:val="22"/>
              </w:rPr>
            </w:pPr>
            <w:r w:rsidRPr="00DD5DD9">
              <w:rPr>
                <w:rFonts w:cstheme="minorHAnsi"/>
                <w:sz w:val="22"/>
              </w:rPr>
              <w:t xml:space="preserve">Use wastewater testing in this context for early warning, particularly of clusters or outbreaks in areas that have contained transmission and are easing public health restrictions. </w:t>
            </w:r>
          </w:p>
          <w:p w14:paraId="6F421B77" w14:textId="6C0EBDB6" w:rsidR="00312394" w:rsidRPr="00DD5DD9" w:rsidRDefault="00312394" w:rsidP="00312394">
            <w:pPr>
              <w:jc w:val="left"/>
              <w:rPr>
                <w:rFonts w:cstheme="minorHAnsi"/>
                <w:sz w:val="22"/>
              </w:rPr>
            </w:pPr>
            <w:r w:rsidRPr="00DD5DD9">
              <w:rPr>
                <w:rFonts w:cstheme="minorHAnsi"/>
                <w:sz w:val="22"/>
              </w:rPr>
              <w:t>Wastewater testing is done by RT-PCR and genome sequencing, mainly outside of clinical diagnostic laboratories.</w:t>
            </w:r>
          </w:p>
        </w:tc>
      </w:tr>
      <w:tr w:rsidR="00312394" w:rsidRPr="00DD5DD9" w14:paraId="68E0A61D" w14:textId="77777777" w:rsidTr="6A7B07D3">
        <w:trPr>
          <w:cantSplit/>
        </w:trPr>
        <w:tc>
          <w:tcPr>
            <w:tcW w:w="1627" w:type="dxa"/>
            <w:shd w:val="clear" w:color="auto" w:fill="DBE5F1" w:themeFill="accent1" w:themeFillTint="33"/>
          </w:tcPr>
          <w:p w14:paraId="5735231A" w14:textId="715D2EB0" w:rsidR="00312394" w:rsidRPr="00DD5DD9" w:rsidRDefault="00312394" w:rsidP="00312394">
            <w:pPr>
              <w:jc w:val="left"/>
              <w:rPr>
                <w:rFonts w:cstheme="minorHAnsi"/>
                <w:sz w:val="22"/>
              </w:rPr>
            </w:pPr>
            <w:r w:rsidRPr="00DD5DD9">
              <w:rPr>
                <w:rFonts w:cstheme="minorHAnsi"/>
                <w:sz w:val="22"/>
              </w:rPr>
              <w:t>Epidemiological Zone 2</w:t>
            </w:r>
          </w:p>
        </w:tc>
        <w:tc>
          <w:tcPr>
            <w:tcW w:w="7582" w:type="dxa"/>
          </w:tcPr>
          <w:p w14:paraId="2C907C81" w14:textId="2D2EC613" w:rsidR="00312394" w:rsidRPr="00DD5DD9" w:rsidRDefault="00312394" w:rsidP="00312394">
            <w:pPr>
              <w:jc w:val="left"/>
              <w:rPr>
                <w:rFonts w:cstheme="minorHAnsi"/>
                <w:sz w:val="22"/>
              </w:rPr>
            </w:pPr>
            <w:r w:rsidRPr="00DD5DD9">
              <w:rPr>
                <w:rFonts w:cstheme="minorHAnsi"/>
                <w:sz w:val="22"/>
              </w:rPr>
              <w:t>For screening around a localised outbreak area, detecting new outbreak areas or screening specific risk settings in a localised outbreak area for example residential aged care facilities (RACF), detention facilities, and public housing.</w:t>
            </w:r>
          </w:p>
          <w:p w14:paraId="3E053575" w14:textId="76719606" w:rsidR="00312394" w:rsidRPr="00DD5DD9" w:rsidRDefault="00312394" w:rsidP="00312394">
            <w:pPr>
              <w:rPr>
                <w:rFonts w:cstheme="minorHAnsi"/>
                <w:sz w:val="22"/>
              </w:rPr>
            </w:pPr>
            <w:r w:rsidRPr="00DD5DD9">
              <w:rPr>
                <w:rFonts w:cstheme="minorHAnsi"/>
                <w:sz w:val="22"/>
              </w:rPr>
              <w:t>May have some limited use at the community level in these areas, but considered less useful than in Epidemiological Zone 1.</w:t>
            </w:r>
          </w:p>
        </w:tc>
      </w:tr>
      <w:tr w:rsidR="00312394" w:rsidRPr="00DD5DD9" w14:paraId="1DBCC3D3" w14:textId="77777777" w:rsidTr="6A7B07D3">
        <w:trPr>
          <w:cantSplit/>
        </w:trPr>
        <w:tc>
          <w:tcPr>
            <w:tcW w:w="1627" w:type="dxa"/>
            <w:shd w:val="clear" w:color="auto" w:fill="DBE5F1" w:themeFill="accent1" w:themeFillTint="33"/>
          </w:tcPr>
          <w:p w14:paraId="0D5193DC" w14:textId="704EEE5B" w:rsidR="00312394" w:rsidRPr="00DD5DD9" w:rsidRDefault="00312394" w:rsidP="00312394">
            <w:pPr>
              <w:jc w:val="left"/>
              <w:rPr>
                <w:rFonts w:cstheme="minorHAnsi"/>
                <w:sz w:val="22"/>
              </w:rPr>
            </w:pPr>
            <w:r w:rsidRPr="00DD5DD9">
              <w:rPr>
                <w:rFonts w:cstheme="minorHAnsi"/>
                <w:sz w:val="22"/>
              </w:rPr>
              <w:t>Epidemiological Zone 3</w:t>
            </w:r>
          </w:p>
        </w:tc>
        <w:tc>
          <w:tcPr>
            <w:tcW w:w="7582" w:type="dxa"/>
          </w:tcPr>
          <w:p w14:paraId="0DA212ED" w14:textId="3F1681AE" w:rsidR="00312394" w:rsidRPr="00DD5DD9" w:rsidRDefault="00312394" w:rsidP="00312394">
            <w:pPr>
              <w:rPr>
                <w:rFonts w:cstheme="minorHAnsi"/>
                <w:sz w:val="22"/>
              </w:rPr>
            </w:pPr>
            <w:r w:rsidRPr="00DD5DD9">
              <w:rPr>
                <w:rFonts w:cstheme="minorHAnsi"/>
                <w:sz w:val="22"/>
              </w:rPr>
              <w:t>May have some limited utility at the community level in these areas but considered less useful than in Epidemiological Zone 2. In this context, there may be sufficient genomic material to enable more successful whole genome sequencing from wastewater to help monitor for genomic variations as the outbreak evolves.</w:t>
            </w:r>
          </w:p>
        </w:tc>
      </w:tr>
      <w:tr w:rsidR="00312394" w:rsidRPr="00DD5DD9" w14:paraId="7116B012" w14:textId="77777777" w:rsidTr="6A7B07D3">
        <w:trPr>
          <w:cantSplit/>
        </w:trPr>
        <w:tc>
          <w:tcPr>
            <w:tcW w:w="1627" w:type="dxa"/>
            <w:shd w:val="clear" w:color="auto" w:fill="DBE5F1" w:themeFill="accent1" w:themeFillTint="33"/>
          </w:tcPr>
          <w:p w14:paraId="31557142" w14:textId="2B94F451" w:rsidR="00312394" w:rsidRPr="00DD5DD9" w:rsidRDefault="00312394" w:rsidP="00312394">
            <w:pPr>
              <w:jc w:val="left"/>
              <w:rPr>
                <w:rFonts w:cstheme="minorHAnsi"/>
                <w:sz w:val="22"/>
              </w:rPr>
            </w:pPr>
            <w:r w:rsidRPr="00DD5DD9">
              <w:rPr>
                <w:rFonts w:cstheme="minorHAnsi"/>
                <w:sz w:val="22"/>
              </w:rPr>
              <w:lastRenderedPageBreak/>
              <w:t>Epidemiological Zone 4</w:t>
            </w:r>
          </w:p>
        </w:tc>
        <w:tc>
          <w:tcPr>
            <w:tcW w:w="7582" w:type="dxa"/>
          </w:tcPr>
          <w:p w14:paraId="35E6C4BF" w14:textId="1167E7EC" w:rsidR="00312394" w:rsidRPr="00DD5DD9" w:rsidRDefault="1752C2FA" w:rsidP="0B9EBA93">
            <w:pPr>
              <w:rPr>
                <w:rFonts w:cstheme="minorHAnsi"/>
                <w:sz w:val="22"/>
              </w:rPr>
            </w:pPr>
            <w:r w:rsidRPr="00DD5DD9">
              <w:rPr>
                <w:rFonts w:cstheme="minorHAnsi"/>
                <w:sz w:val="22"/>
              </w:rPr>
              <w:t>Not recommended</w:t>
            </w:r>
            <w:r w:rsidR="0E58E035" w:rsidRPr="00DD5DD9">
              <w:rPr>
                <w:rFonts w:cstheme="minorHAnsi"/>
                <w:sz w:val="22"/>
              </w:rPr>
              <w:t xml:space="preserve"> except </w:t>
            </w:r>
            <w:r w:rsidRPr="00DD5DD9">
              <w:rPr>
                <w:rFonts w:cstheme="minorHAnsi"/>
                <w:sz w:val="22"/>
              </w:rPr>
              <w:t xml:space="preserve">in </w:t>
            </w:r>
            <w:r w:rsidR="1A5CA0EA" w:rsidRPr="00DD5DD9">
              <w:rPr>
                <w:rFonts w:cstheme="minorHAnsi"/>
                <w:sz w:val="22"/>
              </w:rPr>
              <w:t>specific use cases, such as</w:t>
            </w:r>
            <w:r w:rsidRPr="00DD5DD9">
              <w:rPr>
                <w:rFonts w:cstheme="minorHAnsi"/>
                <w:sz w:val="22"/>
              </w:rPr>
              <w:t xml:space="preserve"> to</w:t>
            </w:r>
            <w:r w:rsidR="0E58E035" w:rsidRPr="00DD5DD9">
              <w:rPr>
                <w:rFonts w:cstheme="minorHAnsi"/>
                <w:sz w:val="22"/>
              </w:rPr>
              <w:t xml:space="preserve"> detec</w:t>
            </w:r>
            <w:r w:rsidRPr="00DD5DD9">
              <w:rPr>
                <w:rFonts w:cstheme="minorHAnsi"/>
                <w:sz w:val="22"/>
              </w:rPr>
              <w:t xml:space="preserve">t </w:t>
            </w:r>
            <w:r w:rsidR="0E58E035" w:rsidRPr="00DD5DD9">
              <w:rPr>
                <w:rFonts w:cstheme="minorHAnsi"/>
                <w:sz w:val="22"/>
              </w:rPr>
              <w:t>emerging variants of concern</w:t>
            </w:r>
            <w:r w:rsidR="29078011" w:rsidRPr="00DD5DD9">
              <w:rPr>
                <w:rFonts w:cstheme="minorHAnsi"/>
                <w:sz w:val="22"/>
              </w:rPr>
              <w:t xml:space="preserve"> in jurisdictions with the capability to do so</w:t>
            </w:r>
            <w:r w:rsidRPr="00DD5DD9">
              <w:rPr>
                <w:rFonts w:cstheme="minorHAnsi"/>
                <w:sz w:val="22"/>
              </w:rPr>
              <w:t>.</w:t>
            </w:r>
          </w:p>
        </w:tc>
      </w:tr>
    </w:tbl>
    <w:p w14:paraId="476F11FE" w14:textId="58B9F017" w:rsidR="00CA1E16" w:rsidRPr="00DD5DD9" w:rsidRDefault="00CA1E16" w:rsidP="00CA1E16"/>
    <w:p w14:paraId="664506C0" w14:textId="77777777" w:rsidR="00667F03" w:rsidRPr="00DD5DD9" w:rsidRDefault="00667F03" w:rsidP="005A3D38">
      <w:pPr>
        <w:pStyle w:val="Heading1"/>
      </w:pPr>
      <w:bookmarkStart w:id="96" w:name="_Toc93492884"/>
      <w:r w:rsidRPr="00DD5DD9">
        <w:t>Workplace surveillance</w:t>
      </w:r>
      <w:bookmarkEnd w:id="96"/>
    </w:p>
    <w:p w14:paraId="0120CE7E" w14:textId="77777777" w:rsidR="00667F03" w:rsidRPr="00DD5DD9" w:rsidRDefault="00667F03" w:rsidP="00667F03">
      <w:pPr>
        <w:pStyle w:val="ListParagraph"/>
        <w:numPr>
          <w:ilvl w:val="0"/>
          <w:numId w:val="0"/>
        </w:numPr>
        <w:spacing w:after="160" w:line="259" w:lineRule="auto"/>
        <w:jc w:val="left"/>
        <w:rPr>
          <w:rFonts w:cs="Calibri Light"/>
        </w:rPr>
      </w:pPr>
      <w:r w:rsidRPr="00DD5DD9">
        <w:rPr>
          <w:rFonts w:cs="Calibri Light"/>
        </w:rPr>
        <w:t>COVID-19 screening by testing is one element of a suite of PHSM that may protect business continuity and allow potential COVID-19 cases</w:t>
      </w:r>
      <w:r w:rsidRPr="00DD5DD9" w:rsidDel="00A11AC5">
        <w:rPr>
          <w:rFonts w:cs="Calibri Light"/>
        </w:rPr>
        <w:t xml:space="preserve"> </w:t>
      </w:r>
      <w:r w:rsidRPr="00DD5DD9">
        <w:rPr>
          <w:rFonts w:cs="Calibri Light"/>
        </w:rPr>
        <w:t>to be identified early.</w:t>
      </w:r>
    </w:p>
    <w:p w14:paraId="629E69F9" w14:textId="1B73E648" w:rsidR="00667F03" w:rsidRPr="00DD5DD9" w:rsidRDefault="00667F03" w:rsidP="00667F03">
      <w:pPr>
        <w:jc w:val="left"/>
      </w:pPr>
      <w:r w:rsidRPr="00DD5DD9">
        <w:t>CDNA, PHLN and the Australian Health Protection Principal Committee (AHPPC) recommend regular asymptomatic testing of staff working in areas that places them at an increased risk of exposure to SARS-CoV-2</w:t>
      </w:r>
      <w:r w:rsidR="00AF1E3D" w:rsidRPr="00DD5DD9">
        <w:t xml:space="preserve"> in Epidemiological Zones 1 to 3</w:t>
      </w:r>
      <w:r w:rsidRPr="00DD5DD9">
        <w:t>. For example, COVID-19 quarantine facilities and high-risk healthcare settings</w:t>
      </w:r>
      <w:r w:rsidRPr="00DD5DD9">
        <w:rPr>
          <w:rStyle w:val="FootnoteReference"/>
        </w:rPr>
        <w:footnoteReference w:id="13"/>
      </w:r>
      <w:r w:rsidRPr="00DD5DD9">
        <w:t>. This will support and protect the wellbeing of staff and the wider community.</w:t>
      </w:r>
    </w:p>
    <w:p w14:paraId="72546A1E" w14:textId="2FCF5184" w:rsidR="00667F03" w:rsidRPr="00DD5DD9" w:rsidRDefault="005A3D38" w:rsidP="00667F03">
      <w:pPr>
        <w:jc w:val="left"/>
      </w:pPr>
      <w:r w:rsidRPr="00DD5DD9">
        <w:t xml:space="preserve">Several </w:t>
      </w:r>
      <w:r w:rsidR="00667F03" w:rsidRPr="00DD5DD9">
        <w:t xml:space="preserve">industries </w:t>
      </w:r>
      <w:r w:rsidRPr="00DD5DD9">
        <w:t>have</w:t>
      </w:r>
      <w:r w:rsidR="00667F03" w:rsidRPr="00DD5DD9">
        <w:t xml:space="preserve"> introduce</w:t>
      </w:r>
      <w:r w:rsidRPr="00DD5DD9">
        <w:t>d</w:t>
      </w:r>
      <w:r w:rsidR="00667F03" w:rsidRPr="00DD5DD9">
        <w:t xml:space="preserve"> programs for COVID-19 testing</w:t>
      </w:r>
      <w:r w:rsidR="00213CE1" w:rsidRPr="00DD5DD9">
        <w:t xml:space="preserve"> of</w:t>
      </w:r>
      <w:r w:rsidR="00667F03" w:rsidRPr="00DD5DD9">
        <w:t xml:space="preserve"> staff</w:t>
      </w:r>
      <w:r w:rsidR="00213CE1" w:rsidRPr="00DD5DD9">
        <w:t xml:space="preserve"> as a screening measure</w:t>
      </w:r>
      <w:r w:rsidR="00667F03" w:rsidRPr="00DD5DD9">
        <w:t xml:space="preserve"> to:</w:t>
      </w:r>
    </w:p>
    <w:p w14:paraId="2B780573" w14:textId="77777777" w:rsidR="00667F03" w:rsidRPr="00DD5DD9" w:rsidRDefault="00667F03" w:rsidP="00667F03">
      <w:pPr>
        <w:pStyle w:val="ListParagraph"/>
        <w:numPr>
          <w:ilvl w:val="0"/>
          <w:numId w:val="46"/>
        </w:numPr>
        <w:jc w:val="left"/>
      </w:pPr>
      <w:r w:rsidRPr="00DD5DD9">
        <w:t xml:space="preserve">ensure staff and customer safety and </w:t>
      </w:r>
    </w:p>
    <w:p w14:paraId="3675CCB1" w14:textId="77777777" w:rsidR="00667F03" w:rsidRPr="00DD5DD9" w:rsidRDefault="00667F03" w:rsidP="00667F03">
      <w:pPr>
        <w:pStyle w:val="ListParagraph"/>
        <w:numPr>
          <w:ilvl w:val="0"/>
          <w:numId w:val="46"/>
        </w:numPr>
        <w:jc w:val="left"/>
      </w:pPr>
      <w:r w:rsidRPr="00DD5DD9">
        <w:t>reduce the risk of COVID-19 being introduced into the workplace as a business continuity measure.</w:t>
      </w:r>
    </w:p>
    <w:p w14:paraId="3E6026C2" w14:textId="2F7CBC50" w:rsidR="00667F03" w:rsidRPr="00DD5DD9" w:rsidRDefault="00667F03" w:rsidP="00667F03">
      <w:pPr>
        <w:jc w:val="left"/>
        <w:rPr>
          <w:rFonts w:cs="Calibri"/>
          <w:sz w:val="22"/>
        </w:rPr>
      </w:pPr>
      <w:r w:rsidRPr="00DD5DD9">
        <w:t xml:space="preserve">This testing framework outlines where screening testing is best targeted to inform the public health response, based on four Epidemiological Zones (Section </w:t>
      </w:r>
      <w:r w:rsidR="00B77E53" w:rsidRPr="00DD5DD9">
        <w:t>3</w:t>
      </w:r>
      <w:r w:rsidRPr="00DD5DD9">
        <w:t>).</w:t>
      </w:r>
    </w:p>
    <w:p w14:paraId="09BBC688" w14:textId="77777777" w:rsidR="00667F03" w:rsidRPr="00DD5DD9" w:rsidRDefault="00667F03" w:rsidP="00667F03">
      <w:pPr>
        <w:tabs>
          <w:tab w:val="left" w:pos="2127"/>
        </w:tabs>
        <w:jc w:val="left"/>
      </w:pPr>
      <w:r w:rsidRPr="00DD5DD9">
        <w:t>There are critical principles and requirements that employers should consider before deciding to start a COVID-19 employee testing program outside of public health-led testing programs. Importantly, a COVID-19 employee testing program should be part of a suite of measures to ensure a complete approach to COVIDSAFE business continuity planning.</w:t>
      </w:r>
    </w:p>
    <w:p w14:paraId="03BC1206" w14:textId="77777777" w:rsidR="00667F03" w:rsidRPr="00DD5DD9" w:rsidRDefault="00667F03" w:rsidP="00667F03">
      <w:pPr>
        <w:spacing w:after="160" w:line="259" w:lineRule="auto"/>
        <w:jc w:val="left"/>
      </w:pPr>
      <w:r w:rsidRPr="00DD5DD9">
        <w:t>Employers without in-house expertise should consult with relevant health experts to develop targeted workplace screening approaches, including staff testing programs. Employers need to consider, at minimum:</w:t>
      </w:r>
    </w:p>
    <w:p w14:paraId="610C0FA6" w14:textId="77777777" w:rsidR="00667F03" w:rsidRPr="00DD5DD9" w:rsidRDefault="00667F03" w:rsidP="00667F03">
      <w:pPr>
        <w:pStyle w:val="ListParagraph"/>
        <w:numPr>
          <w:ilvl w:val="0"/>
          <w:numId w:val="41"/>
        </w:numPr>
        <w:tabs>
          <w:tab w:val="left" w:pos="2127"/>
        </w:tabs>
        <w:jc w:val="left"/>
      </w:pPr>
      <w:r w:rsidRPr="00DD5DD9">
        <w:t>how the testing program will be carried out, including who will run the program and be responsible for the capture and secure reporting of results to the executive and, if requested, to public health authorities (if not laboratory-based)</w:t>
      </w:r>
    </w:p>
    <w:p w14:paraId="26C1383C" w14:textId="77777777" w:rsidR="00667F03" w:rsidRPr="00DD5DD9" w:rsidRDefault="00667F03" w:rsidP="00667F03">
      <w:pPr>
        <w:pStyle w:val="ListParagraph"/>
        <w:numPr>
          <w:ilvl w:val="0"/>
          <w:numId w:val="41"/>
        </w:numPr>
        <w:tabs>
          <w:tab w:val="left" w:pos="2127"/>
        </w:tabs>
        <w:jc w:val="left"/>
      </w:pPr>
      <w:r w:rsidRPr="00DD5DD9">
        <w:t>whether self-testing at home before work is a suitable approach and whether there is a need to capture and verify results</w:t>
      </w:r>
    </w:p>
    <w:p w14:paraId="5D9722F9" w14:textId="77777777" w:rsidR="00667F03" w:rsidRPr="00DD5DD9" w:rsidRDefault="00667F03" w:rsidP="00667F03">
      <w:pPr>
        <w:pStyle w:val="ListParagraph"/>
        <w:numPr>
          <w:ilvl w:val="0"/>
          <w:numId w:val="41"/>
        </w:numPr>
        <w:tabs>
          <w:tab w:val="left" w:pos="2127"/>
        </w:tabs>
        <w:jc w:val="left"/>
      </w:pPr>
      <w:r w:rsidRPr="00DD5DD9">
        <w:t>who will be tested and how often will they be tested</w:t>
      </w:r>
    </w:p>
    <w:p w14:paraId="0A2587BF" w14:textId="77777777" w:rsidR="00667F03" w:rsidRPr="00DD5DD9" w:rsidRDefault="00667F03" w:rsidP="00667F03">
      <w:pPr>
        <w:pStyle w:val="ListParagraph"/>
        <w:numPr>
          <w:ilvl w:val="0"/>
          <w:numId w:val="41"/>
        </w:numPr>
        <w:tabs>
          <w:tab w:val="left" w:pos="2127"/>
        </w:tabs>
        <w:jc w:val="left"/>
      </w:pPr>
      <w:r w:rsidRPr="00DD5DD9">
        <w:t>local public health reporting and investigation protocols</w:t>
      </w:r>
    </w:p>
    <w:p w14:paraId="5CD56355" w14:textId="77777777" w:rsidR="00667F03" w:rsidRPr="00DD5DD9" w:rsidRDefault="00667F03" w:rsidP="00667F03">
      <w:pPr>
        <w:pStyle w:val="ListParagraph"/>
        <w:numPr>
          <w:ilvl w:val="0"/>
          <w:numId w:val="41"/>
        </w:numPr>
        <w:tabs>
          <w:tab w:val="left" w:pos="2127"/>
        </w:tabs>
        <w:jc w:val="left"/>
      </w:pPr>
      <w:r w:rsidRPr="00DD5DD9">
        <w:t>how employers will manage testing of staff who are on leave or off shift</w:t>
      </w:r>
    </w:p>
    <w:p w14:paraId="01508F85" w14:textId="77777777" w:rsidR="00667F03" w:rsidRPr="00DD5DD9" w:rsidRDefault="00667F03" w:rsidP="00667F03">
      <w:pPr>
        <w:pStyle w:val="ListParagraph"/>
        <w:numPr>
          <w:ilvl w:val="0"/>
          <w:numId w:val="41"/>
        </w:numPr>
        <w:jc w:val="left"/>
      </w:pPr>
      <w:r w:rsidRPr="00DD5DD9">
        <w:t>what type of screening test or testing platform(s) will be used, for example, self-testing, point of care or laboratory-based (for advice on suitable testing technology and methodology for each Epidemiological Zone, please refer to Section 6)</w:t>
      </w:r>
    </w:p>
    <w:p w14:paraId="0A9E9A6A" w14:textId="77777777" w:rsidR="00667F03" w:rsidRPr="00DD5DD9" w:rsidRDefault="00667F03" w:rsidP="00667F03">
      <w:pPr>
        <w:pStyle w:val="ListParagraph"/>
        <w:numPr>
          <w:ilvl w:val="0"/>
          <w:numId w:val="41"/>
        </w:numPr>
        <w:tabs>
          <w:tab w:val="left" w:pos="2127"/>
        </w:tabs>
        <w:spacing w:after="160" w:line="259" w:lineRule="auto"/>
        <w:jc w:val="left"/>
      </w:pPr>
      <w:r w:rsidRPr="00DD5DD9">
        <w:t>identifying staff with COVID-19 compatible symptoms so they can be appropriately managed</w:t>
      </w:r>
    </w:p>
    <w:p w14:paraId="019697B9" w14:textId="77777777" w:rsidR="00667F03" w:rsidRPr="00DD5DD9" w:rsidRDefault="00667F03" w:rsidP="00667F03">
      <w:pPr>
        <w:pStyle w:val="ListParagraph"/>
        <w:numPr>
          <w:ilvl w:val="0"/>
          <w:numId w:val="41"/>
        </w:numPr>
        <w:tabs>
          <w:tab w:val="left" w:pos="2127"/>
        </w:tabs>
        <w:spacing w:after="160" w:line="259" w:lineRule="auto"/>
        <w:jc w:val="left"/>
      </w:pPr>
      <w:r w:rsidRPr="00DD5DD9">
        <w:lastRenderedPageBreak/>
        <w:t>if using non-laboratory-based point-of-care tests, how positive detections (sometimes referred to as a non-negative detection) on screening tests will be managed</w:t>
      </w:r>
    </w:p>
    <w:p w14:paraId="09475091" w14:textId="77777777" w:rsidR="00667F03" w:rsidRPr="00DD5DD9" w:rsidRDefault="00667F03" w:rsidP="00667F03">
      <w:pPr>
        <w:pStyle w:val="ListParagraph"/>
        <w:numPr>
          <w:ilvl w:val="0"/>
          <w:numId w:val="41"/>
        </w:numPr>
        <w:tabs>
          <w:tab w:val="left" w:pos="2127"/>
        </w:tabs>
        <w:jc w:val="left"/>
      </w:pPr>
      <w:r w:rsidRPr="00DD5DD9">
        <w:t>how to manage staff rights such as safety, leave entitlements and privacy</w:t>
      </w:r>
    </w:p>
    <w:p w14:paraId="0FEA76ED" w14:textId="77777777" w:rsidR="00667F03" w:rsidRPr="00DD5DD9" w:rsidRDefault="00667F03" w:rsidP="00667F03">
      <w:pPr>
        <w:pStyle w:val="ListParagraph"/>
        <w:numPr>
          <w:ilvl w:val="0"/>
          <w:numId w:val="41"/>
        </w:numPr>
        <w:tabs>
          <w:tab w:val="left" w:pos="2127"/>
        </w:tabs>
        <w:jc w:val="left"/>
      </w:pPr>
      <w:r w:rsidRPr="00DD5DD9">
        <w:t>financial implications for employers</w:t>
      </w:r>
    </w:p>
    <w:p w14:paraId="30E117D3" w14:textId="77777777" w:rsidR="00667F03" w:rsidRPr="00DD5DD9" w:rsidRDefault="00667F03" w:rsidP="00667F03">
      <w:pPr>
        <w:pStyle w:val="ListParagraph"/>
        <w:numPr>
          <w:ilvl w:val="0"/>
          <w:numId w:val="41"/>
        </w:numPr>
        <w:tabs>
          <w:tab w:val="left" w:pos="2127"/>
        </w:tabs>
        <w:jc w:val="left"/>
      </w:pPr>
      <w:r w:rsidRPr="00DD5DD9">
        <w:t>communication and process for standing up and standing down the workplace testing program and</w:t>
      </w:r>
    </w:p>
    <w:p w14:paraId="465BB632" w14:textId="77777777" w:rsidR="00667F03" w:rsidRPr="00DD5DD9" w:rsidRDefault="00667F03" w:rsidP="00667F03">
      <w:pPr>
        <w:pStyle w:val="ListParagraph"/>
        <w:numPr>
          <w:ilvl w:val="0"/>
          <w:numId w:val="41"/>
        </w:numPr>
        <w:tabs>
          <w:tab w:val="left" w:pos="2127"/>
        </w:tabs>
        <w:jc w:val="left"/>
      </w:pPr>
      <w:r w:rsidRPr="00DD5DD9">
        <w:t>whether the testing program will be voluntary or mandatory.</w:t>
      </w:r>
    </w:p>
    <w:p w14:paraId="47696D03" w14:textId="77777777" w:rsidR="00667F03" w:rsidRPr="00DD5DD9" w:rsidRDefault="00667F03" w:rsidP="00667F03">
      <w:pPr>
        <w:tabs>
          <w:tab w:val="left" w:pos="2127"/>
        </w:tabs>
        <w:jc w:val="left"/>
      </w:pPr>
      <w:r w:rsidRPr="00DD5DD9">
        <w:t xml:space="preserve">Widespread low priority testing may increase laboratory turnaround times (TAT) for high priority testing. If there are laboratory capability and capacity constraints, suspend routine COVID-19 employee testing programs that rely on laboratory-based testing. </w:t>
      </w:r>
    </w:p>
    <w:p w14:paraId="3287E58E" w14:textId="03FC7116" w:rsidR="00667F03" w:rsidRPr="00DD5DD9" w:rsidRDefault="00667F03" w:rsidP="00213CE1">
      <w:pPr>
        <w:tabs>
          <w:tab w:val="left" w:pos="2127"/>
        </w:tabs>
        <w:spacing w:after="0"/>
        <w:jc w:val="left"/>
      </w:pPr>
      <w:r w:rsidRPr="00DD5DD9">
        <w:t>Where supply chain shortages exist for rapid antigen tests, similar consideration should be given to suspend low priority testing using rapid antigen tests.</w:t>
      </w:r>
    </w:p>
    <w:p w14:paraId="168A47F0" w14:textId="77777777" w:rsidR="00224106" w:rsidRPr="00224106" w:rsidRDefault="00224106" w:rsidP="00224106">
      <w:pPr>
        <w:pStyle w:val="Heading1"/>
        <w:spacing w:before="240"/>
      </w:pPr>
      <w:r w:rsidRPr="00224106">
        <w:t>Testing reimbursements</w:t>
      </w:r>
    </w:p>
    <w:p w14:paraId="51F6730A" w14:textId="77777777" w:rsidR="00224106" w:rsidRPr="00224106" w:rsidRDefault="00224106" w:rsidP="00224106">
      <w:pPr>
        <w:tabs>
          <w:tab w:val="left" w:pos="2127"/>
        </w:tabs>
        <w:spacing w:after="0"/>
        <w:jc w:val="left"/>
      </w:pPr>
      <w:r w:rsidRPr="00224106">
        <w:t>From 1 January 2022 until 30 June 2022, the Australian Government has extended the temporary Medicare Benefits Schedule (MBS) items 69479 and 69480 for NAA testing for COVID-19. From this date, the MBS item (69501) for COVID-19 screening of asymptomatic essential workers will cease.</w:t>
      </w:r>
    </w:p>
    <w:p w14:paraId="76A830F4" w14:textId="77777777" w:rsidR="00224106" w:rsidRPr="00224106" w:rsidRDefault="00224106" w:rsidP="00224106">
      <w:pPr>
        <w:tabs>
          <w:tab w:val="left" w:pos="2127"/>
        </w:tabs>
        <w:spacing w:after="0"/>
        <w:jc w:val="left"/>
      </w:pPr>
    </w:p>
    <w:p w14:paraId="2D6AF72E" w14:textId="77777777" w:rsidR="00224106" w:rsidRPr="00224106" w:rsidRDefault="00224106" w:rsidP="00224106">
      <w:pPr>
        <w:tabs>
          <w:tab w:val="left" w:pos="2127"/>
        </w:tabs>
        <w:spacing w:after="0"/>
        <w:jc w:val="left"/>
      </w:pPr>
      <w:r w:rsidRPr="00224106">
        <w:t>A reduced schedule fee for MBS items 69479 and 69480 will apply from 1 January 2022, reflecting a reduction in the cost of providing COVID-19 tests.</w:t>
      </w:r>
    </w:p>
    <w:p w14:paraId="7B9960F8" w14:textId="77777777" w:rsidR="00224106" w:rsidRPr="00224106" w:rsidRDefault="00224106" w:rsidP="00224106">
      <w:pPr>
        <w:tabs>
          <w:tab w:val="left" w:pos="2127"/>
        </w:tabs>
        <w:spacing w:after="0"/>
        <w:jc w:val="left"/>
      </w:pPr>
    </w:p>
    <w:p w14:paraId="462A1250" w14:textId="77777777" w:rsidR="00224106" w:rsidRPr="00224106" w:rsidRDefault="00224106" w:rsidP="00224106">
      <w:pPr>
        <w:tabs>
          <w:tab w:val="left" w:pos="2127"/>
        </w:tabs>
        <w:spacing w:after="0"/>
        <w:jc w:val="left"/>
      </w:pPr>
      <w:r w:rsidRPr="00224106">
        <w:t>A request from a medical or nurse practitioner is a requirement for MBS items 69479 and 69480. Rebates must only be claimed where a patient’s treating practitioner determines that the test is necessary for the clinical management of their patient.</w:t>
      </w:r>
    </w:p>
    <w:p w14:paraId="570D6998" w14:textId="77777777" w:rsidR="00224106" w:rsidRPr="00224106" w:rsidRDefault="00224106" w:rsidP="00224106">
      <w:pPr>
        <w:tabs>
          <w:tab w:val="left" w:pos="2127"/>
        </w:tabs>
        <w:spacing w:after="0"/>
        <w:jc w:val="left"/>
      </w:pPr>
    </w:p>
    <w:p w14:paraId="3898C097" w14:textId="77777777" w:rsidR="00224106" w:rsidRPr="00DD5DD9" w:rsidRDefault="00224106" w:rsidP="00224106">
      <w:pPr>
        <w:tabs>
          <w:tab w:val="left" w:pos="2127"/>
        </w:tabs>
        <w:spacing w:after="0"/>
        <w:jc w:val="left"/>
      </w:pPr>
      <w:r w:rsidRPr="00224106">
        <w:t xml:space="preserve">All COVID-19 tests undertaken for public health screening purposes, for example, asymptomatic screening, will continue to be provided free-of-charge through state and territory public health testing sites. Public health testing sites can be found via the relevant state and territory health department websites. More information can be found on the </w:t>
      </w:r>
      <w:hyperlink r:id="rId29" w:history="1">
        <w:r w:rsidRPr="00224106">
          <w:rPr>
            <w:rStyle w:val="Hyperlink"/>
          </w:rPr>
          <w:t>MBS website</w:t>
        </w:r>
      </w:hyperlink>
      <w:r w:rsidRPr="00224106">
        <w:t>.</w:t>
      </w:r>
      <w:r w:rsidRPr="00DD5DD9">
        <w:t xml:space="preserve"> </w:t>
      </w:r>
    </w:p>
    <w:p w14:paraId="3123E83C" w14:textId="77777777" w:rsidR="008F6D8D" w:rsidRPr="00DD5DD9" w:rsidRDefault="008F6D8D" w:rsidP="00213CE1">
      <w:pPr>
        <w:tabs>
          <w:tab w:val="left" w:pos="2127"/>
        </w:tabs>
        <w:spacing w:after="0"/>
        <w:jc w:val="left"/>
      </w:pPr>
    </w:p>
    <w:p w14:paraId="0A778B53" w14:textId="423554F9" w:rsidR="005D5CF9" w:rsidRPr="00DD5DD9" w:rsidRDefault="59D6160C" w:rsidP="00213CE1">
      <w:pPr>
        <w:pStyle w:val="Heading1"/>
      </w:pPr>
      <w:bookmarkStart w:id="97" w:name="_Toc93492885"/>
      <w:bookmarkStart w:id="98" w:name="_Ref56509347"/>
      <w:bookmarkStart w:id="99" w:name="_Toc10038568"/>
      <w:bookmarkStart w:id="100" w:name="_Toc233316767"/>
      <w:bookmarkStart w:id="101" w:name="_Toc93492886"/>
      <w:bookmarkEnd w:id="97"/>
      <w:r w:rsidRPr="00DD5DD9">
        <w:t>Data collection requirements</w:t>
      </w:r>
      <w:bookmarkEnd w:id="95"/>
      <w:bookmarkEnd w:id="98"/>
      <w:bookmarkEnd w:id="99"/>
      <w:bookmarkEnd w:id="100"/>
      <w:bookmarkEnd w:id="101"/>
    </w:p>
    <w:p w14:paraId="2A04953C" w14:textId="77777777" w:rsidR="00F53A5B" w:rsidRPr="00DD5DD9" w:rsidRDefault="005D5CF9" w:rsidP="00F00EA6">
      <w:pPr>
        <w:tabs>
          <w:tab w:val="left" w:pos="2127"/>
        </w:tabs>
        <w:jc w:val="left"/>
      </w:pPr>
      <w:r w:rsidRPr="00DD5DD9">
        <w:t xml:space="preserve">To understand the amount of testing being conducted for SARS-CoV-2 across Australia, </w:t>
      </w:r>
      <w:r w:rsidR="00106FAD" w:rsidRPr="00DD5DD9">
        <w:t xml:space="preserve">it is crucial to </w:t>
      </w:r>
      <w:r w:rsidRPr="00DD5DD9">
        <w:t>understand the</w:t>
      </w:r>
      <w:r w:rsidR="00F53A5B" w:rsidRPr="00DD5DD9">
        <w:t>:</w:t>
      </w:r>
    </w:p>
    <w:p w14:paraId="7739E474" w14:textId="5A0A1CF3" w:rsidR="00F53A5B" w:rsidRPr="00DD5DD9" w:rsidRDefault="005D5CF9" w:rsidP="00B45C36">
      <w:pPr>
        <w:pStyle w:val="ListParagraph"/>
        <w:numPr>
          <w:ilvl w:val="0"/>
          <w:numId w:val="49"/>
        </w:numPr>
        <w:tabs>
          <w:tab w:val="left" w:pos="2127"/>
        </w:tabs>
        <w:jc w:val="left"/>
      </w:pPr>
      <w:r w:rsidRPr="00DD5DD9">
        <w:t xml:space="preserve">demographic (who is being tested) and </w:t>
      </w:r>
    </w:p>
    <w:p w14:paraId="6B5B3807" w14:textId="51058984" w:rsidR="00F53A5B" w:rsidRPr="00DD5DD9" w:rsidRDefault="005D5CF9" w:rsidP="00B45C36">
      <w:pPr>
        <w:pStyle w:val="ListParagraph"/>
        <w:numPr>
          <w:ilvl w:val="0"/>
          <w:numId w:val="49"/>
        </w:numPr>
        <w:tabs>
          <w:tab w:val="left" w:pos="2127"/>
        </w:tabs>
        <w:jc w:val="left"/>
      </w:pPr>
      <w:r w:rsidRPr="00DD5DD9">
        <w:t xml:space="preserve">geographic (where testing is occurring) distribution of testing. </w:t>
      </w:r>
    </w:p>
    <w:p w14:paraId="2728B36A" w14:textId="59A810EC" w:rsidR="005D5CF9" w:rsidRPr="00DD5DD9" w:rsidRDefault="005D5CF9" w:rsidP="00F00EA6">
      <w:pPr>
        <w:tabs>
          <w:tab w:val="left" w:pos="2127"/>
        </w:tabs>
        <w:jc w:val="left"/>
      </w:pPr>
      <w:r w:rsidRPr="00DD5DD9">
        <w:t>Central collation and reportin</w:t>
      </w:r>
      <w:r w:rsidR="00106FAD" w:rsidRPr="00DD5DD9">
        <w:t>g at the national level provide</w:t>
      </w:r>
      <w:r w:rsidR="00F53A5B" w:rsidRPr="00DD5DD9">
        <w:t>s</w:t>
      </w:r>
      <w:r w:rsidRPr="00DD5DD9">
        <w:t xml:space="preserve"> a denominator for </w:t>
      </w:r>
      <w:r w:rsidR="00F53A5B" w:rsidRPr="00DD5DD9">
        <w:t>calculating</w:t>
      </w:r>
      <w:r w:rsidRPr="00DD5DD9">
        <w:t xml:space="preserve"> test positivity rates and inform</w:t>
      </w:r>
      <w:r w:rsidR="00F53A5B" w:rsidRPr="00DD5DD9">
        <w:t>s an</w:t>
      </w:r>
      <w:r w:rsidRPr="00DD5DD9">
        <w:t xml:space="preserve"> </w:t>
      </w:r>
      <w:r w:rsidR="00846958" w:rsidRPr="00DD5DD9">
        <w:t>understanding of</w:t>
      </w:r>
      <w:r w:rsidRPr="00DD5DD9">
        <w:t xml:space="preserve"> how equitably testing is being </w:t>
      </w:r>
      <w:r w:rsidR="00467300" w:rsidRPr="00DD5DD9">
        <w:t xml:space="preserve">implemented and accessed </w:t>
      </w:r>
      <w:r w:rsidRPr="00DD5DD9">
        <w:t>across the community. This information also identifies key demographic groups or geographic regions where increased testing efforts may be required.</w:t>
      </w:r>
    </w:p>
    <w:p w14:paraId="306602BD" w14:textId="0A31A8A4" w:rsidR="001F3AAF" w:rsidRPr="00DD5DD9" w:rsidRDefault="00977006" w:rsidP="00F00EA6">
      <w:pPr>
        <w:tabs>
          <w:tab w:val="left" w:pos="2127"/>
        </w:tabs>
        <w:jc w:val="left"/>
      </w:pPr>
      <w:r w:rsidRPr="00DD5DD9">
        <w:t xml:space="preserve">Guided by the </w:t>
      </w:r>
      <w:hyperlink r:id="rId30" w:history="1">
        <w:r w:rsidR="00D11F70" w:rsidRPr="00DD5DD9">
          <w:rPr>
            <w:rStyle w:val="Hyperlink"/>
            <w:i/>
            <w:iCs/>
          </w:rPr>
          <w:t>Australian National Disease Surveillance Plan for COVID-19</w:t>
        </w:r>
      </w:hyperlink>
      <w:r w:rsidR="00D11F70" w:rsidRPr="00DD5DD9">
        <w:rPr>
          <w:i/>
          <w:iCs/>
        </w:rPr>
        <w:t xml:space="preserve"> </w:t>
      </w:r>
      <w:r w:rsidR="00D11F70" w:rsidRPr="00DD5DD9">
        <w:t>(the Surveillance Plan)</w:t>
      </w:r>
      <w:r w:rsidR="000A0DAD" w:rsidRPr="00DD5DD9">
        <w:t>,</w:t>
      </w:r>
      <w:r w:rsidRPr="00DD5DD9">
        <w:t xml:space="preserve"> </w:t>
      </w:r>
      <w:r w:rsidR="00C3047C" w:rsidRPr="00DD5DD9">
        <w:t xml:space="preserve">the Australian Government receive </w:t>
      </w:r>
      <w:r w:rsidRPr="00DD5DD9">
        <w:t>s</w:t>
      </w:r>
      <w:r w:rsidR="005D5CF9" w:rsidRPr="00DD5DD9">
        <w:t>ystematic, routine testing data from laboratories via jurisdictional communicable disease authorities.</w:t>
      </w:r>
    </w:p>
    <w:p w14:paraId="5F77AF31" w14:textId="4A6C1B74" w:rsidR="005D5CF9" w:rsidRPr="00DD5DD9" w:rsidRDefault="005D5CF9" w:rsidP="00F00EA6">
      <w:pPr>
        <w:tabs>
          <w:tab w:val="left" w:pos="2127"/>
        </w:tabs>
        <w:jc w:val="left"/>
      </w:pPr>
      <w:r w:rsidRPr="00DD5DD9">
        <w:lastRenderedPageBreak/>
        <w:t xml:space="preserve">CDNA and PHLN note the importance and feasibility </w:t>
      </w:r>
      <w:r w:rsidR="00106FAD" w:rsidRPr="00DD5DD9">
        <w:t>of collating</w:t>
      </w:r>
      <w:r w:rsidRPr="00DD5DD9">
        <w:t xml:space="preserve"> and report</w:t>
      </w:r>
      <w:r w:rsidR="00106FAD" w:rsidRPr="00DD5DD9">
        <w:t>ing</w:t>
      </w:r>
      <w:r w:rsidRPr="00DD5DD9">
        <w:t xml:space="preserve"> on the following information from tests:</w:t>
      </w:r>
    </w:p>
    <w:p w14:paraId="0D88C1CC" w14:textId="2E1F5DF7" w:rsidR="005D5CF9" w:rsidRPr="00DD5DD9" w:rsidRDefault="005D5CF9" w:rsidP="005244D4">
      <w:pPr>
        <w:pStyle w:val="ListParagraph"/>
        <w:numPr>
          <w:ilvl w:val="0"/>
          <w:numId w:val="9"/>
        </w:numPr>
        <w:tabs>
          <w:tab w:val="left" w:pos="2127"/>
        </w:tabs>
        <w:jc w:val="left"/>
      </w:pPr>
      <w:r w:rsidRPr="00DD5DD9">
        <w:t>age group</w:t>
      </w:r>
    </w:p>
    <w:p w14:paraId="527F5E2A" w14:textId="0464A407" w:rsidR="005D5CF9" w:rsidRPr="00DD5DD9" w:rsidRDefault="005D5CF9" w:rsidP="005244D4">
      <w:pPr>
        <w:pStyle w:val="ListParagraph"/>
        <w:numPr>
          <w:ilvl w:val="0"/>
          <w:numId w:val="9"/>
        </w:numPr>
        <w:tabs>
          <w:tab w:val="left" w:pos="2127"/>
        </w:tabs>
        <w:jc w:val="left"/>
      </w:pPr>
      <w:r w:rsidRPr="00DD5DD9">
        <w:t>sex</w:t>
      </w:r>
    </w:p>
    <w:p w14:paraId="7B4C4DCA" w14:textId="23F5451C" w:rsidR="005D5CF9" w:rsidRPr="00DD5DD9" w:rsidRDefault="005D5CF9" w:rsidP="005244D4">
      <w:pPr>
        <w:pStyle w:val="ListParagraph"/>
        <w:numPr>
          <w:ilvl w:val="0"/>
          <w:numId w:val="9"/>
        </w:numPr>
        <w:tabs>
          <w:tab w:val="left" w:pos="2127"/>
        </w:tabs>
        <w:jc w:val="left"/>
      </w:pPr>
      <w:r w:rsidRPr="00DD5DD9">
        <w:t>geographic region</w:t>
      </w:r>
    </w:p>
    <w:p w14:paraId="39514B19" w14:textId="13690F3A" w:rsidR="005D5CF9" w:rsidRPr="00DD5DD9" w:rsidRDefault="005D5CF9" w:rsidP="005244D4">
      <w:pPr>
        <w:pStyle w:val="ListParagraph"/>
        <w:numPr>
          <w:ilvl w:val="0"/>
          <w:numId w:val="9"/>
        </w:numPr>
        <w:tabs>
          <w:tab w:val="left" w:pos="2127"/>
        </w:tabs>
        <w:jc w:val="left"/>
      </w:pPr>
      <w:r w:rsidRPr="00DD5DD9">
        <w:t>test type</w:t>
      </w:r>
      <w:r w:rsidR="00511443" w:rsidRPr="00DD5DD9">
        <w:t xml:space="preserve"> and</w:t>
      </w:r>
    </w:p>
    <w:p w14:paraId="7EBADCB7" w14:textId="77777777" w:rsidR="005D5CF9" w:rsidRPr="00DD5DD9" w:rsidRDefault="005D5CF9" w:rsidP="005244D4">
      <w:pPr>
        <w:pStyle w:val="ListParagraph"/>
        <w:numPr>
          <w:ilvl w:val="0"/>
          <w:numId w:val="9"/>
        </w:numPr>
        <w:tabs>
          <w:tab w:val="left" w:pos="2127"/>
        </w:tabs>
        <w:jc w:val="left"/>
      </w:pPr>
      <w:r w:rsidRPr="00DD5DD9">
        <w:t>Aboriginal and/ or Torres Strait Islander status.</w:t>
      </w:r>
    </w:p>
    <w:p w14:paraId="5F75C318" w14:textId="5115A7E0" w:rsidR="00910DC6" w:rsidRPr="00DD5DD9" w:rsidRDefault="6DAF3415" w:rsidP="00F00EA6">
      <w:pPr>
        <w:tabs>
          <w:tab w:val="left" w:pos="2127"/>
        </w:tabs>
        <w:jc w:val="left"/>
      </w:pPr>
      <w:r w:rsidRPr="00DD5DD9">
        <w:t xml:space="preserve">As guided by the </w:t>
      </w:r>
      <w:r w:rsidR="1E7DB1E8" w:rsidRPr="00DD5DD9">
        <w:t xml:space="preserve">Surveillance Plan, </w:t>
      </w:r>
      <w:r w:rsidR="29A583BA" w:rsidRPr="00DD5DD9">
        <w:t>any</w:t>
      </w:r>
      <w:r w:rsidR="3BA69FB6" w:rsidRPr="00DD5DD9">
        <w:t xml:space="preserve"> screening (</w:t>
      </w:r>
      <w:r w:rsidR="29A583BA" w:rsidRPr="00DD5DD9">
        <w:t>asymptomatic</w:t>
      </w:r>
      <w:r w:rsidR="3BA69FB6" w:rsidRPr="00DD5DD9">
        <w:t>)</w:t>
      </w:r>
      <w:r w:rsidR="29A583BA" w:rsidRPr="00DD5DD9">
        <w:t xml:space="preserve"> testing approach </w:t>
      </w:r>
      <w:r w:rsidR="2EEF12CB" w:rsidRPr="00DD5DD9">
        <w:t xml:space="preserve">is recommended to </w:t>
      </w:r>
      <w:r w:rsidR="7445D6BF" w:rsidRPr="00DD5DD9">
        <w:t>include</w:t>
      </w:r>
      <w:r w:rsidR="29A583BA" w:rsidRPr="00DD5DD9">
        <w:t xml:space="preserve"> data collection, reporting and evaluation</w:t>
      </w:r>
      <w:r w:rsidR="18E8F6D1" w:rsidRPr="00DD5DD9">
        <w:t>.</w:t>
      </w:r>
      <w:r w:rsidR="47C6746E" w:rsidRPr="00DD5DD9">
        <w:t xml:space="preserve"> </w:t>
      </w:r>
    </w:p>
    <w:p w14:paraId="23219FEE" w14:textId="40959F17" w:rsidR="005D5CF9" w:rsidRPr="00DD5DD9" w:rsidRDefault="005D5CF9" w:rsidP="00213CE1">
      <w:pPr>
        <w:tabs>
          <w:tab w:val="left" w:pos="2127"/>
        </w:tabs>
        <w:spacing w:after="0"/>
        <w:jc w:val="left"/>
      </w:pPr>
      <w:r w:rsidRPr="00DD5DD9">
        <w:t>Sharing findings inform</w:t>
      </w:r>
      <w:r w:rsidR="00F53A5B" w:rsidRPr="00DD5DD9">
        <w:t>s</w:t>
      </w:r>
      <w:r w:rsidRPr="00DD5DD9">
        <w:t xml:space="preserve"> the ongoing response by identifying </w:t>
      </w:r>
      <w:r w:rsidR="00106FAD" w:rsidRPr="00DD5DD9">
        <w:t xml:space="preserve">asymptomatic </w:t>
      </w:r>
      <w:r w:rsidRPr="00DD5DD9">
        <w:t xml:space="preserve">testing approaches of greatest value. </w:t>
      </w:r>
      <w:r w:rsidR="00F53A5B" w:rsidRPr="00DD5DD9">
        <w:t>We encourage j</w:t>
      </w:r>
      <w:r w:rsidRPr="00DD5DD9">
        <w:t xml:space="preserve">urisdictional communicable disease authorities, private sector organisations and researchers who undertake </w:t>
      </w:r>
      <w:r w:rsidR="00910DC6" w:rsidRPr="00DD5DD9">
        <w:t xml:space="preserve">screening </w:t>
      </w:r>
      <w:r w:rsidRPr="00DD5DD9">
        <w:t>testing activities to report on their outcomes</w:t>
      </w:r>
      <w:r w:rsidR="006B6D3B" w:rsidRPr="00DD5DD9">
        <w:t xml:space="preserve">. The </w:t>
      </w:r>
      <w:r w:rsidR="006B6D3B" w:rsidRPr="00DD5DD9">
        <w:rPr>
          <w:iCs/>
        </w:rPr>
        <w:t>Surveillance Plan</w:t>
      </w:r>
      <w:r w:rsidR="006B6D3B" w:rsidRPr="00DD5DD9">
        <w:t xml:space="preserve"> contains a</w:t>
      </w:r>
      <w:r w:rsidRPr="00DD5DD9">
        <w:t xml:space="preserve"> reporting template.</w:t>
      </w:r>
    </w:p>
    <w:p w14:paraId="47051E08" w14:textId="77777777" w:rsidR="00B77E53" w:rsidRPr="00DD5DD9" w:rsidRDefault="00B77E53" w:rsidP="00213CE1">
      <w:pPr>
        <w:tabs>
          <w:tab w:val="left" w:pos="2127"/>
        </w:tabs>
        <w:spacing w:after="0"/>
        <w:jc w:val="left"/>
      </w:pPr>
    </w:p>
    <w:p w14:paraId="672B8AA2" w14:textId="09DA99E9" w:rsidR="001B14FC" w:rsidRPr="00DD5DD9" w:rsidRDefault="66393775" w:rsidP="00213CE1">
      <w:pPr>
        <w:pStyle w:val="Heading1"/>
      </w:pPr>
      <w:bookmarkStart w:id="102" w:name="_Toc82155414"/>
      <w:bookmarkStart w:id="103" w:name="_Ref54005321"/>
      <w:bookmarkStart w:id="104" w:name="_Toc56505905"/>
      <w:bookmarkStart w:id="105" w:name="_Ref56509379"/>
      <w:bookmarkStart w:id="106" w:name="_Toc1332800562"/>
      <w:bookmarkStart w:id="107" w:name="_Toc1288890707"/>
      <w:bookmarkStart w:id="108" w:name="_Toc93492887"/>
      <w:bookmarkEnd w:id="102"/>
      <w:r w:rsidRPr="00DD5DD9">
        <w:t>Key enablers</w:t>
      </w:r>
      <w:bookmarkEnd w:id="103"/>
      <w:r w:rsidR="3588177A" w:rsidRPr="00DD5DD9">
        <w:t xml:space="preserve"> and barriers</w:t>
      </w:r>
      <w:r w:rsidR="72A78A97" w:rsidRPr="00DD5DD9">
        <w:t xml:space="preserve"> to testing</w:t>
      </w:r>
      <w:bookmarkEnd w:id="104"/>
      <w:bookmarkEnd w:id="105"/>
      <w:bookmarkEnd w:id="106"/>
      <w:bookmarkEnd w:id="107"/>
      <w:bookmarkEnd w:id="108"/>
    </w:p>
    <w:p w14:paraId="0C725AD2" w14:textId="1EDF7E12" w:rsidR="001B14FC" w:rsidRPr="00DD5DD9" w:rsidRDefault="66393775" w:rsidP="00213CE1">
      <w:pPr>
        <w:pStyle w:val="Heading2"/>
      </w:pPr>
      <w:bookmarkStart w:id="109" w:name="_Toc56505906"/>
      <w:bookmarkStart w:id="110" w:name="_Toc56712899"/>
      <w:bookmarkStart w:id="111" w:name="_Toc56713015"/>
      <w:bookmarkStart w:id="112" w:name="_Toc57127216"/>
      <w:bookmarkStart w:id="113" w:name="_Toc57149394"/>
      <w:bookmarkStart w:id="114" w:name="_Toc57187381"/>
      <w:bookmarkStart w:id="115" w:name="_Toc58453406"/>
      <w:bookmarkStart w:id="116" w:name="_Toc58453494"/>
      <w:bookmarkStart w:id="117" w:name="_Toc1729362809"/>
      <w:bookmarkStart w:id="118" w:name="_Toc902757061"/>
      <w:bookmarkStart w:id="119" w:name="_Toc93492888"/>
      <w:r w:rsidRPr="00DD5DD9">
        <w:t>Laboratory capacity</w:t>
      </w:r>
      <w:bookmarkEnd w:id="109"/>
      <w:bookmarkEnd w:id="110"/>
      <w:bookmarkEnd w:id="111"/>
      <w:bookmarkEnd w:id="112"/>
      <w:bookmarkEnd w:id="113"/>
      <w:bookmarkEnd w:id="114"/>
      <w:bookmarkEnd w:id="115"/>
      <w:bookmarkEnd w:id="116"/>
      <w:bookmarkEnd w:id="117"/>
      <w:bookmarkEnd w:id="118"/>
      <w:bookmarkEnd w:id="119"/>
    </w:p>
    <w:p w14:paraId="1A12E855" w14:textId="7BCB7931" w:rsidR="001B14FC" w:rsidRPr="00DD5DD9" w:rsidRDefault="001B14FC" w:rsidP="00F00EA6">
      <w:pPr>
        <w:jc w:val="left"/>
      </w:pPr>
      <w:r w:rsidRPr="00DD5DD9">
        <w:t xml:space="preserve">Australia </w:t>
      </w:r>
      <w:r w:rsidR="006B6D3B" w:rsidRPr="00DD5DD9">
        <w:t>has an</w:t>
      </w:r>
      <w:r w:rsidRPr="00DD5DD9">
        <w:t xml:space="preserve"> expert network of public and private laboratories with the capability and appropriate accreditation to detect SARS-CoV-2</w:t>
      </w:r>
      <w:r w:rsidR="00467300" w:rsidRPr="00DD5DD9">
        <w:t xml:space="preserve"> and to securely capture and report results</w:t>
      </w:r>
      <w:r w:rsidRPr="00DD5DD9">
        <w:t>. The Australian Government continues to work with patholog</w:t>
      </w:r>
      <w:r w:rsidR="00204F1E" w:rsidRPr="00DD5DD9">
        <w:t xml:space="preserve">y providers </w:t>
      </w:r>
      <w:r w:rsidRPr="00DD5DD9">
        <w:t>to ensure:</w:t>
      </w:r>
    </w:p>
    <w:p w14:paraId="2443A63F" w14:textId="0AD5DF31" w:rsidR="00027C66" w:rsidRPr="00DD5DD9" w:rsidRDefault="00027C66" w:rsidP="005244D4">
      <w:pPr>
        <w:pStyle w:val="ListParagraph"/>
        <w:numPr>
          <w:ilvl w:val="0"/>
          <w:numId w:val="9"/>
        </w:numPr>
        <w:jc w:val="left"/>
      </w:pPr>
      <w:r w:rsidRPr="00DD5DD9">
        <w:t>availability of testing technologies and methodologies</w:t>
      </w:r>
    </w:p>
    <w:p w14:paraId="2E715241" w14:textId="49E023A1" w:rsidR="00027C66" w:rsidRPr="00DD5DD9" w:rsidRDefault="001B14FC" w:rsidP="005244D4">
      <w:pPr>
        <w:pStyle w:val="ListParagraph"/>
        <w:numPr>
          <w:ilvl w:val="0"/>
          <w:numId w:val="9"/>
        </w:numPr>
        <w:jc w:val="left"/>
      </w:pPr>
      <w:r w:rsidRPr="00DD5DD9">
        <w:t>testing capacity</w:t>
      </w:r>
    </w:p>
    <w:p w14:paraId="742FE979" w14:textId="46D61C5C" w:rsidR="000C3907" w:rsidRPr="00DD5DD9" w:rsidRDefault="000C3907" w:rsidP="005244D4">
      <w:pPr>
        <w:pStyle w:val="ListParagraph"/>
        <w:numPr>
          <w:ilvl w:val="0"/>
          <w:numId w:val="9"/>
        </w:numPr>
        <w:jc w:val="left"/>
      </w:pPr>
      <w:r w:rsidRPr="00DD5DD9">
        <w:t xml:space="preserve">infection </w:t>
      </w:r>
      <w:r w:rsidR="0D037670" w:rsidRPr="00DD5DD9">
        <w:t>prevention</w:t>
      </w:r>
    </w:p>
    <w:p w14:paraId="4262B259" w14:textId="36C3C69C" w:rsidR="001B14FC" w:rsidRPr="00DD5DD9" w:rsidRDefault="001B14FC" w:rsidP="005244D4">
      <w:pPr>
        <w:pStyle w:val="ListParagraph"/>
        <w:numPr>
          <w:ilvl w:val="0"/>
          <w:numId w:val="9"/>
        </w:numPr>
        <w:jc w:val="left"/>
      </w:pPr>
      <w:r w:rsidRPr="00DD5DD9">
        <w:t>supply of equipment, reagents and test kits</w:t>
      </w:r>
    </w:p>
    <w:p w14:paraId="5F60DD04" w14:textId="0FA71076" w:rsidR="001B14FC" w:rsidRPr="00DD5DD9" w:rsidRDefault="001B14FC" w:rsidP="005244D4">
      <w:pPr>
        <w:pStyle w:val="ListParagraph"/>
        <w:numPr>
          <w:ilvl w:val="0"/>
          <w:numId w:val="9"/>
        </w:numPr>
        <w:jc w:val="left"/>
      </w:pPr>
      <w:r w:rsidRPr="00DD5DD9">
        <w:t>sustainability of testing</w:t>
      </w:r>
      <w:r w:rsidR="001F3AAF" w:rsidRPr="00DD5DD9">
        <w:t xml:space="preserve"> and</w:t>
      </w:r>
    </w:p>
    <w:p w14:paraId="42FA5652" w14:textId="214CF2E3" w:rsidR="003E13C3" w:rsidRPr="00DD5DD9" w:rsidRDefault="30DAB7F1" w:rsidP="005244D4">
      <w:pPr>
        <w:pStyle w:val="ListParagraph"/>
        <w:numPr>
          <w:ilvl w:val="0"/>
          <w:numId w:val="9"/>
        </w:numPr>
        <w:jc w:val="left"/>
      </w:pPr>
      <w:r w:rsidRPr="00DD5DD9">
        <w:t>the highest quality of testing for the Australian community.</w:t>
      </w:r>
    </w:p>
    <w:p w14:paraId="046CF9B6" w14:textId="27DBA0D2" w:rsidR="001B14FC" w:rsidRPr="00DD5DD9" w:rsidRDefault="66393775" w:rsidP="00213CE1">
      <w:pPr>
        <w:pStyle w:val="Heading2"/>
      </w:pPr>
      <w:bookmarkStart w:id="120" w:name="_Toc93492889"/>
      <w:bookmarkStart w:id="121" w:name="_Toc56505907"/>
      <w:bookmarkStart w:id="122" w:name="_Toc56516100"/>
      <w:bookmarkStart w:id="123" w:name="_Toc56712900"/>
      <w:bookmarkStart w:id="124" w:name="_Toc56713016"/>
      <w:bookmarkStart w:id="125" w:name="_Toc57127217"/>
      <w:bookmarkStart w:id="126" w:name="_Toc57149395"/>
      <w:bookmarkStart w:id="127" w:name="_Toc57187382"/>
      <w:bookmarkStart w:id="128" w:name="_Toc58453407"/>
      <w:bookmarkStart w:id="129" w:name="_Toc58453495"/>
      <w:bookmarkStart w:id="130" w:name="_Toc1101906958"/>
      <w:bookmarkStart w:id="131" w:name="_Toc1350988727"/>
      <w:bookmarkStart w:id="132" w:name="_Toc93492890"/>
      <w:bookmarkEnd w:id="120"/>
      <w:r w:rsidRPr="00DD5DD9">
        <w:t>Accreditation</w:t>
      </w:r>
      <w:bookmarkEnd w:id="121"/>
      <w:bookmarkEnd w:id="122"/>
      <w:bookmarkEnd w:id="123"/>
      <w:bookmarkEnd w:id="124"/>
      <w:bookmarkEnd w:id="125"/>
      <w:bookmarkEnd w:id="126"/>
      <w:bookmarkEnd w:id="127"/>
      <w:bookmarkEnd w:id="128"/>
      <w:bookmarkEnd w:id="129"/>
      <w:bookmarkEnd w:id="130"/>
      <w:bookmarkEnd w:id="131"/>
      <w:bookmarkEnd w:id="132"/>
    </w:p>
    <w:p w14:paraId="3EF48B17" w14:textId="248F524A" w:rsidR="003F54AA" w:rsidRPr="00DD5DD9" w:rsidRDefault="00204F1E" w:rsidP="00F00EA6">
      <w:pPr>
        <w:jc w:val="left"/>
      </w:pPr>
      <w:r w:rsidRPr="00DD5DD9">
        <w:t>All</w:t>
      </w:r>
      <w:r w:rsidR="006B6D3B" w:rsidRPr="00DD5DD9">
        <w:t xml:space="preserve"> </w:t>
      </w:r>
      <w:bookmarkStart w:id="133" w:name="_Hlk87277143"/>
      <w:r w:rsidR="003F54AA" w:rsidRPr="00DD5DD9">
        <w:t>Australian pathology laboratories</w:t>
      </w:r>
      <w:r w:rsidR="006B6D3B" w:rsidRPr="00DD5DD9">
        <w:t xml:space="preserve"> </w:t>
      </w:r>
      <w:bookmarkEnd w:id="133"/>
      <w:r w:rsidR="003F54AA" w:rsidRPr="00DD5DD9">
        <w:t xml:space="preserve">must comply with </w:t>
      </w:r>
      <w:r w:rsidR="00BF5CF1" w:rsidRPr="00DD5DD9">
        <w:t xml:space="preserve">the specified </w:t>
      </w:r>
      <w:r w:rsidR="003F54AA" w:rsidRPr="00DD5DD9">
        <w:t xml:space="preserve">standards </w:t>
      </w:r>
      <w:r w:rsidR="00BF5CF1" w:rsidRPr="00DD5DD9">
        <w:t xml:space="preserve">in the </w:t>
      </w:r>
      <w:r w:rsidR="00BF5CF1" w:rsidRPr="00DD5DD9">
        <w:rPr>
          <w:i/>
          <w:iCs/>
        </w:rPr>
        <w:t xml:space="preserve">Health Insurance (Accredited Pathology Laboratories-Approval) Principles 2017 </w:t>
      </w:r>
      <w:r w:rsidR="00BF5CF1" w:rsidRPr="00DD5DD9">
        <w:t>to be eligible to provide MBS-</w:t>
      </w:r>
      <w:proofErr w:type="spellStart"/>
      <w:r w:rsidR="00BF5CF1" w:rsidRPr="00DD5DD9">
        <w:t>rebatable</w:t>
      </w:r>
      <w:proofErr w:type="spellEnd"/>
      <w:r w:rsidR="00BF5CF1" w:rsidRPr="00DD5DD9">
        <w:t xml:space="preserve"> pathology services. The </w:t>
      </w:r>
      <w:r w:rsidR="003F54AA" w:rsidRPr="00DD5DD9">
        <w:t>National Pathology Accreditation Advisory Council (NPAAC</w:t>
      </w:r>
      <w:r w:rsidR="001240EF" w:rsidRPr="00DD5DD9">
        <w:t xml:space="preserve">) develops and maintains </w:t>
      </w:r>
      <w:r w:rsidR="00BF5CF1" w:rsidRPr="00DD5DD9">
        <w:t>accreditation standards</w:t>
      </w:r>
      <w:r w:rsidR="003F54AA" w:rsidRPr="00DD5DD9">
        <w:t xml:space="preserve">. </w:t>
      </w:r>
      <w:r w:rsidR="001A6728" w:rsidRPr="00DD5DD9">
        <w:t xml:space="preserve">If </w:t>
      </w:r>
      <w:r w:rsidR="004C657F" w:rsidRPr="00DD5DD9">
        <w:t xml:space="preserve">an </w:t>
      </w:r>
      <w:r w:rsidR="001240EF" w:rsidRPr="00DD5DD9">
        <w:t>Australian pathology laborator</w:t>
      </w:r>
      <w:r w:rsidR="004C657F" w:rsidRPr="00DD5DD9">
        <w:t>y</w:t>
      </w:r>
      <w:r w:rsidR="001A6728" w:rsidRPr="00DD5DD9">
        <w:t xml:space="preserve"> develop</w:t>
      </w:r>
      <w:r w:rsidR="004C657F" w:rsidRPr="00DD5DD9">
        <w:t>s</w:t>
      </w:r>
      <w:r w:rsidR="001A6728" w:rsidRPr="00DD5DD9">
        <w:t xml:space="preserve"> their own test</w:t>
      </w:r>
      <w:r w:rsidR="004C657F" w:rsidRPr="00DD5DD9">
        <w:t>,</w:t>
      </w:r>
      <w:r w:rsidR="001A6728" w:rsidRPr="00DD5DD9">
        <w:t xml:space="preserve"> they </w:t>
      </w:r>
      <w:r w:rsidR="003F54AA" w:rsidRPr="00DD5DD9">
        <w:t xml:space="preserve">must also meet relevant legal obligations under </w:t>
      </w:r>
      <w:r w:rsidR="001A6728" w:rsidRPr="00DD5DD9">
        <w:t xml:space="preserve">the </w:t>
      </w:r>
      <w:hyperlink r:id="rId31" w:history="1">
        <w:r w:rsidR="001A6728" w:rsidRPr="00DD5DD9">
          <w:rPr>
            <w:rStyle w:val="Hyperlink"/>
            <w:i/>
            <w:iCs/>
          </w:rPr>
          <w:t>Therapeutic Goods (Medical Device) Regulations 2002</w:t>
        </w:r>
      </w:hyperlink>
      <w:r w:rsidR="004C657F" w:rsidRPr="00DD5DD9">
        <w:rPr>
          <w:i/>
          <w:iCs/>
        </w:rPr>
        <w:t xml:space="preserve">. </w:t>
      </w:r>
      <w:r w:rsidR="004C657F" w:rsidRPr="00DD5DD9">
        <w:t>This is</w:t>
      </w:r>
      <w:r w:rsidR="001A6728" w:rsidRPr="00DD5DD9">
        <w:t xml:space="preserve"> </w:t>
      </w:r>
      <w:r w:rsidR="003F54AA" w:rsidRPr="00DD5DD9">
        <w:t>administered by the TGA.</w:t>
      </w:r>
    </w:p>
    <w:p w14:paraId="63B47509" w14:textId="001AE6EC" w:rsidR="001B14FC" w:rsidRPr="00DD5DD9" w:rsidRDefault="001B14FC" w:rsidP="00213CE1">
      <w:pPr>
        <w:spacing w:after="0"/>
        <w:jc w:val="left"/>
      </w:pPr>
      <w:r w:rsidRPr="00DD5DD9">
        <w:t xml:space="preserve">To maintain testing accreditation, Australian laboratories </w:t>
      </w:r>
      <w:r w:rsidR="004C657F" w:rsidRPr="00DD5DD9">
        <w:t>must</w:t>
      </w:r>
      <w:r w:rsidRPr="00DD5DD9">
        <w:t xml:space="preserve"> participate in a relevant quality assurance program, to </w:t>
      </w:r>
      <w:r w:rsidR="00BF5CF1" w:rsidRPr="00DD5DD9">
        <w:t xml:space="preserve">monitor performance and </w:t>
      </w:r>
      <w:r w:rsidRPr="00DD5DD9">
        <w:t xml:space="preserve">ensure SARS-CoV-2 test results are accurate and reliable. The Australian Government supports the Royal College of Pathologists of Australasia Quality Assurance Program Pty Ltd (RCPAQAP) to provide a proficiency testing program (PTP) for SARS-CoV-2. </w:t>
      </w:r>
      <w:r w:rsidR="004C657F" w:rsidRPr="00DD5DD9">
        <w:t>The RCPAQAP develops and offers b</w:t>
      </w:r>
      <w:r w:rsidRPr="00DD5DD9">
        <w:t>oth</w:t>
      </w:r>
      <w:r w:rsidR="00B84D87" w:rsidRPr="00DD5DD9">
        <w:t xml:space="preserve"> </w:t>
      </w:r>
      <w:r w:rsidR="001F3AAF" w:rsidRPr="00DD5DD9">
        <w:t>RT-</w:t>
      </w:r>
      <w:r w:rsidRPr="00DD5DD9">
        <w:t>PCR</w:t>
      </w:r>
      <w:r w:rsidR="00A7477E" w:rsidRPr="00DD5DD9">
        <w:t xml:space="preserve">, </w:t>
      </w:r>
      <w:r w:rsidRPr="00DD5DD9">
        <w:t>serology</w:t>
      </w:r>
      <w:r w:rsidR="00A7477E" w:rsidRPr="00DD5DD9">
        <w:t xml:space="preserve"> and genomics</w:t>
      </w:r>
      <w:r w:rsidRPr="00DD5DD9">
        <w:t xml:space="preserve"> PTPs.</w:t>
      </w:r>
    </w:p>
    <w:p w14:paraId="772998CD" w14:textId="77777777" w:rsidR="005711CF" w:rsidRPr="00DD5DD9" w:rsidRDefault="005711CF" w:rsidP="00213CE1">
      <w:pPr>
        <w:spacing w:after="0"/>
        <w:jc w:val="left"/>
      </w:pPr>
    </w:p>
    <w:p w14:paraId="6708146E" w14:textId="377A4816" w:rsidR="00E3623F" w:rsidRPr="00DD5DD9" w:rsidRDefault="6BCD4417" w:rsidP="00213CE1">
      <w:pPr>
        <w:pStyle w:val="Heading2"/>
      </w:pPr>
      <w:bookmarkStart w:id="134" w:name="_Toc56505908"/>
      <w:bookmarkStart w:id="135" w:name="_Toc56516101"/>
      <w:bookmarkStart w:id="136" w:name="_Toc56712901"/>
      <w:bookmarkStart w:id="137" w:name="_Toc56713017"/>
      <w:bookmarkStart w:id="138" w:name="_Toc57127218"/>
      <w:bookmarkStart w:id="139" w:name="_Toc57149396"/>
      <w:bookmarkStart w:id="140" w:name="_Toc57187383"/>
      <w:bookmarkStart w:id="141" w:name="_Toc58453408"/>
      <w:bookmarkStart w:id="142" w:name="_Toc58453496"/>
      <w:bookmarkStart w:id="143" w:name="_Toc1738490895"/>
      <w:bookmarkStart w:id="144" w:name="_Toc1519790636"/>
      <w:bookmarkStart w:id="145" w:name="_Toc93492891"/>
      <w:r w:rsidRPr="00DD5DD9">
        <w:t>Maximum Daily Throughput Capacity</w:t>
      </w:r>
      <w:bookmarkEnd w:id="134"/>
      <w:bookmarkEnd w:id="135"/>
      <w:bookmarkEnd w:id="136"/>
      <w:bookmarkEnd w:id="137"/>
      <w:bookmarkEnd w:id="138"/>
      <w:bookmarkEnd w:id="139"/>
      <w:bookmarkEnd w:id="140"/>
      <w:bookmarkEnd w:id="141"/>
      <w:bookmarkEnd w:id="142"/>
      <w:bookmarkEnd w:id="143"/>
      <w:bookmarkEnd w:id="144"/>
      <w:bookmarkEnd w:id="145"/>
    </w:p>
    <w:p w14:paraId="23CA7546" w14:textId="2574808D" w:rsidR="006B6D3B" w:rsidRPr="00DD5DD9" w:rsidRDefault="75A0E8DA" w:rsidP="00F00EA6">
      <w:pPr>
        <w:jc w:val="left"/>
      </w:pPr>
      <w:r w:rsidRPr="00DD5DD9">
        <w:t xml:space="preserve">Australia has the </w:t>
      </w:r>
      <w:r w:rsidR="67302E84" w:rsidRPr="00DD5DD9">
        <w:t xml:space="preserve">laboratory </w:t>
      </w:r>
      <w:r w:rsidRPr="00DD5DD9">
        <w:t>capability and capacity to meet the testing demand</w:t>
      </w:r>
      <w:r w:rsidR="67302E84" w:rsidRPr="00DD5DD9">
        <w:t>s, including asymptomatic testing, for Epidemiological Zones 1 and 2</w:t>
      </w:r>
      <w:r w:rsidRPr="00DD5DD9">
        <w:t>.</w:t>
      </w:r>
      <w:r w:rsidR="67302E84" w:rsidRPr="00DD5DD9">
        <w:t xml:space="preserve"> </w:t>
      </w:r>
      <w:r w:rsidR="09DFFEE0" w:rsidRPr="00DD5DD9">
        <w:t>In</w:t>
      </w:r>
      <w:r w:rsidR="67302E84" w:rsidRPr="00DD5DD9">
        <w:t xml:space="preserve"> Epidemiological Zone 3, this finite capacity may be strained</w:t>
      </w:r>
      <w:r w:rsidR="3B24B76B" w:rsidRPr="00DD5DD9">
        <w:t xml:space="preserve"> and in Epidemiological Zone 4 it will be overwhelmed</w:t>
      </w:r>
      <w:r w:rsidR="5BDBDC85" w:rsidRPr="00DD5DD9">
        <w:t xml:space="preserve">. </w:t>
      </w:r>
      <w:r w:rsidR="5BDBDC85" w:rsidRPr="00DD5DD9">
        <w:lastRenderedPageBreak/>
        <w:t>L</w:t>
      </w:r>
      <w:r w:rsidR="67302E84" w:rsidRPr="00DD5DD9">
        <w:t xml:space="preserve">aboratory-based </w:t>
      </w:r>
      <w:r w:rsidR="4058D321" w:rsidRPr="00DD5DD9">
        <w:t>RT-</w:t>
      </w:r>
      <w:r w:rsidR="67302E84" w:rsidRPr="00DD5DD9">
        <w:t xml:space="preserve">PCR testing </w:t>
      </w:r>
      <w:r w:rsidR="09DFFEE0" w:rsidRPr="00DD5DD9">
        <w:t>may</w:t>
      </w:r>
      <w:r w:rsidR="67302E84" w:rsidRPr="00DD5DD9">
        <w:t xml:space="preserve"> need to be reserved for symptomatic individuals and upstream contact tracing when TAT</w:t>
      </w:r>
      <w:r w:rsidR="5BDBDC85" w:rsidRPr="00DD5DD9">
        <w:t>s take</w:t>
      </w:r>
      <w:r w:rsidR="67302E84" w:rsidRPr="00DD5DD9">
        <w:t xml:space="preserve"> more than 24-hours.</w:t>
      </w:r>
      <w:r w:rsidRPr="00DD5DD9">
        <w:t xml:space="preserve"> </w:t>
      </w:r>
      <w:r w:rsidR="67302E84" w:rsidRPr="00DD5DD9">
        <w:t xml:space="preserve">The </w:t>
      </w:r>
      <w:r w:rsidRPr="00DD5DD9">
        <w:t xml:space="preserve">maximum daily </w:t>
      </w:r>
      <w:r w:rsidR="67302E84" w:rsidRPr="00DD5DD9">
        <w:t xml:space="preserve">laboratory-based testing </w:t>
      </w:r>
      <w:r w:rsidRPr="00DD5DD9">
        <w:t>throughput cannot increase without</w:t>
      </w:r>
      <w:r w:rsidR="56967B40" w:rsidRPr="00DD5DD9">
        <w:t>:</w:t>
      </w:r>
      <w:r w:rsidRPr="00DD5DD9">
        <w:t xml:space="preserve"> </w:t>
      </w:r>
    </w:p>
    <w:p w14:paraId="31D04AC9" w14:textId="47DB77D1" w:rsidR="006B6D3B" w:rsidRPr="00DD5DD9" w:rsidRDefault="00E3623F" w:rsidP="00700E84">
      <w:pPr>
        <w:pStyle w:val="ListParagraph"/>
        <w:numPr>
          <w:ilvl w:val="0"/>
          <w:numId w:val="9"/>
        </w:numPr>
        <w:jc w:val="left"/>
      </w:pPr>
      <w:r w:rsidRPr="00DD5DD9">
        <w:t>procuring new platforms</w:t>
      </w:r>
    </w:p>
    <w:p w14:paraId="1BA2A6A7" w14:textId="4990656A" w:rsidR="006B6D3B" w:rsidRPr="00DD5DD9" w:rsidRDefault="00E3623F" w:rsidP="00700E84">
      <w:pPr>
        <w:pStyle w:val="ListParagraph"/>
        <w:numPr>
          <w:ilvl w:val="0"/>
          <w:numId w:val="9"/>
        </w:numPr>
        <w:jc w:val="left"/>
      </w:pPr>
      <w:r w:rsidRPr="00DD5DD9">
        <w:t>training new skilled medical laboratory scientists</w:t>
      </w:r>
      <w:r w:rsidR="001F3AAF" w:rsidRPr="00DD5DD9">
        <w:t xml:space="preserve"> and</w:t>
      </w:r>
    </w:p>
    <w:p w14:paraId="38879A28" w14:textId="77777777" w:rsidR="006B6D3B" w:rsidRPr="00DD5DD9" w:rsidRDefault="00E3623F" w:rsidP="00700E84">
      <w:pPr>
        <w:pStyle w:val="ListParagraph"/>
        <w:numPr>
          <w:ilvl w:val="0"/>
          <w:numId w:val="9"/>
        </w:numPr>
        <w:jc w:val="left"/>
      </w:pPr>
      <w:r w:rsidRPr="00DD5DD9">
        <w:t xml:space="preserve">identifying additional laboratory space. </w:t>
      </w:r>
    </w:p>
    <w:p w14:paraId="011961A4" w14:textId="2A06D741" w:rsidR="00A000AE" w:rsidRPr="00DD5DD9" w:rsidRDefault="56967B40" w:rsidP="00213CE1">
      <w:pPr>
        <w:spacing w:after="0"/>
        <w:jc w:val="left"/>
      </w:pPr>
      <w:r w:rsidRPr="00DD5DD9">
        <w:t xml:space="preserve">Specially trained scientists are required to operate </w:t>
      </w:r>
      <w:r w:rsidR="75A0E8DA" w:rsidRPr="00DD5DD9">
        <w:t>RT-PCR testing platforms</w:t>
      </w:r>
      <w:r w:rsidRPr="00DD5DD9">
        <w:t xml:space="preserve">. </w:t>
      </w:r>
      <w:r w:rsidR="41A857E2" w:rsidRPr="00DD5DD9">
        <w:t xml:space="preserve">This workforce is </w:t>
      </w:r>
      <w:r w:rsidR="75A0E8DA" w:rsidRPr="00DD5DD9">
        <w:t>finite.</w:t>
      </w:r>
    </w:p>
    <w:p w14:paraId="677A2E61" w14:textId="17C8352C" w:rsidR="6A9820AC" w:rsidRPr="00DD5DD9" w:rsidRDefault="6A9820AC" w:rsidP="00213CE1">
      <w:pPr>
        <w:spacing w:after="0"/>
        <w:jc w:val="left"/>
        <w:rPr>
          <w:rFonts w:ascii="Calibri" w:eastAsia="Calibri" w:hAnsi="Calibri"/>
          <w:szCs w:val="24"/>
        </w:rPr>
      </w:pPr>
    </w:p>
    <w:p w14:paraId="60ABA97D" w14:textId="289E3B85" w:rsidR="001B14FC" w:rsidRPr="00DD5DD9" w:rsidRDefault="66393775" w:rsidP="00213CE1">
      <w:pPr>
        <w:pStyle w:val="Heading2"/>
      </w:pPr>
      <w:bookmarkStart w:id="146" w:name="_Toc56505909"/>
      <w:bookmarkStart w:id="147" w:name="_Toc56516102"/>
      <w:bookmarkStart w:id="148" w:name="_Toc56712902"/>
      <w:bookmarkStart w:id="149" w:name="_Toc56713018"/>
      <w:bookmarkStart w:id="150" w:name="_Toc57127219"/>
      <w:bookmarkStart w:id="151" w:name="_Toc57149397"/>
      <w:bookmarkStart w:id="152" w:name="_Toc57187384"/>
      <w:bookmarkStart w:id="153" w:name="_Toc58453409"/>
      <w:bookmarkStart w:id="154" w:name="_Toc58453497"/>
      <w:bookmarkStart w:id="155" w:name="_Toc78617670"/>
      <w:bookmarkStart w:id="156" w:name="_Toc475171297"/>
      <w:bookmarkStart w:id="157" w:name="_Toc93492892"/>
      <w:r w:rsidRPr="00DD5DD9">
        <w:t>Supply of testing consumables</w:t>
      </w:r>
      <w:bookmarkEnd w:id="146"/>
      <w:bookmarkEnd w:id="147"/>
      <w:bookmarkEnd w:id="148"/>
      <w:bookmarkEnd w:id="149"/>
      <w:bookmarkEnd w:id="150"/>
      <w:bookmarkEnd w:id="151"/>
      <w:bookmarkEnd w:id="152"/>
      <w:bookmarkEnd w:id="153"/>
      <w:bookmarkEnd w:id="154"/>
      <w:bookmarkEnd w:id="155"/>
      <w:bookmarkEnd w:id="156"/>
      <w:bookmarkEnd w:id="157"/>
    </w:p>
    <w:p w14:paraId="34920903" w14:textId="2F06DEF1" w:rsidR="001B14FC" w:rsidRPr="00DD5DD9" w:rsidRDefault="001B14FC" w:rsidP="00F00EA6">
      <w:pPr>
        <w:jc w:val="left"/>
      </w:pPr>
      <w:r w:rsidRPr="00DD5DD9">
        <w:t xml:space="preserve">The supply of laboratory consumables </w:t>
      </w:r>
      <w:r w:rsidR="001240EF" w:rsidRPr="00DD5DD9">
        <w:t>needed</w:t>
      </w:r>
      <w:r w:rsidRPr="00DD5DD9">
        <w:t xml:space="preserve"> for </w:t>
      </w:r>
      <w:r w:rsidR="00E40B83" w:rsidRPr="00DD5DD9">
        <w:t>RT-</w:t>
      </w:r>
      <w:r w:rsidRPr="00DD5DD9">
        <w:t>PCR testing such as nucleic acid extraction kits, swabs</w:t>
      </w:r>
      <w:r w:rsidR="00EB12B8" w:rsidRPr="00DD5DD9">
        <w:t>, rapid antigen tests</w:t>
      </w:r>
      <w:r w:rsidRPr="00DD5DD9">
        <w:t xml:space="preserve"> and personal protective equipment</w:t>
      </w:r>
      <w:r w:rsidR="007E490E" w:rsidRPr="00DD5DD9">
        <w:t xml:space="preserve"> are sometimes</w:t>
      </w:r>
      <w:r w:rsidRPr="00DD5DD9">
        <w:t xml:space="preserve"> limited </w:t>
      </w:r>
      <w:r w:rsidR="00F53A5B" w:rsidRPr="00DD5DD9">
        <w:t>because of</w:t>
      </w:r>
      <w:r w:rsidRPr="00DD5DD9">
        <w:t xml:space="preserve"> global supply pressures.</w:t>
      </w:r>
      <w:r w:rsidR="005217EB" w:rsidRPr="00DD5DD9">
        <w:t xml:space="preserve"> Similarly, there is a limited supply of rapid </w:t>
      </w:r>
      <w:r w:rsidR="00EB12B8" w:rsidRPr="00DD5DD9">
        <w:t xml:space="preserve">point-of-care </w:t>
      </w:r>
      <w:r w:rsidR="005217EB" w:rsidRPr="00DD5DD9">
        <w:t>nucleic acid amplification tests (NAAT), which are commonly used in emergency departments and to support t</w:t>
      </w:r>
      <w:r w:rsidRPr="00DD5DD9">
        <w:t>he rapid COVID-19 Remote Point of Care Testing Program for remote and rural Aboriginal and Torres Strait Islander communities</w:t>
      </w:r>
      <w:r w:rsidR="005217EB" w:rsidRPr="00DD5DD9">
        <w:t xml:space="preserve">. </w:t>
      </w:r>
      <w:r w:rsidR="00C25C30" w:rsidRPr="00DD5DD9">
        <w:t>Conscious of th</w:t>
      </w:r>
      <w:r w:rsidR="005217EB" w:rsidRPr="00DD5DD9">
        <w:t>ese supply constraints</w:t>
      </w:r>
      <w:r w:rsidR="00C25C30" w:rsidRPr="00DD5DD9">
        <w:t xml:space="preserve">, several </w:t>
      </w:r>
      <w:r w:rsidR="00A01794" w:rsidRPr="00DD5DD9">
        <w:t>jurisdictions have developed guidance for rational use</w:t>
      </w:r>
      <w:r w:rsidR="007E490E" w:rsidRPr="00DD5DD9">
        <w:t>. For example</w:t>
      </w:r>
      <w:r w:rsidR="00FC5273" w:rsidRPr="00DD5DD9">
        <w:t xml:space="preserve"> the</w:t>
      </w:r>
      <w:r w:rsidR="00A01794" w:rsidRPr="00DD5DD9">
        <w:t xml:space="preserve"> </w:t>
      </w:r>
      <w:hyperlink r:id="rId32" w:history="1">
        <w:r w:rsidR="00A01794" w:rsidRPr="00DD5DD9">
          <w:rPr>
            <w:rStyle w:val="Hyperlink"/>
            <w:i/>
          </w:rPr>
          <w:t>Guidance for the rational use of Point-of-Care Testing in primary</w:t>
        </w:r>
        <w:r w:rsidR="00A01794" w:rsidRPr="00DD5DD9">
          <w:rPr>
            <w:rStyle w:val="Hyperlink"/>
            <w:i/>
            <w:spacing w:val="-39"/>
          </w:rPr>
          <w:t xml:space="preserve"> </w:t>
        </w:r>
        <w:r w:rsidR="00A01794" w:rsidRPr="00DD5DD9">
          <w:rPr>
            <w:rStyle w:val="Hyperlink"/>
            <w:i/>
          </w:rPr>
          <w:t>care</w:t>
        </w:r>
        <w:r w:rsidR="00A01794" w:rsidRPr="00DD5DD9">
          <w:rPr>
            <w:rStyle w:val="Hyperlink"/>
          </w:rPr>
          <w:t xml:space="preserve"> (Appendix 1 of the </w:t>
        </w:r>
        <w:r w:rsidR="00A01794" w:rsidRPr="00DD5DD9">
          <w:rPr>
            <w:rStyle w:val="Hyperlink"/>
            <w:i/>
          </w:rPr>
          <w:t>CDNA National Guidance for remote Aboriginal and Torres Strait Islander communities for COVID-19</w:t>
        </w:r>
        <w:r w:rsidR="00A01794" w:rsidRPr="00DD5DD9">
          <w:rPr>
            <w:rStyle w:val="Hyperlink"/>
          </w:rPr>
          <w:t>)</w:t>
        </w:r>
      </w:hyperlink>
      <w:r w:rsidR="00A01794" w:rsidRPr="00DD5DD9">
        <w:t xml:space="preserve"> and </w:t>
      </w:r>
      <w:hyperlink r:id="rId33" w:history="1">
        <w:r w:rsidR="00A01794" w:rsidRPr="00DD5DD9">
          <w:rPr>
            <w:rStyle w:val="Hyperlink"/>
            <w:i/>
          </w:rPr>
          <w:t>Rapid testing – NSW Health</w:t>
        </w:r>
      </w:hyperlink>
      <w:r w:rsidRPr="00DD5DD9">
        <w:t xml:space="preserve">. </w:t>
      </w:r>
    </w:p>
    <w:p w14:paraId="61708171" w14:textId="7663913A" w:rsidR="001B14FC" w:rsidRPr="00DD5DD9" w:rsidRDefault="46BA94AA" w:rsidP="00BE67D5">
      <w:pPr>
        <w:spacing w:after="0"/>
        <w:jc w:val="left"/>
      </w:pPr>
      <w:r w:rsidRPr="00DD5DD9">
        <w:t xml:space="preserve">The Australian Government </w:t>
      </w:r>
      <w:r w:rsidR="61727F96" w:rsidRPr="00DD5DD9">
        <w:t>continue</w:t>
      </w:r>
      <w:r w:rsidR="090A027C" w:rsidRPr="00DD5DD9">
        <w:t>s</w:t>
      </w:r>
      <w:r w:rsidR="61727F96" w:rsidRPr="00DD5DD9">
        <w:t xml:space="preserve"> to monitor</w:t>
      </w:r>
      <w:r w:rsidR="10B0B276" w:rsidRPr="00DD5DD9">
        <w:t xml:space="preserve"> supply chains for tests, reagents and swabs. The Australian Government </w:t>
      </w:r>
      <w:r w:rsidR="2989BF5F" w:rsidRPr="00DD5DD9">
        <w:t xml:space="preserve">continues to monitor and replenish, where appropriate, its </w:t>
      </w:r>
      <w:r w:rsidR="10B0B276" w:rsidRPr="00DD5DD9">
        <w:t xml:space="preserve">strategic reserve of </w:t>
      </w:r>
      <w:r w:rsidR="2989BF5F" w:rsidRPr="00DD5DD9">
        <w:t>medical</w:t>
      </w:r>
      <w:r w:rsidR="10B0B276" w:rsidRPr="00DD5DD9">
        <w:t xml:space="preserve"> supplies </w:t>
      </w:r>
      <w:r w:rsidR="61727F96" w:rsidRPr="00DD5DD9">
        <w:t>to mitigate any risk of</w:t>
      </w:r>
      <w:r w:rsidR="10B0B276" w:rsidRPr="00DD5DD9">
        <w:t xml:space="preserve"> international supply </w:t>
      </w:r>
      <w:r w:rsidR="61727F96" w:rsidRPr="00DD5DD9">
        <w:t xml:space="preserve">issues. </w:t>
      </w:r>
    </w:p>
    <w:p w14:paraId="187213A0" w14:textId="122A6EF1" w:rsidR="6A9820AC" w:rsidRPr="00DD5DD9" w:rsidRDefault="6A9820AC" w:rsidP="00BE67D5">
      <w:pPr>
        <w:spacing w:after="0"/>
        <w:jc w:val="left"/>
        <w:rPr>
          <w:rFonts w:ascii="Calibri" w:eastAsia="Calibri" w:hAnsi="Calibri"/>
          <w:szCs w:val="24"/>
        </w:rPr>
      </w:pPr>
    </w:p>
    <w:p w14:paraId="4EA523FA" w14:textId="4594B064" w:rsidR="00E3623F" w:rsidRPr="00DD5DD9" w:rsidRDefault="6BCD4417" w:rsidP="00BE67D5">
      <w:pPr>
        <w:pStyle w:val="Heading2"/>
      </w:pPr>
      <w:bookmarkStart w:id="158" w:name="_Toc56505910"/>
      <w:bookmarkStart w:id="159" w:name="_Toc56516103"/>
      <w:bookmarkStart w:id="160" w:name="_Toc56712903"/>
      <w:bookmarkStart w:id="161" w:name="_Toc56713019"/>
      <w:bookmarkStart w:id="162" w:name="_Toc57127220"/>
      <w:bookmarkStart w:id="163" w:name="_Toc57149398"/>
      <w:bookmarkStart w:id="164" w:name="_Toc57187385"/>
      <w:bookmarkStart w:id="165" w:name="_Toc58453410"/>
      <w:bookmarkStart w:id="166" w:name="_Toc58453498"/>
      <w:bookmarkStart w:id="167" w:name="_Toc1971000587"/>
      <w:bookmarkStart w:id="168" w:name="_Toc266680822"/>
      <w:bookmarkStart w:id="169" w:name="_Toc93492893"/>
      <w:r w:rsidRPr="00DD5DD9">
        <w:t>Workforce</w:t>
      </w:r>
      <w:bookmarkEnd w:id="158"/>
      <w:bookmarkEnd w:id="159"/>
      <w:bookmarkEnd w:id="160"/>
      <w:bookmarkEnd w:id="161"/>
      <w:bookmarkEnd w:id="162"/>
      <w:bookmarkEnd w:id="163"/>
      <w:bookmarkEnd w:id="164"/>
      <w:bookmarkEnd w:id="165"/>
      <w:bookmarkEnd w:id="166"/>
      <w:bookmarkEnd w:id="167"/>
      <w:bookmarkEnd w:id="168"/>
      <w:bookmarkEnd w:id="169"/>
    </w:p>
    <w:p w14:paraId="07A424FB" w14:textId="64C7683C" w:rsidR="003E13C3" w:rsidRPr="00DD5DD9" w:rsidRDefault="75A0E8DA" w:rsidP="00BE67D5">
      <w:pPr>
        <w:spacing w:after="0"/>
        <w:jc w:val="left"/>
      </w:pPr>
      <w:r w:rsidRPr="00DD5DD9">
        <w:t xml:space="preserve">The technically skilled </w:t>
      </w:r>
      <w:r w:rsidR="55B81CD4" w:rsidRPr="00DD5DD9">
        <w:t xml:space="preserve">pathology collection and </w:t>
      </w:r>
      <w:r w:rsidRPr="00DD5DD9">
        <w:t>laboratory workforce</w:t>
      </w:r>
      <w:r w:rsidR="55B81CD4" w:rsidRPr="00DD5DD9">
        <w:t>s</w:t>
      </w:r>
      <w:r w:rsidRPr="00DD5DD9">
        <w:t xml:space="preserve"> </w:t>
      </w:r>
      <w:r w:rsidR="55B81CD4" w:rsidRPr="00DD5DD9">
        <w:t xml:space="preserve">are </w:t>
      </w:r>
      <w:r w:rsidRPr="00DD5DD9">
        <w:t>finite</w:t>
      </w:r>
      <w:r w:rsidR="49037C3B" w:rsidRPr="00DD5DD9">
        <w:t>. They</w:t>
      </w:r>
      <w:r w:rsidRPr="00DD5DD9">
        <w:t xml:space="preserve"> can come under significant pressure in </w:t>
      </w:r>
      <w:r w:rsidR="41A857E2" w:rsidRPr="00DD5DD9">
        <w:t xml:space="preserve">times of </w:t>
      </w:r>
      <w:r w:rsidR="72D50828" w:rsidRPr="00DD5DD9">
        <w:t>increased</w:t>
      </w:r>
      <w:r w:rsidRPr="00DD5DD9">
        <w:t xml:space="preserve"> testing</w:t>
      </w:r>
      <w:r w:rsidR="21927DF0" w:rsidRPr="00DD5DD9">
        <w:t xml:space="preserve"> and have an increased risk of being furloughed</w:t>
      </w:r>
      <w:r w:rsidRPr="00DD5DD9">
        <w:t xml:space="preserve">. These workers </w:t>
      </w:r>
      <w:r w:rsidR="41A857E2" w:rsidRPr="00DD5DD9">
        <w:t>must</w:t>
      </w:r>
      <w:r w:rsidRPr="00DD5DD9">
        <w:t xml:space="preserve"> maintain </w:t>
      </w:r>
      <w:r w:rsidR="09DFFEE0" w:rsidRPr="00DD5DD9">
        <w:t>extra</w:t>
      </w:r>
      <w:r w:rsidRPr="00DD5DD9">
        <w:t xml:space="preserve"> infection </w:t>
      </w:r>
      <w:r w:rsidR="2DF64B56" w:rsidRPr="00DD5DD9">
        <w:t xml:space="preserve">prevention </w:t>
      </w:r>
      <w:r w:rsidRPr="00DD5DD9">
        <w:t xml:space="preserve">measures and work split shifts to </w:t>
      </w:r>
      <w:r w:rsidR="09DFFEE0" w:rsidRPr="00DD5DD9">
        <w:t>protect and sustain service delivery.</w:t>
      </w:r>
      <w:r w:rsidRPr="00DD5DD9">
        <w:t xml:space="preserve"> Several laboratories across Australia are operating 24 hours a day, seven days per week. This </w:t>
      </w:r>
      <w:r w:rsidR="5BDBDC85" w:rsidRPr="00DD5DD9">
        <w:t>means</w:t>
      </w:r>
      <w:r w:rsidRPr="00DD5DD9">
        <w:t xml:space="preserve"> </w:t>
      </w:r>
      <w:r w:rsidR="55B81CD4" w:rsidRPr="00DD5DD9">
        <w:t xml:space="preserve">laboratory </w:t>
      </w:r>
      <w:r w:rsidRPr="00DD5DD9">
        <w:t xml:space="preserve">staff </w:t>
      </w:r>
      <w:r w:rsidR="49037C3B" w:rsidRPr="00DD5DD9">
        <w:t>are working</w:t>
      </w:r>
      <w:r w:rsidRPr="00DD5DD9">
        <w:t xml:space="preserve"> 12–14</w:t>
      </w:r>
      <w:r w:rsidR="6F2A9A36" w:rsidRPr="00DD5DD9">
        <w:t>-</w:t>
      </w:r>
      <w:r w:rsidRPr="00DD5DD9">
        <w:t>hour shifts at a time.</w:t>
      </w:r>
      <w:r w:rsidR="55B81CD4" w:rsidRPr="00DD5DD9">
        <w:t xml:space="preserve"> </w:t>
      </w:r>
      <w:r w:rsidR="6F2A9A36" w:rsidRPr="00DD5DD9">
        <w:t>In times</w:t>
      </w:r>
      <w:r w:rsidR="55B81CD4" w:rsidRPr="00DD5DD9">
        <w:t xml:space="preserve"> of increased testing demand</w:t>
      </w:r>
      <w:r w:rsidR="6F2A9A36" w:rsidRPr="00DD5DD9">
        <w:t>, w</w:t>
      </w:r>
      <w:r w:rsidR="55B81CD4" w:rsidRPr="00DD5DD9">
        <w:t xml:space="preserve">orkforce contingency planning </w:t>
      </w:r>
      <w:r w:rsidR="5BDBDC85" w:rsidRPr="00DD5DD9">
        <w:t>must</w:t>
      </w:r>
      <w:r w:rsidR="55B81CD4" w:rsidRPr="00DD5DD9">
        <w:t xml:space="preserve"> include planning for these workforces.</w:t>
      </w:r>
    </w:p>
    <w:p w14:paraId="6897538D" w14:textId="77777777" w:rsidR="004B62F1" w:rsidRPr="00DD5DD9" w:rsidRDefault="004B62F1" w:rsidP="00BE67D5">
      <w:pPr>
        <w:spacing w:after="0"/>
        <w:jc w:val="left"/>
      </w:pPr>
    </w:p>
    <w:p w14:paraId="2070C2DA" w14:textId="609B06E9" w:rsidR="00E3623F" w:rsidRPr="00DD5DD9" w:rsidRDefault="6BCD4417" w:rsidP="00BE67D5">
      <w:pPr>
        <w:pStyle w:val="Heading2"/>
      </w:pPr>
      <w:bookmarkStart w:id="170" w:name="_Toc56505912"/>
      <w:bookmarkStart w:id="171" w:name="_Toc56516105"/>
      <w:bookmarkStart w:id="172" w:name="_Toc56712905"/>
      <w:bookmarkStart w:id="173" w:name="_Toc56713021"/>
      <w:bookmarkStart w:id="174" w:name="_Toc57127222"/>
      <w:bookmarkStart w:id="175" w:name="_Toc57149400"/>
      <w:bookmarkStart w:id="176" w:name="_Toc57187387"/>
      <w:bookmarkStart w:id="177" w:name="_Toc58453411"/>
      <w:bookmarkStart w:id="178" w:name="_Toc58453499"/>
      <w:bookmarkStart w:id="179" w:name="_Toc1132592964"/>
      <w:bookmarkStart w:id="180" w:name="_Toc1822840201"/>
      <w:bookmarkStart w:id="181" w:name="_Toc93492894"/>
      <w:r w:rsidRPr="00DD5DD9">
        <w:t xml:space="preserve">Test request prioritisation in </w:t>
      </w:r>
      <w:r w:rsidR="72A78A97" w:rsidRPr="00DD5DD9">
        <w:t>laboratories</w:t>
      </w:r>
      <w:bookmarkEnd w:id="170"/>
      <w:bookmarkEnd w:id="171"/>
      <w:bookmarkEnd w:id="172"/>
      <w:bookmarkEnd w:id="173"/>
      <w:bookmarkEnd w:id="174"/>
      <w:bookmarkEnd w:id="175"/>
      <w:bookmarkEnd w:id="176"/>
      <w:bookmarkEnd w:id="177"/>
      <w:bookmarkEnd w:id="178"/>
      <w:bookmarkEnd w:id="179"/>
      <w:bookmarkEnd w:id="180"/>
      <w:bookmarkEnd w:id="181"/>
    </w:p>
    <w:p w14:paraId="20EFE9C2" w14:textId="736AC42E" w:rsidR="00E3623F" w:rsidRPr="00DD5DD9" w:rsidRDefault="00E3623F" w:rsidP="00F00EA6">
      <w:pPr>
        <w:jc w:val="left"/>
      </w:pPr>
      <w:r w:rsidRPr="00DD5DD9">
        <w:t xml:space="preserve">PHLN has developed a </w:t>
      </w:r>
      <w:hyperlink r:id="rId34" w:history="1">
        <w:r w:rsidRPr="00DD5DD9">
          <w:rPr>
            <w:rStyle w:val="Hyperlink"/>
            <w:i/>
            <w:iCs/>
          </w:rPr>
          <w:t>statement on the prioritisation of diagnostic testing for COVID-19</w:t>
        </w:r>
      </w:hyperlink>
      <w:r w:rsidRPr="00DD5DD9">
        <w:t xml:space="preserve">. PHLN encourages decision makers to </w:t>
      </w:r>
      <w:r w:rsidR="007E490E" w:rsidRPr="00DD5DD9">
        <w:t xml:space="preserve">target </w:t>
      </w:r>
      <w:r w:rsidRPr="00DD5DD9">
        <w:t>testing to strike the right balance between maintaining epidemic control and protecting the sustainability of laboratory capacity. Decision makers may include:</w:t>
      </w:r>
    </w:p>
    <w:p w14:paraId="52C50201" w14:textId="3811DD9D" w:rsidR="00846958" w:rsidRPr="00DD5DD9" w:rsidRDefault="00846958" w:rsidP="005244D4">
      <w:pPr>
        <w:pStyle w:val="ListParagraph"/>
        <w:numPr>
          <w:ilvl w:val="0"/>
          <w:numId w:val="10"/>
        </w:numPr>
        <w:jc w:val="left"/>
      </w:pPr>
      <w:r w:rsidRPr="00DD5DD9">
        <w:t>jurisdictional public health authorities</w:t>
      </w:r>
    </w:p>
    <w:p w14:paraId="2EE772AC" w14:textId="3A2FB1CE" w:rsidR="00E3623F" w:rsidRPr="00DD5DD9" w:rsidRDefault="00E3623F" w:rsidP="005244D4">
      <w:pPr>
        <w:pStyle w:val="ListParagraph"/>
        <w:numPr>
          <w:ilvl w:val="0"/>
          <w:numId w:val="10"/>
        </w:numPr>
        <w:jc w:val="left"/>
      </w:pPr>
      <w:r w:rsidRPr="00DD5DD9">
        <w:t>senior pathologists</w:t>
      </w:r>
    </w:p>
    <w:p w14:paraId="0026F6FF" w14:textId="77777777" w:rsidR="00E3623F" w:rsidRPr="00DD5DD9" w:rsidRDefault="00E3623F" w:rsidP="005244D4">
      <w:pPr>
        <w:pStyle w:val="ListParagraph"/>
        <w:numPr>
          <w:ilvl w:val="0"/>
          <w:numId w:val="10"/>
        </w:numPr>
        <w:jc w:val="left"/>
      </w:pPr>
      <w:r w:rsidRPr="00DD5DD9">
        <w:t>laboratory managers</w:t>
      </w:r>
    </w:p>
    <w:p w14:paraId="71DE4530" w14:textId="77777777" w:rsidR="00E3623F" w:rsidRPr="00DD5DD9" w:rsidRDefault="00E3623F" w:rsidP="005244D4">
      <w:pPr>
        <w:pStyle w:val="ListParagraph"/>
        <w:numPr>
          <w:ilvl w:val="0"/>
          <w:numId w:val="10"/>
        </w:numPr>
        <w:jc w:val="left"/>
      </w:pPr>
      <w:r w:rsidRPr="00DD5DD9">
        <w:t xml:space="preserve">referring practitioners </w:t>
      </w:r>
    </w:p>
    <w:p w14:paraId="77113740" w14:textId="77777777" w:rsidR="00E3623F" w:rsidRPr="00DD5DD9" w:rsidRDefault="00E3623F" w:rsidP="005244D4">
      <w:pPr>
        <w:pStyle w:val="ListParagraph"/>
        <w:numPr>
          <w:ilvl w:val="0"/>
          <w:numId w:val="10"/>
        </w:numPr>
        <w:jc w:val="left"/>
      </w:pPr>
      <w:r w:rsidRPr="00DD5DD9">
        <w:t>approved specimen collection personnel.</w:t>
      </w:r>
    </w:p>
    <w:p w14:paraId="6A81815E" w14:textId="23B88501" w:rsidR="00E3623F" w:rsidRPr="00DD5DD9" w:rsidRDefault="00E3623F" w:rsidP="00F00EA6">
      <w:pPr>
        <w:jc w:val="left"/>
      </w:pPr>
      <w:r w:rsidRPr="00DD5DD9">
        <w:lastRenderedPageBreak/>
        <w:t xml:space="preserve">This includes, where appropriate, </w:t>
      </w:r>
      <w:r w:rsidR="007E490E" w:rsidRPr="00DD5DD9">
        <w:t xml:space="preserve">prioritising </w:t>
      </w:r>
      <w:r w:rsidRPr="00DD5DD9">
        <w:t xml:space="preserve">diagnostic testing requests in line with the priority groups described </w:t>
      </w:r>
      <w:r w:rsidR="00106FAD" w:rsidRPr="00DD5DD9">
        <w:t>in this framework</w:t>
      </w:r>
      <w:r w:rsidRPr="00DD5DD9">
        <w:t>, where resourcing and capacity allows</w:t>
      </w:r>
      <w:r w:rsidR="00525314" w:rsidRPr="00DD5DD9">
        <w:t>, and when aligned with the National Plan</w:t>
      </w:r>
      <w:r w:rsidRPr="00DD5DD9">
        <w:t>.</w:t>
      </w:r>
    </w:p>
    <w:p w14:paraId="78D336AD" w14:textId="3FC3163B" w:rsidR="001F3AAF" w:rsidRPr="00DD5DD9" w:rsidRDefault="005323C6" w:rsidP="00BE67D5">
      <w:pPr>
        <w:spacing w:after="0"/>
        <w:jc w:val="left"/>
      </w:pPr>
      <w:r w:rsidRPr="00DD5DD9">
        <w:t xml:space="preserve">As described above, </w:t>
      </w:r>
      <w:r w:rsidR="001F3AAF" w:rsidRPr="00DD5DD9">
        <w:t xml:space="preserve">CDGN has also developed the </w:t>
      </w:r>
      <w:hyperlink r:id="rId35" w:history="1">
        <w:r w:rsidR="001F3AAF" w:rsidRPr="00DD5DD9">
          <w:rPr>
            <w:rStyle w:val="Hyperlink"/>
            <w:i/>
            <w:iCs/>
          </w:rPr>
          <w:t>Sampling strategy for SARS-CoV-2 genomic surveillance</w:t>
        </w:r>
      </w:hyperlink>
      <w:r w:rsidR="001F3AAF" w:rsidRPr="00DD5DD9">
        <w:t xml:space="preserve">. </w:t>
      </w:r>
      <w:r w:rsidR="004C657F" w:rsidRPr="00DD5DD9">
        <w:t>Decision-makers need to consider prioritising</w:t>
      </w:r>
      <w:r w:rsidR="004125F3" w:rsidRPr="00DD5DD9">
        <w:t xml:space="preserve"> COVID-19 samples for referral for sequencing in line with this advice.</w:t>
      </w:r>
    </w:p>
    <w:p w14:paraId="77251C7E" w14:textId="77777777" w:rsidR="003E13C3" w:rsidRPr="00DD5DD9" w:rsidRDefault="003E13C3" w:rsidP="00BE67D5">
      <w:pPr>
        <w:spacing w:after="0"/>
        <w:jc w:val="left"/>
      </w:pPr>
    </w:p>
    <w:p w14:paraId="3422C596" w14:textId="5E326166" w:rsidR="001B14FC" w:rsidRPr="00DD5DD9" w:rsidRDefault="66393775" w:rsidP="00BE67D5">
      <w:pPr>
        <w:pStyle w:val="Heading2"/>
      </w:pPr>
      <w:bookmarkStart w:id="182" w:name="_Toc56505913"/>
      <w:bookmarkStart w:id="183" w:name="_Toc56713022"/>
      <w:bookmarkStart w:id="184" w:name="_Toc57127223"/>
      <w:bookmarkStart w:id="185" w:name="_Toc57149401"/>
      <w:bookmarkStart w:id="186" w:name="_Toc57187388"/>
      <w:bookmarkStart w:id="187" w:name="_Toc58453412"/>
      <w:bookmarkStart w:id="188" w:name="_Toc58453500"/>
      <w:bookmarkStart w:id="189" w:name="_Toc1596703135"/>
      <w:bookmarkStart w:id="190" w:name="_Toc875463746"/>
      <w:bookmarkStart w:id="191" w:name="_Toc93492895"/>
      <w:r w:rsidRPr="00DD5DD9">
        <w:t>Community and clinician engagement</w:t>
      </w:r>
      <w:bookmarkEnd w:id="182"/>
      <w:bookmarkEnd w:id="183"/>
      <w:bookmarkEnd w:id="184"/>
      <w:bookmarkEnd w:id="185"/>
      <w:bookmarkEnd w:id="186"/>
      <w:bookmarkEnd w:id="187"/>
      <w:bookmarkEnd w:id="188"/>
      <w:bookmarkEnd w:id="189"/>
      <w:bookmarkEnd w:id="190"/>
      <w:bookmarkEnd w:id="191"/>
    </w:p>
    <w:p w14:paraId="3502D6CC" w14:textId="7A8C945D" w:rsidR="001B14FC" w:rsidRPr="00DD5DD9" w:rsidRDefault="001B14FC" w:rsidP="00F00EA6">
      <w:pPr>
        <w:jc w:val="left"/>
      </w:pPr>
      <w:r w:rsidRPr="00DD5DD9">
        <w:t xml:space="preserve">Community engagement is </w:t>
      </w:r>
      <w:r w:rsidR="004C657F" w:rsidRPr="00DD5DD9">
        <w:t>needed</w:t>
      </w:r>
      <w:r w:rsidRPr="00DD5DD9">
        <w:t xml:space="preserve"> to ensure high levels of presentation </w:t>
      </w:r>
      <w:r w:rsidR="007E490E" w:rsidRPr="00DD5DD9">
        <w:t>across all sections of the community</w:t>
      </w:r>
      <w:r w:rsidRPr="00DD5DD9">
        <w:t>. Community engagement should target:</w:t>
      </w:r>
    </w:p>
    <w:p w14:paraId="48F718A4" w14:textId="50F6C3E7" w:rsidR="001B14FC" w:rsidRPr="00DD5DD9" w:rsidRDefault="30DAB7F1" w:rsidP="005244D4">
      <w:pPr>
        <w:pStyle w:val="ListParagraph"/>
        <w:numPr>
          <w:ilvl w:val="0"/>
          <w:numId w:val="5"/>
        </w:numPr>
        <w:jc w:val="left"/>
      </w:pPr>
      <w:r w:rsidRPr="00DD5DD9">
        <w:t xml:space="preserve">the general public, to encourage symptomatic people get tested </w:t>
      </w:r>
      <w:r w:rsidR="72D50828" w:rsidRPr="00DD5DD9">
        <w:t xml:space="preserve">as soon as they develop </w:t>
      </w:r>
      <w:r w:rsidR="2E022ACC" w:rsidRPr="00DD5DD9">
        <w:t xml:space="preserve">COVID-19 compatible </w:t>
      </w:r>
      <w:r w:rsidR="72D50828" w:rsidRPr="00DD5DD9">
        <w:t>symptoms</w:t>
      </w:r>
      <w:r w:rsidR="24ACCF0B" w:rsidRPr="00DD5DD9">
        <w:t xml:space="preserve"> and</w:t>
      </w:r>
    </w:p>
    <w:p w14:paraId="4A791ED3" w14:textId="5A4BA0D0" w:rsidR="001B14FC" w:rsidRPr="00DD5DD9" w:rsidRDefault="001B14FC" w:rsidP="005244D4">
      <w:pPr>
        <w:pStyle w:val="ListParagraph"/>
        <w:numPr>
          <w:ilvl w:val="0"/>
          <w:numId w:val="5"/>
        </w:numPr>
        <w:jc w:val="left"/>
      </w:pPr>
      <w:r w:rsidRPr="00DD5DD9">
        <w:t>health professionals, to encourage appropriate testing against expanded testing criteria.</w:t>
      </w:r>
    </w:p>
    <w:p w14:paraId="23A056ED" w14:textId="00C19A73" w:rsidR="001B14FC" w:rsidRPr="00DD5DD9" w:rsidRDefault="004C657F" w:rsidP="00F00EA6">
      <w:pPr>
        <w:jc w:val="left"/>
      </w:pPr>
      <w:r w:rsidRPr="00DD5DD9">
        <w:t>Adapt m</w:t>
      </w:r>
      <w:r w:rsidR="001B14FC" w:rsidRPr="00DD5DD9">
        <w:t>essages and modes of delivery to the needs of diverse population groups</w:t>
      </w:r>
      <w:r w:rsidR="00B017FA" w:rsidRPr="00DD5DD9">
        <w:t>. Consider</w:t>
      </w:r>
      <w:r w:rsidR="001B14FC" w:rsidRPr="00DD5DD9">
        <w:t xml:space="preserve">: </w:t>
      </w:r>
    </w:p>
    <w:p w14:paraId="59338682" w14:textId="08EB2494" w:rsidR="001B14FC" w:rsidRPr="00DD5DD9" w:rsidRDefault="001B14FC" w:rsidP="005244D4">
      <w:pPr>
        <w:pStyle w:val="ListParagraph"/>
        <w:numPr>
          <w:ilvl w:val="0"/>
          <w:numId w:val="10"/>
        </w:numPr>
        <w:jc w:val="left"/>
      </w:pPr>
      <w:r w:rsidRPr="00DD5DD9">
        <w:t xml:space="preserve">cultural and </w:t>
      </w:r>
      <w:r w:rsidR="00A95C70" w:rsidRPr="00DD5DD9">
        <w:t>linguistic</w:t>
      </w:r>
      <w:r w:rsidR="00B82C08" w:rsidRPr="00DD5DD9">
        <w:t xml:space="preserve"> diversity </w:t>
      </w:r>
      <w:r w:rsidRPr="00DD5DD9">
        <w:t xml:space="preserve">and Aboriginal and/or Torres </w:t>
      </w:r>
      <w:r w:rsidR="003F54AA" w:rsidRPr="00DD5DD9">
        <w:t>Strait</w:t>
      </w:r>
      <w:r w:rsidR="00A95C70" w:rsidRPr="00DD5DD9">
        <w:t xml:space="preserve"> Islander background</w:t>
      </w:r>
      <w:r w:rsidRPr="00DD5DD9">
        <w:t xml:space="preserve"> (this includes </w:t>
      </w:r>
      <w:r w:rsidR="004C657F" w:rsidRPr="00DD5DD9">
        <w:t>translating</w:t>
      </w:r>
      <w:r w:rsidRPr="00DD5DD9">
        <w:t xml:space="preserve"> into language and </w:t>
      </w:r>
      <w:r w:rsidR="00106FAD" w:rsidRPr="00DD5DD9">
        <w:t xml:space="preserve">engaging with trusted </w:t>
      </w:r>
      <w:r w:rsidRPr="00DD5DD9">
        <w:t>community leaders to further disseminate key information</w:t>
      </w:r>
      <w:r w:rsidR="00106FAD" w:rsidRPr="00DD5DD9">
        <w:t xml:space="preserve"> using appropriate media</w:t>
      </w:r>
      <w:r w:rsidRPr="00DD5DD9">
        <w:t>)</w:t>
      </w:r>
    </w:p>
    <w:p w14:paraId="500F0A35" w14:textId="3FE6E548" w:rsidR="00B82C08" w:rsidRPr="00DD5DD9" w:rsidRDefault="00B82C08" w:rsidP="005244D4">
      <w:pPr>
        <w:pStyle w:val="ListParagraph"/>
        <w:numPr>
          <w:ilvl w:val="0"/>
          <w:numId w:val="10"/>
        </w:numPr>
        <w:jc w:val="left"/>
      </w:pPr>
      <w:r w:rsidRPr="00DD5DD9">
        <w:t>health literacy</w:t>
      </w:r>
    </w:p>
    <w:p w14:paraId="4EDFDF95" w14:textId="17F6D8BF" w:rsidR="001B14FC" w:rsidRPr="00DD5DD9" w:rsidRDefault="001B14FC" w:rsidP="005244D4">
      <w:pPr>
        <w:pStyle w:val="ListParagraph"/>
        <w:numPr>
          <w:ilvl w:val="0"/>
          <w:numId w:val="10"/>
        </w:numPr>
        <w:jc w:val="left"/>
      </w:pPr>
      <w:r w:rsidRPr="00DD5DD9">
        <w:t>occupation</w:t>
      </w:r>
      <w:r w:rsidR="002871F3" w:rsidRPr="00DD5DD9">
        <w:t xml:space="preserve"> and</w:t>
      </w:r>
    </w:p>
    <w:p w14:paraId="4583921A" w14:textId="73E5C5D7" w:rsidR="001B14FC" w:rsidRPr="00DD5DD9" w:rsidRDefault="00A95C70" w:rsidP="005244D4">
      <w:pPr>
        <w:pStyle w:val="ListParagraph"/>
        <w:numPr>
          <w:ilvl w:val="0"/>
          <w:numId w:val="10"/>
        </w:numPr>
        <w:jc w:val="left"/>
      </w:pPr>
      <w:r w:rsidRPr="00DD5DD9">
        <w:t xml:space="preserve">geographical </w:t>
      </w:r>
      <w:r w:rsidR="001B14FC" w:rsidRPr="00DD5DD9">
        <w:t>areas with changing epidemiology</w:t>
      </w:r>
      <w:r w:rsidR="00A01794" w:rsidRPr="00DD5DD9">
        <w:t xml:space="preserve">, including where SARS-CoV-2 </w:t>
      </w:r>
      <w:r w:rsidR="00F53A5B" w:rsidRPr="00DD5DD9">
        <w:t>is</w:t>
      </w:r>
      <w:r w:rsidR="00A01794" w:rsidRPr="00DD5DD9">
        <w:t xml:space="preserve"> detected in wastewater</w:t>
      </w:r>
      <w:r w:rsidR="001B14FC" w:rsidRPr="00DD5DD9">
        <w:t xml:space="preserve">. </w:t>
      </w:r>
    </w:p>
    <w:p w14:paraId="6388D306" w14:textId="4B7B46CB" w:rsidR="001B14FC" w:rsidRPr="00DD5DD9" w:rsidRDefault="001B14FC" w:rsidP="00F00EA6">
      <w:pPr>
        <w:jc w:val="left"/>
      </w:pPr>
      <w:r w:rsidRPr="00DD5DD9">
        <w:t>Engag</w:t>
      </w:r>
      <w:r w:rsidR="007E490E" w:rsidRPr="00DD5DD9">
        <w:t xml:space="preserve">ing </w:t>
      </w:r>
      <w:r w:rsidRPr="00DD5DD9">
        <w:t xml:space="preserve">with key stakeholder bodies </w:t>
      </w:r>
      <w:r w:rsidR="007E490E" w:rsidRPr="00DD5DD9">
        <w:t xml:space="preserve">is </w:t>
      </w:r>
      <w:r w:rsidRPr="00DD5DD9">
        <w:t xml:space="preserve">critical to </w:t>
      </w:r>
      <w:r w:rsidR="00A01794" w:rsidRPr="00DD5DD9">
        <w:t xml:space="preserve">achieve </w:t>
      </w:r>
      <w:r w:rsidRPr="00DD5DD9">
        <w:t>long</w:t>
      </w:r>
      <w:r w:rsidR="00B017FA" w:rsidRPr="00DD5DD9">
        <w:t>-</w:t>
      </w:r>
      <w:r w:rsidRPr="00DD5DD9">
        <w:t xml:space="preserve">lasting impacts. </w:t>
      </w:r>
    </w:p>
    <w:p w14:paraId="13147662" w14:textId="77777777" w:rsidR="001B14FC" w:rsidRPr="00DD5DD9" w:rsidRDefault="001B14FC" w:rsidP="00F00EA6">
      <w:pPr>
        <w:jc w:val="left"/>
      </w:pPr>
      <w:r w:rsidRPr="00DD5DD9">
        <w:t>Public communications must:</w:t>
      </w:r>
    </w:p>
    <w:p w14:paraId="130E41FB" w14:textId="67DBE44A" w:rsidR="001B14FC" w:rsidRPr="00DD5DD9" w:rsidRDefault="001B14FC" w:rsidP="005244D4">
      <w:pPr>
        <w:pStyle w:val="ListParagraph"/>
        <w:numPr>
          <w:ilvl w:val="0"/>
          <w:numId w:val="6"/>
        </w:numPr>
        <w:jc w:val="left"/>
      </w:pPr>
      <w:r w:rsidRPr="00DD5DD9">
        <w:t xml:space="preserve">continue to promote </w:t>
      </w:r>
      <w:r w:rsidR="00B017FA" w:rsidRPr="00DD5DD9">
        <w:t>how important</w:t>
      </w:r>
      <w:r w:rsidRPr="00DD5DD9">
        <w:t xml:space="preserve"> physical distancing measures </w:t>
      </w:r>
      <w:r w:rsidR="00B017FA" w:rsidRPr="00DD5DD9">
        <w:t xml:space="preserve">are </w:t>
      </w:r>
      <w:r w:rsidR="00F307C7" w:rsidRPr="00DD5DD9">
        <w:t>for all</w:t>
      </w:r>
    </w:p>
    <w:p w14:paraId="2505EC63" w14:textId="79D1DD12" w:rsidR="001B14FC" w:rsidRPr="00DD5DD9" w:rsidRDefault="001B14FC" w:rsidP="005244D4">
      <w:pPr>
        <w:pStyle w:val="ListParagraph"/>
        <w:numPr>
          <w:ilvl w:val="0"/>
          <w:numId w:val="6"/>
        </w:numPr>
        <w:jc w:val="left"/>
      </w:pPr>
      <w:r w:rsidRPr="00DD5DD9">
        <w:t xml:space="preserve">clearly explain the </w:t>
      </w:r>
      <w:r w:rsidR="00F307C7" w:rsidRPr="00DD5DD9">
        <w:t>symptoms suggestive of COVID-19</w:t>
      </w:r>
    </w:p>
    <w:p w14:paraId="6F4A6043" w14:textId="42106DEF" w:rsidR="001B14FC" w:rsidRPr="00DD5DD9" w:rsidRDefault="37894EBF" w:rsidP="6A7B07D3">
      <w:pPr>
        <w:pStyle w:val="ListParagraph"/>
        <w:numPr>
          <w:ilvl w:val="0"/>
          <w:numId w:val="6"/>
        </w:numPr>
        <w:jc w:val="left"/>
      </w:pPr>
      <w:r w:rsidRPr="00DD5DD9">
        <w:t xml:space="preserve">highlight the </w:t>
      </w:r>
      <w:r w:rsidR="7ABF838A" w:rsidRPr="00DD5DD9">
        <w:t>benefit of getting tested</w:t>
      </w:r>
      <w:r w:rsidR="685C7514" w:rsidRPr="00DD5DD9">
        <w:t>, especially those who are symptomatic (Priority Group 1)</w:t>
      </w:r>
    </w:p>
    <w:p w14:paraId="135BE36D" w14:textId="19564CFD" w:rsidR="001B14FC" w:rsidRPr="00DD5DD9" w:rsidRDefault="001B14FC" w:rsidP="005244D4">
      <w:pPr>
        <w:pStyle w:val="ListParagraph"/>
        <w:numPr>
          <w:ilvl w:val="0"/>
          <w:numId w:val="6"/>
        </w:numPr>
        <w:jc w:val="left"/>
      </w:pPr>
      <w:r w:rsidRPr="00DD5DD9">
        <w:t xml:space="preserve">highlight how to </w:t>
      </w:r>
      <w:r w:rsidR="00B017FA" w:rsidRPr="00DD5DD9">
        <w:t>get tested</w:t>
      </w:r>
      <w:r w:rsidRPr="00DD5DD9">
        <w:t xml:space="preserve">, including locations, costs, hours of operation, waiting times and </w:t>
      </w:r>
      <w:r w:rsidR="00F307C7" w:rsidRPr="00DD5DD9">
        <w:t>steps required before testing</w:t>
      </w:r>
      <w:r w:rsidR="00153104" w:rsidRPr="00DD5DD9">
        <w:t xml:space="preserve"> and </w:t>
      </w:r>
      <w:r w:rsidR="007E490E" w:rsidRPr="00DD5DD9">
        <w:t xml:space="preserve">while </w:t>
      </w:r>
      <w:r w:rsidR="00153104" w:rsidRPr="00DD5DD9">
        <w:t>awaiting results</w:t>
      </w:r>
      <w:r w:rsidR="002871F3" w:rsidRPr="00DD5DD9">
        <w:t xml:space="preserve"> and</w:t>
      </w:r>
    </w:p>
    <w:p w14:paraId="47309474" w14:textId="7D04F71A" w:rsidR="001B14FC" w:rsidRPr="00DD5DD9" w:rsidRDefault="001B14FC" w:rsidP="005244D4">
      <w:pPr>
        <w:pStyle w:val="ListParagraph"/>
        <w:numPr>
          <w:ilvl w:val="0"/>
          <w:numId w:val="6"/>
        </w:numPr>
        <w:jc w:val="left"/>
      </w:pPr>
      <w:r w:rsidRPr="00DD5DD9">
        <w:t xml:space="preserve">highlight respiratory etiquette and the need to minimise contact with people (especially those at high risk for severe disease) until </w:t>
      </w:r>
      <w:r w:rsidR="00874889" w:rsidRPr="00DD5DD9">
        <w:t>symptoms resolve and test result is known</w:t>
      </w:r>
      <w:r w:rsidR="00EB00A8" w:rsidRPr="00DD5DD9">
        <w:t>.</w:t>
      </w:r>
    </w:p>
    <w:p w14:paraId="2DBC0766" w14:textId="27AC5451" w:rsidR="001B14FC" w:rsidRPr="00DD5DD9" w:rsidRDefault="00B017FA" w:rsidP="00F00EA6">
      <w:pPr>
        <w:jc w:val="left"/>
      </w:pPr>
      <w:r w:rsidRPr="00DD5DD9">
        <w:t>Plan p</w:t>
      </w:r>
      <w:r w:rsidR="001B14FC" w:rsidRPr="00DD5DD9">
        <w:t xml:space="preserve">ublic communication approaches </w:t>
      </w:r>
      <w:r w:rsidRPr="00DD5DD9">
        <w:t>on</w:t>
      </w:r>
      <w:r w:rsidR="001B14FC" w:rsidRPr="00DD5DD9">
        <w:t xml:space="preserve"> an understanding of risk perceptions, behaviours and existing barriers, specific needs and knowledge gaps.</w:t>
      </w:r>
    </w:p>
    <w:p w14:paraId="2174A50E" w14:textId="192B60C0" w:rsidR="001B14FC" w:rsidRPr="00DD5DD9" w:rsidRDefault="001B14FC" w:rsidP="00F00EA6">
      <w:pPr>
        <w:jc w:val="left"/>
      </w:pPr>
      <w:r w:rsidRPr="00DD5DD9">
        <w:t xml:space="preserve">Timely and effective communication with health professionals must: </w:t>
      </w:r>
    </w:p>
    <w:p w14:paraId="12ECCB20" w14:textId="74AFE9ED" w:rsidR="001B14FC" w:rsidRPr="00DD5DD9" w:rsidRDefault="001B14FC" w:rsidP="005244D4">
      <w:pPr>
        <w:pStyle w:val="ListParagraph"/>
        <w:numPr>
          <w:ilvl w:val="0"/>
          <w:numId w:val="6"/>
        </w:numPr>
        <w:jc w:val="left"/>
      </w:pPr>
      <w:r w:rsidRPr="00DD5DD9">
        <w:t xml:space="preserve">clearly explain </w:t>
      </w:r>
      <w:r w:rsidR="00B017FA" w:rsidRPr="00DD5DD9">
        <w:t xml:space="preserve">recommended testing </w:t>
      </w:r>
      <w:r w:rsidR="00874889" w:rsidRPr="00DD5DD9">
        <w:t>circumstances</w:t>
      </w:r>
      <w:r w:rsidRPr="00DD5DD9">
        <w:t>,</w:t>
      </w:r>
      <w:r w:rsidR="00F307C7" w:rsidRPr="00DD5DD9">
        <w:t xml:space="preserve"> and changes to </w:t>
      </w:r>
      <w:r w:rsidR="00874889" w:rsidRPr="00DD5DD9">
        <w:t xml:space="preserve">this </w:t>
      </w:r>
      <w:r w:rsidR="00F307C7" w:rsidRPr="00DD5DD9">
        <w:t>over time</w:t>
      </w:r>
    </w:p>
    <w:p w14:paraId="21395794" w14:textId="006B23A4" w:rsidR="001B14FC" w:rsidRPr="00DD5DD9" w:rsidRDefault="001B14FC" w:rsidP="005244D4">
      <w:pPr>
        <w:pStyle w:val="ListParagraph"/>
        <w:numPr>
          <w:ilvl w:val="0"/>
          <w:numId w:val="6"/>
        </w:numPr>
        <w:jc w:val="left"/>
      </w:pPr>
      <w:r w:rsidRPr="00DD5DD9">
        <w:t>highlight occupational gro</w:t>
      </w:r>
      <w:r w:rsidR="00F307C7" w:rsidRPr="00DD5DD9">
        <w:t>ups at greater exposure</w:t>
      </w:r>
      <w:r w:rsidR="00B017FA" w:rsidRPr="00DD5DD9">
        <w:t xml:space="preserve"> </w:t>
      </w:r>
      <w:r w:rsidR="00F307C7" w:rsidRPr="00DD5DD9">
        <w:t>risk</w:t>
      </w:r>
    </w:p>
    <w:p w14:paraId="3CC7B1E2" w14:textId="4A20B839" w:rsidR="00150A66" w:rsidRPr="00DD5DD9" w:rsidRDefault="00150A66" w:rsidP="005244D4">
      <w:pPr>
        <w:pStyle w:val="ListParagraph"/>
        <w:numPr>
          <w:ilvl w:val="0"/>
          <w:numId w:val="6"/>
        </w:numPr>
        <w:jc w:val="left"/>
      </w:pPr>
      <w:r w:rsidRPr="00DD5DD9">
        <w:t xml:space="preserve">outline how </w:t>
      </w:r>
      <w:r w:rsidR="00F307C7" w:rsidRPr="00DD5DD9">
        <w:t>to test safely (</w:t>
      </w:r>
      <w:r w:rsidR="00F67744" w:rsidRPr="00DD5DD9">
        <w:t>that is,</w:t>
      </w:r>
      <w:r w:rsidR="00F307C7" w:rsidRPr="00DD5DD9">
        <w:t xml:space="preserve"> ensuring personal protection)</w:t>
      </w:r>
    </w:p>
    <w:p w14:paraId="2FE19126" w14:textId="41DA5D72" w:rsidR="001B14FC" w:rsidRPr="00DD5DD9" w:rsidRDefault="00106FAD" w:rsidP="005244D4">
      <w:pPr>
        <w:pStyle w:val="ListParagraph"/>
        <w:numPr>
          <w:ilvl w:val="0"/>
          <w:numId w:val="6"/>
        </w:numPr>
        <w:jc w:val="left"/>
      </w:pPr>
      <w:r w:rsidRPr="00DD5DD9">
        <w:t xml:space="preserve">explain where patients can </w:t>
      </w:r>
      <w:r w:rsidR="00F67744" w:rsidRPr="00DD5DD9">
        <w:t>get</w:t>
      </w:r>
      <w:r w:rsidRPr="00DD5DD9">
        <w:t xml:space="preserve"> COVID-19 testing, including </w:t>
      </w:r>
      <w:r w:rsidR="001B14FC" w:rsidRPr="00DD5DD9">
        <w:t>through private and public laboratories</w:t>
      </w:r>
      <w:r w:rsidR="002871F3" w:rsidRPr="00DD5DD9">
        <w:t xml:space="preserve"> and</w:t>
      </w:r>
    </w:p>
    <w:p w14:paraId="13CDE001" w14:textId="1DF15488" w:rsidR="00874889" w:rsidRPr="00DD5DD9" w:rsidRDefault="00861D65" w:rsidP="00BE67D5">
      <w:pPr>
        <w:pStyle w:val="ListParagraph"/>
        <w:numPr>
          <w:ilvl w:val="0"/>
          <w:numId w:val="6"/>
        </w:numPr>
        <w:spacing w:after="0"/>
        <w:jc w:val="left"/>
      </w:pPr>
      <w:r w:rsidRPr="00DD5DD9">
        <w:t>give</w:t>
      </w:r>
      <w:r w:rsidR="00874889" w:rsidRPr="00DD5DD9">
        <w:t xml:space="preserve"> clear guidance on what restrictions patients should maintain </w:t>
      </w:r>
      <w:r w:rsidRPr="00DD5DD9">
        <w:t>while</w:t>
      </w:r>
      <w:r w:rsidR="00874889" w:rsidRPr="00DD5DD9">
        <w:t xml:space="preserve"> symptomatic and waiting for test results</w:t>
      </w:r>
      <w:r w:rsidR="00EB00A8" w:rsidRPr="00DD5DD9">
        <w:t>.</w:t>
      </w:r>
      <w:r w:rsidR="00874889" w:rsidRPr="00DD5DD9">
        <w:t xml:space="preserve"> </w:t>
      </w:r>
    </w:p>
    <w:p w14:paraId="4E44B7C0" w14:textId="77777777" w:rsidR="00954A79" w:rsidRPr="00DD5DD9" w:rsidRDefault="00954A79" w:rsidP="00BE67D5">
      <w:pPr>
        <w:spacing w:after="0"/>
        <w:jc w:val="left"/>
      </w:pPr>
    </w:p>
    <w:p w14:paraId="7B8A241C" w14:textId="10556482" w:rsidR="001B14FC" w:rsidRPr="00DD5DD9" w:rsidRDefault="3588177A" w:rsidP="00BE67D5">
      <w:pPr>
        <w:pStyle w:val="Heading1"/>
      </w:pPr>
      <w:bookmarkStart w:id="192" w:name="_Toc56505914"/>
      <w:bookmarkStart w:id="193" w:name="_Toc56713023"/>
      <w:bookmarkStart w:id="194" w:name="_Toc57127224"/>
      <w:bookmarkStart w:id="195" w:name="_Toc57149402"/>
      <w:bookmarkStart w:id="196" w:name="_Toc57187389"/>
      <w:bookmarkStart w:id="197" w:name="_Toc58453413"/>
      <w:bookmarkStart w:id="198" w:name="_Toc58453501"/>
      <w:bookmarkStart w:id="199" w:name="_Toc1126895319"/>
      <w:bookmarkStart w:id="200" w:name="_Toc938901119"/>
      <w:bookmarkStart w:id="201" w:name="_Toc93492896"/>
      <w:r w:rsidRPr="00DD5DD9">
        <w:t>B</w:t>
      </w:r>
      <w:r w:rsidR="66393775" w:rsidRPr="00DD5DD9">
        <w:t>arriers and disincentives to testing</w:t>
      </w:r>
      <w:bookmarkEnd w:id="192"/>
      <w:bookmarkEnd w:id="193"/>
      <w:bookmarkEnd w:id="194"/>
      <w:bookmarkEnd w:id="195"/>
      <w:bookmarkEnd w:id="196"/>
      <w:bookmarkEnd w:id="197"/>
      <w:bookmarkEnd w:id="198"/>
      <w:bookmarkEnd w:id="199"/>
      <w:bookmarkEnd w:id="200"/>
      <w:bookmarkEnd w:id="201"/>
    </w:p>
    <w:p w14:paraId="7D98470C" w14:textId="72D14E37" w:rsidR="001B14FC" w:rsidRPr="00DD5DD9" w:rsidRDefault="00861D65" w:rsidP="00F00EA6">
      <w:pPr>
        <w:jc w:val="left"/>
      </w:pPr>
      <w:r w:rsidRPr="00DD5DD9">
        <w:t>Identify and address b</w:t>
      </w:r>
      <w:r w:rsidR="001B14FC" w:rsidRPr="00DD5DD9">
        <w:t xml:space="preserve">arriers and disincentives to testing uptake and access, </w:t>
      </w:r>
      <w:r w:rsidR="00106FAD" w:rsidRPr="00DD5DD9">
        <w:t xml:space="preserve">both </w:t>
      </w:r>
      <w:r w:rsidR="001B14FC" w:rsidRPr="00DD5DD9">
        <w:t xml:space="preserve">perceived </w:t>
      </w:r>
      <w:r w:rsidR="009351E7" w:rsidRPr="00DD5DD9">
        <w:t xml:space="preserve">and </w:t>
      </w:r>
      <w:r w:rsidR="001B14FC" w:rsidRPr="00DD5DD9">
        <w:t>real, across diverse population groups</w:t>
      </w:r>
      <w:r w:rsidR="007E490E" w:rsidRPr="00DD5DD9">
        <w:t xml:space="preserve">. This will </w:t>
      </w:r>
      <w:r w:rsidRPr="00DD5DD9">
        <w:t>support</w:t>
      </w:r>
      <w:r w:rsidR="001B14FC" w:rsidRPr="00DD5DD9">
        <w:t xml:space="preserve"> equitable and widespread</w:t>
      </w:r>
      <w:r w:rsidRPr="00DD5DD9">
        <w:t xml:space="preserve"> access</w:t>
      </w:r>
      <w:r w:rsidR="001B14FC" w:rsidRPr="00DD5DD9">
        <w:t>. Barriers and disincentives will vary across the population, but include:</w:t>
      </w:r>
    </w:p>
    <w:p w14:paraId="55EA8162" w14:textId="62B28AE4" w:rsidR="001B14FC" w:rsidRPr="00DD5DD9" w:rsidRDefault="001B14FC" w:rsidP="005244D4">
      <w:pPr>
        <w:pStyle w:val="ListParagraph"/>
        <w:numPr>
          <w:ilvl w:val="0"/>
          <w:numId w:val="6"/>
        </w:numPr>
        <w:jc w:val="left"/>
      </w:pPr>
      <w:r w:rsidRPr="00DD5DD9">
        <w:t>perceived need: self-assessment of severity or likelihood of symptoms being COVID-19</w:t>
      </w:r>
    </w:p>
    <w:p w14:paraId="27A55C1E" w14:textId="768730DB" w:rsidR="00153104" w:rsidRPr="00DD5DD9" w:rsidRDefault="00153104" w:rsidP="005244D4">
      <w:pPr>
        <w:pStyle w:val="ListParagraph"/>
        <w:numPr>
          <w:ilvl w:val="0"/>
          <w:numId w:val="6"/>
        </w:numPr>
        <w:jc w:val="left"/>
      </w:pPr>
      <w:r w:rsidRPr="00DD5DD9">
        <w:t>testing</w:t>
      </w:r>
      <w:r w:rsidR="00A95C70" w:rsidRPr="00DD5DD9">
        <w:t xml:space="preserve"> fatigue: the need to continue</w:t>
      </w:r>
      <w:r w:rsidRPr="00DD5DD9">
        <w:t xml:space="preserve"> to present for testing, even in extremely low or no prevalence areas</w:t>
      </w:r>
    </w:p>
    <w:p w14:paraId="20726758" w14:textId="737B696A" w:rsidR="001B14FC" w:rsidRPr="00DD5DD9" w:rsidRDefault="001B14FC" w:rsidP="00C33FDF">
      <w:pPr>
        <w:pStyle w:val="ListParagraph"/>
        <w:numPr>
          <w:ilvl w:val="0"/>
          <w:numId w:val="6"/>
        </w:numPr>
        <w:jc w:val="left"/>
      </w:pPr>
      <w:r w:rsidRPr="00DD5DD9">
        <w:t>the process: expectations of discomfort</w:t>
      </w:r>
      <w:r w:rsidR="00C33FDF" w:rsidRPr="00DD5DD9">
        <w:t>, inconvenience of having to isolate/stay home after test</w:t>
      </w:r>
      <w:r w:rsidR="00861D65" w:rsidRPr="00DD5DD9">
        <w:t>ing</w:t>
      </w:r>
    </w:p>
    <w:p w14:paraId="5FF34D2B" w14:textId="361C5679" w:rsidR="001B14FC" w:rsidRPr="00DD5DD9" w:rsidRDefault="001B14FC" w:rsidP="005244D4">
      <w:pPr>
        <w:pStyle w:val="ListParagraph"/>
        <w:numPr>
          <w:ilvl w:val="0"/>
          <w:numId w:val="6"/>
        </w:numPr>
        <w:jc w:val="left"/>
      </w:pPr>
      <w:r w:rsidRPr="00DD5DD9">
        <w:t>financial: perceived costs of testing</w:t>
      </w:r>
      <w:r w:rsidR="00C33FDF" w:rsidRPr="00DD5DD9">
        <w:t xml:space="preserve"> including isolation after testing</w:t>
      </w:r>
      <w:r w:rsidRPr="00DD5DD9">
        <w:t xml:space="preserve">, </w:t>
      </w:r>
      <w:r w:rsidR="0067074D" w:rsidRPr="00DD5DD9">
        <w:t>l</w:t>
      </w:r>
      <w:r w:rsidRPr="00DD5DD9">
        <w:t>ack of sick leave arrangements</w:t>
      </w:r>
      <w:r w:rsidR="009351E7" w:rsidRPr="00DD5DD9">
        <w:t>, financial hardship support</w:t>
      </w:r>
    </w:p>
    <w:p w14:paraId="13E45F4A" w14:textId="782E2231" w:rsidR="001B14FC" w:rsidRPr="00DD5DD9" w:rsidRDefault="001B14FC" w:rsidP="005244D4">
      <w:pPr>
        <w:pStyle w:val="ListParagraph"/>
        <w:numPr>
          <w:ilvl w:val="0"/>
          <w:numId w:val="6"/>
        </w:numPr>
        <w:jc w:val="left"/>
      </w:pPr>
      <w:r w:rsidRPr="00DD5DD9">
        <w:t xml:space="preserve">geographical: proximity to testing sites, especially in rural </w:t>
      </w:r>
      <w:r w:rsidR="00153104" w:rsidRPr="00DD5DD9">
        <w:t xml:space="preserve">and remote </w:t>
      </w:r>
      <w:r w:rsidRPr="00DD5DD9">
        <w:t>settings</w:t>
      </w:r>
    </w:p>
    <w:p w14:paraId="3B28463E" w14:textId="1CE2A185" w:rsidR="001B14FC" w:rsidRPr="00DD5DD9" w:rsidRDefault="001B14FC" w:rsidP="005244D4">
      <w:pPr>
        <w:pStyle w:val="ListParagraph"/>
        <w:numPr>
          <w:ilvl w:val="0"/>
          <w:numId w:val="6"/>
        </w:numPr>
        <w:jc w:val="left"/>
      </w:pPr>
      <w:r w:rsidRPr="00DD5DD9">
        <w:t>timeliness: hours of operation, requirements to book,</w:t>
      </w:r>
      <w:r w:rsidR="009351E7" w:rsidRPr="00DD5DD9">
        <w:t xml:space="preserve"> waiting times,</w:t>
      </w:r>
      <w:r w:rsidRPr="00DD5DD9">
        <w:t xml:space="preserve"> time to </w:t>
      </w:r>
      <w:r w:rsidR="00BA7601" w:rsidRPr="00DD5DD9">
        <w:t>receive</w:t>
      </w:r>
      <w:r w:rsidRPr="00DD5DD9">
        <w:t xml:space="preserve"> results</w:t>
      </w:r>
      <w:r w:rsidR="002871F3" w:rsidRPr="00DD5DD9">
        <w:t>,</w:t>
      </w:r>
    </w:p>
    <w:p w14:paraId="131B8062" w14:textId="707BEC95" w:rsidR="001B14FC" w:rsidRPr="00DD5DD9" w:rsidRDefault="001B14FC" w:rsidP="005244D4">
      <w:pPr>
        <w:pStyle w:val="ListParagraph"/>
        <w:numPr>
          <w:ilvl w:val="0"/>
          <w:numId w:val="6"/>
        </w:numPr>
        <w:jc w:val="left"/>
      </w:pPr>
      <w:r w:rsidRPr="00DD5DD9">
        <w:t xml:space="preserve">cultural sensitivity and acceptance: biases </w:t>
      </w:r>
      <w:r w:rsidR="00E51F6B" w:rsidRPr="00DD5DD9">
        <w:t>against</w:t>
      </w:r>
      <w:r w:rsidRPr="00DD5DD9">
        <w:t xml:space="preserve"> any community group at testing sites, perceived stigma of getting tested</w:t>
      </w:r>
      <w:r w:rsidR="009351E7" w:rsidRPr="00DD5DD9">
        <w:t xml:space="preserve">, perceived stigma of a positive test result, fear </w:t>
      </w:r>
      <w:r w:rsidR="00BA7601" w:rsidRPr="00DD5DD9">
        <w:t>of</w:t>
      </w:r>
      <w:r w:rsidR="009351E7" w:rsidRPr="00DD5DD9">
        <w:t xml:space="preserve"> a positive result (</w:t>
      </w:r>
      <w:r w:rsidR="00BA7601" w:rsidRPr="00DD5DD9">
        <w:t>for example</w:t>
      </w:r>
      <w:r w:rsidR="009351E7" w:rsidRPr="00DD5DD9">
        <w:t xml:space="preserve"> separation from family)</w:t>
      </w:r>
      <w:r w:rsidR="002871F3" w:rsidRPr="00DD5DD9">
        <w:t>,</w:t>
      </w:r>
    </w:p>
    <w:p w14:paraId="2118EA7F" w14:textId="4FEFACE9" w:rsidR="001B14FC" w:rsidRPr="00DD5DD9" w:rsidRDefault="001B14FC" w:rsidP="005244D4">
      <w:pPr>
        <w:pStyle w:val="ListParagraph"/>
        <w:numPr>
          <w:ilvl w:val="0"/>
          <w:numId w:val="6"/>
        </w:numPr>
        <w:jc w:val="left"/>
      </w:pPr>
      <w:r w:rsidRPr="00DD5DD9">
        <w:t>safety: perceptions of infection risk by attending health settings to get tested, especially COVID-19 targeted health settings</w:t>
      </w:r>
      <w:r w:rsidR="002871F3" w:rsidRPr="00DD5DD9">
        <w:t>,</w:t>
      </w:r>
    </w:p>
    <w:p w14:paraId="53E8DB22" w14:textId="38C937F1" w:rsidR="001B14FC" w:rsidRPr="00DD5DD9" w:rsidRDefault="001B14FC" w:rsidP="005244D4">
      <w:pPr>
        <w:pStyle w:val="ListParagraph"/>
        <w:numPr>
          <w:ilvl w:val="0"/>
          <w:numId w:val="6"/>
        </w:numPr>
        <w:jc w:val="left"/>
      </w:pPr>
      <w:r w:rsidRPr="00DD5DD9">
        <w:t xml:space="preserve">visa and Medicare status: new migrants, bridging and temporary visa holders may not </w:t>
      </w:r>
      <w:r w:rsidR="00153104" w:rsidRPr="00DD5DD9">
        <w:t>realise</w:t>
      </w:r>
      <w:r w:rsidRPr="00DD5DD9">
        <w:t xml:space="preserve"> they are eligible </w:t>
      </w:r>
      <w:r w:rsidR="00153104" w:rsidRPr="00DD5DD9">
        <w:t xml:space="preserve">for free testing even if </w:t>
      </w:r>
      <w:r w:rsidRPr="00DD5DD9">
        <w:t>they do not have a Medicare care card</w:t>
      </w:r>
      <w:r w:rsidR="002871F3" w:rsidRPr="00DD5DD9">
        <w:t>, and</w:t>
      </w:r>
    </w:p>
    <w:p w14:paraId="272B8EC1" w14:textId="5D2FFAE6" w:rsidR="001B14FC" w:rsidRPr="00DD5DD9" w:rsidRDefault="001B14FC" w:rsidP="005244D4">
      <w:pPr>
        <w:pStyle w:val="ListParagraph"/>
        <w:numPr>
          <w:ilvl w:val="0"/>
          <w:numId w:val="6"/>
        </w:numPr>
        <w:jc w:val="left"/>
      </w:pPr>
      <w:r w:rsidRPr="00DD5DD9">
        <w:t xml:space="preserve">other: implications if positive (especially </w:t>
      </w:r>
      <w:r w:rsidR="00BA7601" w:rsidRPr="00DD5DD9">
        <w:t>for people</w:t>
      </w:r>
      <w:r w:rsidRPr="00DD5DD9">
        <w:t xml:space="preserve"> with occupations in high-risk settings).</w:t>
      </w:r>
    </w:p>
    <w:p w14:paraId="0E7794F3" w14:textId="2263B3C1" w:rsidR="006C613D" w:rsidRPr="00DD5DD9" w:rsidRDefault="00874889" w:rsidP="006C613D">
      <w:pPr>
        <w:spacing w:before="120" w:line="252" w:lineRule="auto"/>
        <w:jc w:val="left"/>
        <w:rPr>
          <w:rFonts w:ascii="Arial" w:eastAsia="Yu Gothic Light" w:hAnsi="Arial" w:cs="Times New Roman"/>
          <w:b/>
          <w:bCs/>
          <w:sz w:val="30"/>
          <w:szCs w:val="30"/>
        </w:rPr>
        <w:sectPr w:rsidR="006C613D" w:rsidRPr="00DD5DD9" w:rsidSect="00E02D74">
          <w:pgSz w:w="11906" w:h="16838"/>
          <w:pgMar w:top="1440" w:right="1440" w:bottom="992" w:left="1440" w:header="709" w:footer="709" w:gutter="0"/>
          <w:cols w:space="708"/>
          <w:docGrid w:linePitch="360"/>
        </w:sectPr>
      </w:pPr>
      <w:r w:rsidRPr="00DD5DD9">
        <w:rPr>
          <w:szCs w:val="24"/>
        </w:rPr>
        <w:t xml:space="preserve">Best practice community engagement, including working with key stakeholder bodies and </w:t>
      </w:r>
      <w:r w:rsidR="00BA7601" w:rsidRPr="00DD5DD9">
        <w:rPr>
          <w:szCs w:val="24"/>
        </w:rPr>
        <w:t xml:space="preserve">use of </w:t>
      </w:r>
      <w:r w:rsidRPr="00DD5DD9">
        <w:rPr>
          <w:szCs w:val="24"/>
        </w:rPr>
        <w:t>community surveys</w:t>
      </w:r>
      <w:r w:rsidR="001B14FC" w:rsidRPr="00DD5DD9">
        <w:rPr>
          <w:szCs w:val="24"/>
        </w:rPr>
        <w:t xml:space="preserve">, </w:t>
      </w:r>
      <w:r w:rsidR="007E490E" w:rsidRPr="00DD5DD9">
        <w:rPr>
          <w:szCs w:val="24"/>
        </w:rPr>
        <w:t>will support</w:t>
      </w:r>
      <w:r w:rsidR="001B14FC" w:rsidRPr="00DD5DD9">
        <w:rPr>
          <w:szCs w:val="24"/>
        </w:rPr>
        <w:t xml:space="preserve"> a better understanding of potential </w:t>
      </w:r>
      <w:r w:rsidR="00BA7601" w:rsidRPr="00DD5DD9">
        <w:rPr>
          <w:szCs w:val="24"/>
        </w:rPr>
        <w:t xml:space="preserve">access </w:t>
      </w:r>
      <w:r w:rsidR="001B14FC" w:rsidRPr="00DD5DD9">
        <w:rPr>
          <w:szCs w:val="24"/>
        </w:rPr>
        <w:t>barriers and disincentives to testing</w:t>
      </w:r>
      <w:r w:rsidR="00BA7601" w:rsidRPr="00DD5DD9">
        <w:rPr>
          <w:szCs w:val="24"/>
        </w:rPr>
        <w:t>. It will also allow</w:t>
      </w:r>
      <w:r w:rsidRPr="00DD5DD9">
        <w:rPr>
          <w:szCs w:val="24"/>
        </w:rPr>
        <w:t xml:space="preserve"> co-development of strategies to address these</w:t>
      </w:r>
      <w:r w:rsidR="007E490E" w:rsidRPr="00DD5DD9">
        <w:rPr>
          <w:szCs w:val="24"/>
        </w:rPr>
        <w:t>.</w:t>
      </w:r>
    </w:p>
    <w:p w14:paraId="265230DA" w14:textId="430A145B" w:rsidR="00525314" w:rsidRPr="00DD5DD9" w:rsidRDefault="691A59E2" w:rsidP="004158F0">
      <w:pPr>
        <w:pStyle w:val="Heading1"/>
        <w:numPr>
          <w:ilvl w:val="0"/>
          <w:numId w:val="0"/>
        </w:numPr>
        <w:jc w:val="left"/>
      </w:pPr>
      <w:bookmarkStart w:id="202" w:name="_Toc1512576542"/>
      <w:bookmarkStart w:id="203" w:name="_Toc623762023"/>
      <w:bookmarkStart w:id="204" w:name="_Toc93492897"/>
      <w:r w:rsidRPr="00DD5DD9">
        <w:lastRenderedPageBreak/>
        <w:t>Annex A: Current and emerging SARS-CoV-2 testing technology and methods</w:t>
      </w:r>
      <w:bookmarkEnd w:id="202"/>
      <w:bookmarkEnd w:id="203"/>
      <w:bookmarkEnd w:id="204"/>
    </w:p>
    <w:p w14:paraId="23A9390A" w14:textId="77777777" w:rsidR="004158F0" w:rsidRPr="00DD5DD9" w:rsidRDefault="004158F0" w:rsidP="004158F0"/>
    <w:p w14:paraId="38648E68" w14:textId="0496C00C" w:rsidR="008972E8" w:rsidRPr="00DD5DD9" w:rsidRDefault="008972E8" w:rsidP="00862FF4">
      <w:pPr>
        <w:rPr>
          <w:bCs/>
          <w:szCs w:val="28"/>
        </w:rPr>
      </w:pPr>
      <w:r w:rsidRPr="00DD5DD9">
        <w:rPr>
          <w:b/>
          <w:bCs/>
          <w:sz w:val="28"/>
          <w:szCs w:val="28"/>
        </w:rPr>
        <w:t>Executive Summary</w:t>
      </w:r>
    </w:p>
    <w:p w14:paraId="04B8076C" w14:textId="3A38A04A" w:rsidR="008972E8" w:rsidRPr="00DD5DD9" w:rsidRDefault="008972E8" w:rsidP="00BE67D5">
      <w:pPr>
        <w:rPr>
          <w:rFonts w:ascii="Calibri" w:eastAsia="Yu Mincho" w:hAnsi="Calibri" w:cs="Times New Roman"/>
        </w:rPr>
      </w:pPr>
      <w:r w:rsidRPr="00DD5DD9">
        <w:rPr>
          <w:rFonts w:ascii="Calibri" w:eastAsia="Yu Mincho" w:hAnsi="Calibri" w:cs="Times New Roman"/>
        </w:rPr>
        <w:t>The Public Health Laboratory Network (PHLN) and Communicable Diseases Network Australia (CDNA) developed this document. It provides governments, industry and other decision</w:t>
      </w:r>
      <w:r w:rsidR="00BA7601" w:rsidRPr="00DD5DD9">
        <w:rPr>
          <w:rFonts w:ascii="Calibri" w:eastAsia="Yu Mincho" w:hAnsi="Calibri" w:cs="Times New Roman"/>
        </w:rPr>
        <w:t>-</w:t>
      </w:r>
      <w:r w:rsidRPr="00DD5DD9">
        <w:rPr>
          <w:rFonts w:ascii="Calibri" w:eastAsia="Yu Mincho" w:hAnsi="Calibri" w:cs="Times New Roman"/>
        </w:rPr>
        <w:t>makers with advice on u</w:t>
      </w:r>
      <w:r w:rsidR="008E7139" w:rsidRPr="00DD5DD9">
        <w:rPr>
          <w:rFonts w:ascii="Calibri" w:eastAsia="Yu Mincho" w:hAnsi="Calibri" w:cs="Times New Roman"/>
        </w:rPr>
        <w:t>se</w:t>
      </w:r>
      <w:r w:rsidRPr="00DD5DD9">
        <w:rPr>
          <w:rFonts w:ascii="Calibri" w:eastAsia="Yu Mincho" w:hAnsi="Calibri" w:cs="Times New Roman"/>
        </w:rPr>
        <w:t xml:space="preserve"> and availability of different SARS-CoV-2 testing technologies and methods:</w:t>
      </w:r>
    </w:p>
    <w:p w14:paraId="23017355" w14:textId="53DF8BC3" w:rsidR="008972E8" w:rsidRPr="00DD5DD9" w:rsidRDefault="008972E8" w:rsidP="008972E8">
      <w:pPr>
        <w:pStyle w:val="ListParagraph"/>
        <w:numPr>
          <w:ilvl w:val="0"/>
          <w:numId w:val="38"/>
        </w:numPr>
        <w:spacing w:after="0"/>
        <w:rPr>
          <w:rFonts w:ascii="Calibri" w:eastAsia="Yu Mincho" w:hAnsi="Calibri" w:cs="Times New Roman"/>
        </w:rPr>
      </w:pPr>
      <w:r w:rsidRPr="00DD5DD9">
        <w:rPr>
          <w:rFonts w:ascii="Calibri" w:eastAsia="Yu Mincho" w:hAnsi="Calibri" w:cs="Times New Roman"/>
        </w:rPr>
        <w:t xml:space="preserve">that are either available in Australia or emerging globally </w:t>
      </w:r>
      <w:r w:rsidR="00857CB2" w:rsidRPr="00DD5DD9">
        <w:rPr>
          <w:rFonts w:ascii="Calibri" w:eastAsia="Yu Mincho" w:hAnsi="Calibri" w:cs="Times New Roman"/>
        </w:rPr>
        <w:t xml:space="preserve">or </w:t>
      </w:r>
    </w:p>
    <w:p w14:paraId="09B24718" w14:textId="77777777" w:rsidR="008972E8" w:rsidRPr="00DD5DD9" w:rsidRDefault="008972E8" w:rsidP="008972E8">
      <w:pPr>
        <w:pStyle w:val="ListParagraph"/>
        <w:numPr>
          <w:ilvl w:val="0"/>
          <w:numId w:val="38"/>
        </w:numPr>
        <w:spacing w:after="0"/>
        <w:rPr>
          <w:rFonts w:ascii="Calibri" w:eastAsia="Yu Mincho" w:hAnsi="Calibri" w:cs="Times New Roman"/>
        </w:rPr>
      </w:pPr>
      <w:r w:rsidRPr="00DD5DD9">
        <w:rPr>
          <w:rFonts w:ascii="Calibri" w:eastAsia="Yu Mincho" w:hAnsi="Calibri" w:cs="Times New Roman"/>
        </w:rPr>
        <w:t xml:space="preserve">may have a role in the COVID-19 pandemic response. </w:t>
      </w:r>
    </w:p>
    <w:p w14:paraId="175E1493" w14:textId="77777777" w:rsidR="008972E8" w:rsidRPr="00DD5DD9" w:rsidRDefault="008972E8" w:rsidP="008972E8">
      <w:pPr>
        <w:spacing w:after="0"/>
        <w:rPr>
          <w:rFonts w:ascii="Calibri" w:eastAsia="Yu Mincho" w:hAnsi="Calibri" w:cs="Times New Roman"/>
        </w:rPr>
      </w:pPr>
    </w:p>
    <w:p w14:paraId="0F480F5E" w14:textId="77777777" w:rsidR="008972E8" w:rsidRPr="00DD5DD9" w:rsidRDefault="008972E8" w:rsidP="00BE67D5">
      <w:pPr>
        <w:rPr>
          <w:rFonts w:ascii="Calibri" w:eastAsia="Yu Mincho" w:hAnsi="Calibri" w:cs="Times New Roman"/>
        </w:rPr>
      </w:pPr>
      <w:r w:rsidRPr="00DD5DD9">
        <w:rPr>
          <w:rFonts w:ascii="Calibri" w:eastAsia="Yu Mincho" w:hAnsi="Calibri" w:cs="Times New Roman"/>
        </w:rPr>
        <w:t>This document describes:</w:t>
      </w:r>
    </w:p>
    <w:p w14:paraId="5A8232F5" w14:textId="420197D3" w:rsidR="008972E8" w:rsidRPr="00DD5DD9" w:rsidRDefault="008972E8" w:rsidP="008972E8">
      <w:pPr>
        <w:pStyle w:val="ListParagraph"/>
        <w:numPr>
          <w:ilvl w:val="0"/>
          <w:numId w:val="32"/>
        </w:numPr>
        <w:spacing w:after="200"/>
        <w:jc w:val="left"/>
        <w:rPr>
          <w:rFonts w:ascii="Calibri" w:eastAsia="Yu Mincho" w:hAnsi="Calibri" w:cs="Times New Roman"/>
        </w:rPr>
      </w:pPr>
      <w:r w:rsidRPr="00DD5DD9">
        <w:rPr>
          <w:rFonts w:ascii="Calibri" w:eastAsia="Yu Mincho" w:hAnsi="Calibri" w:cs="Times New Roman"/>
        </w:rPr>
        <w:t>the different COVID-19 tests and testing methods</w:t>
      </w:r>
    </w:p>
    <w:p w14:paraId="4FE9C87B" w14:textId="522A4747" w:rsidR="008972E8" w:rsidRPr="00DD5DD9" w:rsidRDefault="008972E8" w:rsidP="008972E8">
      <w:pPr>
        <w:pStyle w:val="ListParagraph"/>
        <w:numPr>
          <w:ilvl w:val="0"/>
          <w:numId w:val="32"/>
        </w:numPr>
        <w:spacing w:after="200"/>
        <w:jc w:val="left"/>
        <w:rPr>
          <w:rFonts w:ascii="Calibri" w:eastAsia="Yu Mincho" w:hAnsi="Calibri" w:cs="Times New Roman"/>
        </w:rPr>
      </w:pPr>
      <w:r w:rsidRPr="00DD5DD9">
        <w:rPr>
          <w:rFonts w:ascii="Calibri" w:eastAsia="Yu Mincho" w:hAnsi="Calibri" w:cs="Times New Roman"/>
        </w:rPr>
        <w:t>their evidence for use</w:t>
      </w:r>
    </w:p>
    <w:p w14:paraId="56BCEA9A" w14:textId="3AFD4F87" w:rsidR="008972E8" w:rsidRPr="00DD5DD9" w:rsidRDefault="008972E8" w:rsidP="008972E8">
      <w:pPr>
        <w:pStyle w:val="ListParagraph"/>
        <w:numPr>
          <w:ilvl w:val="0"/>
          <w:numId w:val="32"/>
        </w:numPr>
        <w:spacing w:after="200"/>
        <w:jc w:val="left"/>
        <w:rPr>
          <w:rFonts w:ascii="Calibri" w:eastAsia="Yu Mincho" w:hAnsi="Calibri" w:cs="Times New Roman"/>
        </w:rPr>
      </w:pPr>
      <w:r w:rsidRPr="00DD5DD9">
        <w:rPr>
          <w:rFonts w:ascii="Calibri" w:eastAsia="Yu Mincho" w:hAnsi="Calibri" w:cs="Times New Roman"/>
        </w:rPr>
        <w:t xml:space="preserve">how accessible and available they are and </w:t>
      </w:r>
    </w:p>
    <w:p w14:paraId="28810092" w14:textId="0B78CAAB" w:rsidR="008972E8" w:rsidRPr="00DD5DD9" w:rsidRDefault="008972E8" w:rsidP="00BE67D5">
      <w:pPr>
        <w:pStyle w:val="ListParagraph"/>
        <w:numPr>
          <w:ilvl w:val="0"/>
          <w:numId w:val="32"/>
        </w:numPr>
        <w:spacing w:after="0"/>
        <w:jc w:val="left"/>
        <w:rPr>
          <w:rFonts w:ascii="Calibri" w:eastAsia="Yu Mincho" w:hAnsi="Calibri" w:cs="Times New Roman"/>
        </w:rPr>
      </w:pPr>
      <w:r w:rsidRPr="00DD5DD9">
        <w:rPr>
          <w:rFonts w:ascii="Calibri" w:eastAsia="Yu Mincho" w:hAnsi="Calibri" w:cs="Times New Roman"/>
        </w:rPr>
        <w:t>a high</w:t>
      </w:r>
      <w:r w:rsidR="00646B39" w:rsidRPr="00DD5DD9">
        <w:rPr>
          <w:rFonts w:ascii="Calibri" w:eastAsia="Yu Mincho" w:hAnsi="Calibri" w:cs="Times New Roman"/>
        </w:rPr>
        <w:t>-</w:t>
      </w:r>
      <w:r w:rsidRPr="00DD5DD9">
        <w:rPr>
          <w:rFonts w:ascii="Calibri" w:eastAsia="Yu Mincho" w:hAnsi="Calibri" w:cs="Times New Roman"/>
        </w:rPr>
        <w:t>level comparison of test characteristics.</w:t>
      </w:r>
    </w:p>
    <w:p w14:paraId="3403C08A" w14:textId="77777777" w:rsidR="00954A79" w:rsidRPr="00DD5DD9" w:rsidRDefault="00954A79" w:rsidP="00BE67D5">
      <w:pPr>
        <w:spacing w:after="0"/>
        <w:jc w:val="left"/>
        <w:rPr>
          <w:rFonts w:ascii="Calibri" w:eastAsia="Yu Mincho" w:hAnsi="Calibri" w:cs="Times New Roman"/>
        </w:rPr>
      </w:pPr>
    </w:p>
    <w:p w14:paraId="77FFA6B8" w14:textId="77777777" w:rsidR="008972E8" w:rsidRPr="00DD5DD9" w:rsidRDefault="008972E8" w:rsidP="00862FF4">
      <w:pPr>
        <w:rPr>
          <w:bCs/>
          <w:szCs w:val="28"/>
        </w:rPr>
      </w:pPr>
      <w:r w:rsidRPr="00DD5DD9">
        <w:rPr>
          <w:b/>
          <w:bCs/>
          <w:sz w:val="28"/>
          <w:szCs w:val="28"/>
        </w:rPr>
        <w:t>Introduction</w:t>
      </w:r>
    </w:p>
    <w:p w14:paraId="25ABDE33" w14:textId="0B5653ED" w:rsidR="008972E8" w:rsidRPr="00DD5DD9" w:rsidRDefault="78F2CA0B" w:rsidP="008972E8">
      <w:pPr>
        <w:rPr>
          <w:rFonts w:ascii="Calibri" w:eastAsia="Yu Mincho" w:hAnsi="Calibri" w:cs="Times New Roman"/>
        </w:rPr>
      </w:pPr>
      <w:r w:rsidRPr="00DD5DD9">
        <w:rPr>
          <w:rFonts w:ascii="Calibri" w:eastAsia="Yu Mincho" w:hAnsi="Calibri" w:cs="Times New Roman"/>
        </w:rPr>
        <w:t xml:space="preserve">The rapid development of new testing technology for SARS-CoV-2 offers Australia the opportunity to explore testing strategies that may complement the gold standard diagnostic test, reverse transcription polymerase chain reaction (RT-PCR). New testing technology and methods with a lower sensitivity than RT-PCR using the traditional throat and bilateral deep nasal (or nasopharyngeal) swab may </w:t>
      </w:r>
      <w:r w:rsidR="1CD5E410" w:rsidRPr="00DD5DD9">
        <w:rPr>
          <w:rFonts w:ascii="Calibri" w:eastAsia="Yu Mincho" w:hAnsi="Calibri" w:cs="Times New Roman"/>
        </w:rPr>
        <w:t>allow</w:t>
      </w:r>
      <w:r w:rsidRPr="00DD5DD9">
        <w:rPr>
          <w:rFonts w:ascii="Calibri" w:eastAsia="Yu Mincho" w:hAnsi="Calibri" w:cs="Times New Roman"/>
        </w:rPr>
        <w:t xml:space="preserve"> rapid detection of SARS-CoV-2 nucleic acid or viral protein at or near point of care (POC). </w:t>
      </w:r>
      <w:r w:rsidR="0A7939D0" w:rsidRPr="00DD5DD9">
        <w:rPr>
          <w:rFonts w:ascii="Calibri" w:eastAsia="Yu Mincho" w:hAnsi="Calibri" w:cs="Times New Roman"/>
        </w:rPr>
        <w:t>N</w:t>
      </w:r>
      <w:r w:rsidRPr="00DD5DD9">
        <w:rPr>
          <w:rFonts w:ascii="Calibri" w:eastAsia="Yu Mincho" w:hAnsi="Calibri" w:cs="Times New Roman"/>
        </w:rPr>
        <w:t xml:space="preserve">o single test or combination of tests are currently sensitive and reliable enough to detect a person incubating the infection. </w:t>
      </w:r>
      <w:r w:rsidR="0A7939D0" w:rsidRPr="00DD5DD9">
        <w:rPr>
          <w:rFonts w:ascii="Calibri" w:eastAsia="Yu Mincho" w:hAnsi="Calibri" w:cs="Times New Roman"/>
        </w:rPr>
        <w:t>Public</w:t>
      </w:r>
      <w:r w:rsidRPr="00DD5DD9">
        <w:rPr>
          <w:rFonts w:ascii="Calibri" w:eastAsia="Yu Mincho" w:hAnsi="Calibri" w:cs="Times New Roman"/>
        </w:rPr>
        <w:t xml:space="preserve"> health control measures</w:t>
      </w:r>
      <w:r w:rsidR="0A7939D0" w:rsidRPr="00DD5DD9">
        <w:rPr>
          <w:rFonts w:ascii="Calibri" w:eastAsia="Yu Mincho" w:hAnsi="Calibri" w:cs="Times New Roman"/>
        </w:rPr>
        <w:t xml:space="preserve"> will continue to be needed with a</w:t>
      </w:r>
      <w:r w:rsidRPr="00DD5DD9">
        <w:rPr>
          <w:rFonts w:ascii="Calibri" w:eastAsia="Yu Mincho" w:hAnsi="Calibri" w:cs="Times New Roman"/>
        </w:rPr>
        <w:t>ny testing strategy.</w:t>
      </w:r>
    </w:p>
    <w:p w14:paraId="4D782005" w14:textId="62EDCE3A"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In writing this document, the PHLN and CDNA consulted with the Peter Doherty Institute for Infection and Immunity (PDI). The PDI </w:t>
      </w:r>
      <w:r w:rsidR="00857CB2" w:rsidRPr="00DD5DD9">
        <w:rPr>
          <w:rFonts w:ascii="Calibri" w:eastAsia="Yu Mincho" w:hAnsi="Calibri" w:cs="Times New Roman"/>
        </w:rPr>
        <w:t>has published</w:t>
      </w:r>
      <w:r w:rsidR="00646B39" w:rsidRPr="00DD5DD9">
        <w:rPr>
          <w:rFonts w:ascii="Calibri" w:eastAsia="Yu Mincho" w:hAnsi="Calibri" w:cs="Times New Roman"/>
        </w:rPr>
        <w:t xml:space="preserve"> </w:t>
      </w:r>
      <w:r w:rsidRPr="00DD5DD9">
        <w:rPr>
          <w:rFonts w:ascii="Calibri" w:eastAsia="Yu Mincho" w:hAnsi="Calibri" w:cs="Times New Roman"/>
        </w:rPr>
        <w:t>a comprehensive literature review on emerging SARS-CoV-2 testing technology and methods</w:t>
      </w:r>
      <w:r w:rsidR="00D522B0" w:rsidRPr="00DD5DD9">
        <w:rPr>
          <w:rStyle w:val="FootnoteReference"/>
          <w:rFonts w:ascii="Calibri" w:eastAsia="Yu Mincho" w:hAnsi="Calibri" w:cs="Times New Roman"/>
        </w:rPr>
        <w:footnoteReference w:id="14"/>
      </w:r>
      <w:r w:rsidRPr="00DD5DD9">
        <w:rPr>
          <w:rFonts w:ascii="Calibri" w:eastAsia="Yu Mincho" w:hAnsi="Calibri" w:cs="Times New Roman"/>
        </w:rPr>
        <w:t>.</w:t>
      </w:r>
    </w:p>
    <w:p w14:paraId="14714353" w14:textId="42418644" w:rsidR="008972E8" w:rsidRPr="00DD5DD9" w:rsidRDefault="008972E8" w:rsidP="00BE67D5">
      <w:pPr>
        <w:spacing w:after="0"/>
        <w:rPr>
          <w:rFonts w:ascii="Calibri" w:eastAsia="Yu Mincho" w:hAnsi="Calibri" w:cs="Times New Roman"/>
        </w:rPr>
      </w:pPr>
      <w:r w:rsidRPr="00DD5DD9">
        <w:rPr>
          <w:rFonts w:ascii="Calibri" w:eastAsia="Yu Mincho" w:hAnsi="Calibri" w:cs="Times New Roman"/>
        </w:rPr>
        <w:t xml:space="preserve">The </w:t>
      </w:r>
      <w:hyperlink r:id="rId36" w:history="1">
        <w:r w:rsidRPr="00DD5DD9">
          <w:rPr>
            <w:rStyle w:val="Hyperlink"/>
            <w:rFonts w:ascii="Calibri" w:eastAsia="Yu Mincho" w:hAnsi="Calibri" w:cs="Times New Roman"/>
            <w:i/>
          </w:rPr>
          <w:t>PHLN Guidance for laboratory testing for SARS-CoV-2</w:t>
        </w:r>
      </w:hyperlink>
      <w:r w:rsidRPr="00DD5DD9">
        <w:rPr>
          <w:rFonts w:ascii="Calibri" w:eastAsia="Yu Mincho" w:hAnsi="Calibri" w:cs="Times New Roman"/>
          <w:i/>
        </w:rPr>
        <w:t xml:space="preserve"> </w:t>
      </w:r>
      <w:r w:rsidRPr="00DD5DD9">
        <w:rPr>
          <w:rFonts w:ascii="Calibri" w:eastAsia="Yu Mincho" w:hAnsi="Calibri" w:cs="Times New Roman"/>
        </w:rPr>
        <w:t>provides detailed guidance on specimen collection and laboratory testing for SARS-CoV-2.</w:t>
      </w:r>
    </w:p>
    <w:p w14:paraId="66C8B731" w14:textId="77777777" w:rsidR="00954A79" w:rsidRPr="00DD5DD9" w:rsidRDefault="00954A79" w:rsidP="00BE67D5">
      <w:pPr>
        <w:spacing w:after="0"/>
        <w:rPr>
          <w:rFonts w:ascii="Calibri" w:eastAsia="Yu Mincho" w:hAnsi="Calibri" w:cs="Times New Roman"/>
        </w:rPr>
      </w:pPr>
    </w:p>
    <w:p w14:paraId="58308305" w14:textId="77777777" w:rsidR="008972E8" w:rsidRPr="00DD5DD9" w:rsidRDefault="008972E8" w:rsidP="00862FF4">
      <w:pPr>
        <w:rPr>
          <w:bCs/>
          <w:szCs w:val="28"/>
        </w:rPr>
      </w:pPr>
      <w:r w:rsidRPr="00DD5DD9">
        <w:rPr>
          <w:b/>
          <w:bCs/>
          <w:sz w:val="28"/>
          <w:szCs w:val="28"/>
        </w:rPr>
        <w:t>Principles for use</w:t>
      </w:r>
    </w:p>
    <w:p w14:paraId="581F35AD" w14:textId="09DE665F" w:rsidR="008972E8" w:rsidRPr="00DD5DD9" w:rsidRDefault="00F85F09" w:rsidP="00862FF4">
      <w:pPr>
        <w:rPr>
          <w:rFonts w:ascii="Calibri" w:eastAsia="Yu Mincho" w:hAnsi="Calibri" w:cs="Times New Roman"/>
        </w:rPr>
      </w:pPr>
      <w:r w:rsidRPr="00DD5DD9">
        <w:rPr>
          <w:rFonts w:ascii="Calibri" w:eastAsia="Yu Mincho" w:hAnsi="Calibri" w:cs="Times New Roman"/>
        </w:rPr>
        <w:t xml:space="preserve">Consider </w:t>
      </w:r>
      <w:r w:rsidR="008E7139" w:rsidRPr="00DD5DD9">
        <w:rPr>
          <w:rFonts w:ascii="Calibri" w:eastAsia="Yu Mincho" w:hAnsi="Calibri" w:cs="Times New Roman"/>
        </w:rPr>
        <w:t xml:space="preserve">any </w:t>
      </w:r>
      <w:r w:rsidR="008972E8" w:rsidRPr="00DD5DD9">
        <w:rPr>
          <w:rFonts w:ascii="Calibri" w:eastAsia="Yu Mincho" w:hAnsi="Calibri" w:cs="Times New Roman"/>
        </w:rPr>
        <w:t>testing strateg</w:t>
      </w:r>
      <w:r w:rsidR="008E7139" w:rsidRPr="00DD5DD9">
        <w:rPr>
          <w:rFonts w:ascii="Calibri" w:eastAsia="Yu Mincho" w:hAnsi="Calibri" w:cs="Times New Roman"/>
        </w:rPr>
        <w:t>y in the context of</w:t>
      </w:r>
      <w:r w:rsidR="00B20026" w:rsidRPr="00DD5DD9">
        <w:rPr>
          <w:rFonts w:ascii="Calibri" w:eastAsia="Yu Mincho" w:hAnsi="Calibri" w:cs="Times New Roman"/>
        </w:rPr>
        <w:t xml:space="preserve"> the</w:t>
      </w:r>
      <w:r w:rsidR="008E7139" w:rsidRPr="00DD5DD9">
        <w:rPr>
          <w:rFonts w:ascii="Calibri" w:eastAsia="Yu Mincho" w:hAnsi="Calibri" w:cs="Times New Roman"/>
        </w:rPr>
        <w:t xml:space="preserve"> COVID-19 disease prevalence</w:t>
      </w:r>
      <w:r w:rsidR="008D5738" w:rsidRPr="00DD5DD9">
        <w:rPr>
          <w:rFonts w:ascii="Calibri" w:eastAsia="Yu Mincho" w:hAnsi="Calibri" w:cs="Times New Roman"/>
        </w:rPr>
        <w:t xml:space="preserve"> </w:t>
      </w:r>
      <w:r w:rsidR="008E7139" w:rsidRPr="00DD5DD9">
        <w:rPr>
          <w:rFonts w:ascii="Calibri" w:eastAsia="Yu Mincho" w:hAnsi="Calibri" w:cs="Times New Roman"/>
        </w:rPr>
        <w:t xml:space="preserve">in </w:t>
      </w:r>
      <w:r w:rsidR="008972E8" w:rsidRPr="00DD5DD9">
        <w:rPr>
          <w:rFonts w:ascii="Calibri" w:eastAsia="Yu Mincho" w:hAnsi="Calibri" w:cs="Times New Roman"/>
        </w:rPr>
        <w:t>Australia</w:t>
      </w:r>
      <w:r w:rsidR="008E7139" w:rsidRPr="00DD5DD9">
        <w:rPr>
          <w:rFonts w:ascii="Calibri" w:eastAsia="Yu Mincho" w:hAnsi="Calibri" w:cs="Times New Roman"/>
        </w:rPr>
        <w:t xml:space="preserve"> at any given time</w:t>
      </w:r>
      <w:r w:rsidR="008D5738" w:rsidRPr="00DD5DD9">
        <w:rPr>
          <w:rFonts w:ascii="Calibri" w:eastAsia="Yu Mincho" w:hAnsi="Calibri" w:cs="Times New Roman"/>
        </w:rPr>
        <w:t xml:space="preserve"> and community vaccination rates</w:t>
      </w:r>
      <w:r w:rsidR="008E7139" w:rsidRPr="00DD5DD9">
        <w:rPr>
          <w:rFonts w:ascii="Calibri" w:eastAsia="Yu Mincho" w:hAnsi="Calibri" w:cs="Times New Roman"/>
        </w:rPr>
        <w:t xml:space="preserve">. </w:t>
      </w:r>
      <w:r w:rsidR="008972E8" w:rsidRPr="00DD5DD9">
        <w:rPr>
          <w:rFonts w:ascii="Calibri" w:eastAsia="Yu Mincho" w:hAnsi="Calibri" w:cs="Times New Roman"/>
        </w:rPr>
        <w:t xml:space="preserve">PHLN and CDNA advise that in Australia, public health authorities should </w:t>
      </w:r>
      <w:r w:rsidRPr="00DD5DD9">
        <w:rPr>
          <w:rFonts w:ascii="Calibri" w:eastAsia="Yu Mincho" w:hAnsi="Calibri" w:cs="Times New Roman"/>
        </w:rPr>
        <w:t>choose</w:t>
      </w:r>
      <w:r w:rsidR="008972E8" w:rsidRPr="00DD5DD9">
        <w:rPr>
          <w:rFonts w:ascii="Calibri" w:eastAsia="Yu Mincho" w:hAnsi="Calibri" w:cs="Times New Roman"/>
        </w:rPr>
        <w:t xml:space="preserve"> </w:t>
      </w:r>
      <w:r w:rsidR="008E7139" w:rsidRPr="00DD5DD9">
        <w:rPr>
          <w:rFonts w:ascii="Calibri" w:eastAsia="Yu Mincho" w:hAnsi="Calibri" w:cs="Times New Roman"/>
        </w:rPr>
        <w:t xml:space="preserve">a </w:t>
      </w:r>
      <w:r w:rsidR="008972E8" w:rsidRPr="00DD5DD9">
        <w:rPr>
          <w:rFonts w:ascii="Calibri" w:eastAsia="Yu Mincho" w:hAnsi="Calibri" w:cs="Times New Roman"/>
        </w:rPr>
        <w:t>COVID-19 test</w:t>
      </w:r>
      <w:r w:rsidR="008E7139" w:rsidRPr="00DD5DD9">
        <w:rPr>
          <w:rFonts w:ascii="Calibri" w:eastAsia="Yu Mincho" w:hAnsi="Calibri" w:cs="Times New Roman"/>
        </w:rPr>
        <w:t>ing approach</w:t>
      </w:r>
      <w:r w:rsidR="008972E8" w:rsidRPr="00DD5DD9">
        <w:rPr>
          <w:rFonts w:ascii="Calibri" w:eastAsia="Yu Mincho" w:hAnsi="Calibri" w:cs="Times New Roman"/>
        </w:rPr>
        <w:t xml:space="preserve"> </w:t>
      </w:r>
      <w:r w:rsidRPr="00DD5DD9">
        <w:rPr>
          <w:rFonts w:ascii="Calibri" w:eastAsia="Yu Mincho" w:hAnsi="Calibri" w:cs="Times New Roman"/>
        </w:rPr>
        <w:t>using</w:t>
      </w:r>
      <w:r w:rsidR="008972E8" w:rsidRPr="00DD5DD9">
        <w:rPr>
          <w:rFonts w:ascii="Calibri" w:eastAsia="Yu Mincho" w:hAnsi="Calibri" w:cs="Times New Roman"/>
        </w:rPr>
        <w:t xml:space="preserve"> the</w:t>
      </w:r>
      <w:r w:rsidRPr="00DD5DD9">
        <w:rPr>
          <w:rFonts w:ascii="Calibri" w:eastAsia="Yu Mincho" w:hAnsi="Calibri" w:cs="Times New Roman"/>
        </w:rPr>
        <w:t>se</w:t>
      </w:r>
      <w:r w:rsidR="008972E8" w:rsidRPr="00DD5DD9">
        <w:rPr>
          <w:rFonts w:ascii="Calibri" w:eastAsia="Yu Mincho" w:hAnsi="Calibri" w:cs="Times New Roman"/>
        </w:rPr>
        <w:t xml:space="preserve"> principles: </w:t>
      </w:r>
    </w:p>
    <w:p w14:paraId="405B060A" w14:textId="41FE0A9B" w:rsidR="008972E8" w:rsidRPr="00DD5DD9" w:rsidRDefault="008972E8" w:rsidP="008972E8">
      <w:pPr>
        <w:numPr>
          <w:ilvl w:val="0"/>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 xml:space="preserve">In Australia, RT-PCR remains the gold standard test for </w:t>
      </w:r>
      <w:r w:rsidR="008E7139" w:rsidRPr="00DD5DD9">
        <w:rPr>
          <w:rFonts w:ascii="Calibri" w:eastAsia="Calibri" w:hAnsi="Calibri" w:cs="Times New Roman"/>
          <w:lang w:eastAsia="en-AU"/>
        </w:rPr>
        <w:t xml:space="preserve">confirming a diagnosis of </w:t>
      </w:r>
      <w:r w:rsidRPr="00DD5DD9">
        <w:rPr>
          <w:rFonts w:ascii="Calibri" w:eastAsia="Calibri" w:hAnsi="Calibri" w:cs="Times New Roman"/>
          <w:lang w:eastAsia="en-AU"/>
        </w:rPr>
        <w:t xml:space="preserve">acute </w:t>
      </w:r>
      <w:r w:rsidR="00B20026" w:rsidRPr="00DD5DD9">
        <w:rPr>
          <w:rFonts w:ascii="Calibri" w:eastAsia="Calibri" w:hAnsi="Calibri" w:cs="Times New Roman"/>
          <w:lang w:eastAsia="en-AU"/>
        </w:rPr>
        <w:t xml:space="preserve">active </w:t>
      </w:r>
      <w:r w:rsidRPr="00DD5DD9">
        <w:rPr>
          <w:rFonts w:ascii="Calibri" w:eastAsia="Calibri" w:hAnsi="Calibri" w:cs="Times New Roman"/>
          <w:lang w:eastAsia="en-AU"/>
        </w:rPr>
        <w:t xml:space="preserve">SARS-CoV-2 infection. </w:t>
      </w:r>
      <w:r w:rsidR="00F85F09" w:rsidRPr="00DD5DD9">
        <w:rPr>
          <w:rFonts w:ascii="Calibri" w:eastAsia="Calibri" w:hAnsi="Calibri" w:cs="Times New Roman"/>
          <w:lang w:eastAsia="en-AU"/>
        </w:rPr>
        <w:t>U</w:t>
      </w:r>
      <w:r w:rsidRPr="00DD5DD9">
        <w:rPr>
          <w:rFonts w:ascii="Calibri" w:eastAsia="Calibri" w:hAnsi="Calibri" w:cs="Times New Roman"/>
          <w:lang w:eastAsia="en-AU"/>
        </w:rPr>
        <w:t>sing alternative tests or testing methods</w:t>
      </w:r>
      <w:r w:rsidR="00B20026" w:rsidRPr="00DD5DD9">
        <w:rPr>
          <w:rFonts w:ascii="Calibri" w:eastAsia="Calibri" w:hAnsi="Calibri" w:cs="Times New Roman"/>
          <w:lang w:eastAsia="en-AU"/>
        </w:rPr>
        <w:t xml:space="preserve"> for screening</w:t>
      </w:r>
      <w:r w:rsidRPr="00DD5DD9">
        <w:rPr>
          <w:rFonts w:ascii="Calibri" w:eastAsia="Calibri" w:hAnsi="Calibri" w:cs="Times New Roman"/>
          <w:lang w:eastAsia="en-AU"/>
        </w:rPr>
        <w:t xml:space="preserve"> may help conserve the capacity of the public and private laboratory systems</w:t>
      </w:r>
      <w:r w:rsidR="00857CB2" w:rsidRPr="00DD5DD9">
        <w:rPr>
          <w:rFonts w:ascii="Calibri" w:eastAsia="Calibri" w:hAnsi="Calibri" w:cs="Times New Roman"/>
          <w:lang w:eastAsia="en-AU"/>
        </w:rPr>
        <w:t xml:space="preserve"> for testing of symptomatic or high-risk individuals</w:t>
      </w:r>
      <w:r w:rsidRPr="00DD5DD9">
        <w:rPr>
          <w:rFonts w:ascii="Calibri" w:eastAsia="Calibri" w:hAnsi="Calibri" w:cs="Times New Roman"/>
          <w:lang w:eastAsia="en-AU"/>
        </w:rPr>
        <w:t>.</w:t>
      </w:r>
    </w:p>
    <w:p w14:paraId="7F037F73" w14:textId="5B01DD8D" w:rsidR="008972E8" w:rsidRPr="00DD5DD9" w:rsidRDefault="008972E8" w:rsidP="008972E8">
      <w:pPr>
        <w:numPr>
          <w:ilvl w:val="0"/>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lastRenderedPageBreak/>
        <w:t xml:space="preserve">Public health authorities may use alternative testing methods </w:t>
      </w:r>
      <w:r w:rsidR="00F85F09" w:rsidRPr="00DD5DD9">
        <w:rPr>
          <w:rFonts w:ascii="Calibri" w:eastAsia="Calibri" w:hAnsi="Calibri" w:cs="Times New Roman"/>
          <w:lang w:eastAsia="en-AU"/>
        </w:rPr>
        <w:t>and</w:t>
      </w:r>
      <w:r w:rsidRPr="00DD5DD9">
        <w:rPr>
          <w:rFonts w:ascii="Calibri" w:eastAsia="Calibri" w:hAnsi="Calibri" w:cs="Times New Roman"/>
          <w:lang w:eastAsia="en-AU"/>
        </w:rPr>
        <w:t xml:space="preserve"> RT-PCR on respiratory swabs, to facilitate early public health intervention. The purpose of this is to </w:t>
      </w:r>
      <w:r w:rsidR="00F85F09" w:rsidRPr="00DD5DD9">
        <w:rPr>
          <w:rFonts w:ascii="Calibri" w:eastAsia="Calibri" w:hAnsi="Calibri" w:cs="Times New Roman"/>
          <w:lang w:eastAsia="en-AU"/>
        </w:rPr>
        <w:t>give</w:t>
      </w:r>
      <w:r w:rsidRPr="00DD5DD9">
        <w:rPr>
          <w:rFonts w:ascii="Calibri" w:eastAsia="Calibri" w:hAnsi="Calibri" w:cs="Times New Roman"/>
          <w:lang w:eastAsia="en-AU"/>
        </w:rPr>
        <w:t xml:space="preserve"> earlier indications of any unrecognised chains of community transmission.</w:t>
      </w:r>
    </w:p>
    <w:p w14:paraId="443D6C78" w14:textId="719D5511" w:rsidR="008972E8" w:rsidRPr="00DD5DD9" w:rsidRDefault="008972E8" w:rsidP="008972E8">
      <w:pPr>
        <w:numPr>
          <w:ilvl w:val="0"/>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The use of lower sensitivity tests compared to RT-PCR are recommended for either public health investigation or screening purposes where the pre-test probability is high. For example</w:t>
      </w:r>
      <w:r w:rsidR="007C1144" w:rsidRPr="00DD5DD9">
        <w:rPr>
          <w:rFonts w:ascii="Calibri" w:eastAsia="Calibri" w:hAnsi="Calibri" w:cs="Times New Roman"/>
          <w:lang w:eastAsia="en-AU"/>
        </w:rPr>
        <w:t>,</w:t>
      </w:r>
      <w:r w:rsidRPr="00DD5DD9">
        <w:rPr>
          <w:rFonts w:ascii="Calibri" w:eastAsia="Calibri" w:hAnsi="Calibri" w:cs="Times New Roman"/>
          <w:lang w:eastAsia="en-AU"/>
        </w:rPr>
        <w:t xml:space="preserve"> contacts of a RT-PCR confirmed case in a close</w:t>
      </w:r>
      <w:r w:rsidR="00857CB2" w:rsidRPr="00DD5DD9">
        <w:rPr>
          <w:rFonts w:ascii="Calibri" w:eastAsia="Calibri" w:hAnsi="Calibri" w:cs="Times New Roman"/>
          <w:lang w:eastAsia="en-AU"/>
        </w:rPr>
        <w:t>d</w:t>
      </w:r>
      <w:r w:rsidRPr="00DD5DD9">
        <w:rPr>
          <w:rFonts w:ascii="Calibri" w:eastAsia="Calibri" w:hAnsi="Calibri" w:cs="Times New Roman"/>
          <w:lang w:eastAsia="en-AU"/>
        </w:rPr>
        <w:t xml:space="preserve"> setting, where community transmission is </w:t>
      </w:r>
      <w:r w:rsidR="00396BF4" w:rsidRPr="00DD5DD9">
        <w:rPr>
          <w:rFonts w:ascii="Calibri" w:eastAsia="Calibri" w:hAnsi="Calibri" w:cs="Times New Roman"/>
          <w:lang w:eastAsia="en-AU"/>
        </w:rPr>
        <w:t>known</w:t>
      </w:r>
      <w:r w:rsidR="008D5738" w:rsidRPr="00DD5DD9">
        <w:rPr>
          <w:rFonts w:ascii="Calibri" w:eastAsia="Calibri" w:hAnsi="Calibri" w:cs="Times New Roman"/>
          <w:lang w:eastAsia="en-AU"/>
        </w:rPr>
        <w:t>, or in workplace screening programs</w:t>
      </w:r>
      <w:r w:rsidRPr="00DD5DD9">
        <w:rPr>
          <w:rFonts w:ascii="Calibri" w:eastAsia="Calibri" w:hAnsi="Calibri" w:cs="Times New Roman"/>
          <w:lang w:eastAsia="en-AU"/>
        </w:rPr>
        <w:t>.</w:t>
      </w:r>
    </w:p>
    <w:p w14:paraId="0376FDA8" w14:textId="0100B26B" w:rsidR="008972E8" w:rsidRPr="00DD5DD9" w:rsidRDefault="00396BF4" w:rsidP="008972E8">
      <w:pPr>
        <w:numPr>
          <w:ilvl w:val="0"/>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Conduct t</w:t>
      </w:r>
      <w:r w:rsidR="008972E8" w:rsidRPr="00DD5DD9">
        <w:rPr>
          <w:rFonts w:ascii="Calibri" w:eastAsia="Calibri" w:hAnsi="Calibri" w:cs="Times New Roman"/>
          <w:lang w:eastAsia="en-AU"/>
        </w:rPr>
        <w:t xml:space="preserve">esting </w:t>
      </w:r>
      <w:r w:rsidRPr="00DD5DD9">
        <w:rPr>
          <w:rFonts w:ascii="Calibri" w:eastAsia="Calibri" w:hAnsi="Calibri" w:cs="Times New Roman"/>
          <w:lang w:eastAsia="en-AU"/>
        </w:rPr>
        <w:t>in line with</w:t>
      </w:r>
      <w:r w:rsidR="008972E8" w:rsidRPr="00DD5DD9">
        <w:rPr>
          <w:rFonts w:ascii="Calibri" w:eastAsia="Calibri" w:hAnsi="Calibri" w:cs="Times New Roman"/>
          <w:lang w:eastAsia="en-AU"/>
        </w:rPr>
        <w:t xml:space="preserve"> public health guidance and/or regulations of the jurisdiction/s involved.</w:t>
      </w:r>
    </w:p>
    <w:p w14:paraId="6A63FCE4" w14:textId="36E46B98" w:rsidR="008972E8" w:rsidRPr="00DD5DD9" w:rsidRDefault="00396BF4" w:rsidP="008972E8">
      <w:pPr>
        <w:numPr>
          <w:ilvl w:val="0"/>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Only use t</w:t>
      </w:r>
      <w:r w:rsidR="008972E8" w:rsidRPr="00DD5DD9">
        <w:rPr>
          <w:rFonts w:ascii="Calibri" w:eastAsia="Calibri" w:hAnsi="Calibri" w:cs="Times New Roman"/>
          <w:lang w:eastAsia="en-AU"/>
        </w:rPr>
        <w:t xml:space="preserve">ests with a </w:t>
      </w:r>
      <w:r w:rsidR="000E70DC" w:rsidRPr="00DD5DD9">
        <w:rPr>
          <w:rFonts w:ascii="Calibri" w:eastAsia="Calibri" w:hAnsi="Calibri" w:cs="Times New Roman"/>
          <w:lang w:eastAsia="en-AU"/>
        </w:rPr>
        <w:t xml:space="preserve">lower </w:t>
      </w:r>
      <w:r w:rsidR="008972E8" w:rsidRPr="00DD5DD9">
        <w:rPr>
          <w:rFonts w:ascii="Calibri" w:eastAsia="Calibri" w:hAnsi="Calibri" w:cs="Times New Roman"/>
          <w:lang w:eastAsia="en-AU"/>
        </w:rPr>
        <w:t xml:space="preserve">sensitivity than RT-PCR for routine diagnosis if advised by public health authorities: </w:t>
      </w:r>
    </w:p>
    <w:p w14:paraId="18E9953E" w14:textId="472F1B9C" w:rsidR="008972E8" w:rsidRPr="00DD5DD9" w:rsidRDefault="008972E8" w:rsidP="008972E8">
      <w:pPr>
        <w:numPr>
          <w:ilvl w:val="1"/>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 xml:space="preserve">in settings where RT-PCR is unavailable or </w:t>
      </w:r>
    </w:p>
    <w:p w14:paraId="540F19E7" w14:textId="754319C4" w:rsidR="008972E8" w:rsidRPr="00DD5DD9" w:rsidRDefault="008972E8" w:rsidP="008972E8">
      <w:pPr>
        <w:numPr>
          <w:ilvl w:val="1"/>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 xml:space="preserve">where an extensive delay in result turn-around time is </w:t>
      </w:r>
      <w:r w:rsidR="00396BF4" w:rsidRPr="00DD5DD9">
        <w:rPr>
          <w:rFonts w:ascii="Calibri" w:eastAsia="Calibri" w:hAnsi="Calibri" w:cs="Times New Roman"/>
          <w:lang w:eastAsia="en-AU"/>
        </w:rPr>
        <w:t>likely</w:t>
      </w:r>
      <w:r w:rsidRPr="00DD5DD9">
        <w:rPr>
          <w:rFonts w:ascii="Calibri" w:eastAsia="Calibri" w:hAnsi="Calibri" w:cs="Times New Roman"/>
          <w:lang w:eastAsia="en-AU"/>
        </w:rPr>
        <w:t>.</w:t>
      </w:r>
    </w:p>
    <w:p w14:paraId="62619D77" w14:textId="06E97E15" w:rsidR="008972E8" w:rsidRPr="00DD5DD9" w:rsidRDefault="008972E8" w:rsidP="008972E8">
      <w:pPr>
        <w:numPr>
          <w:ilvl w:val="0"/>
          <w:numId w:val="18"/>
        </w:numPr>
        <w:spacing w:after="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 xml:space="preserve">Public health authorities should consider the potential impact of false negative </w:t>
      </w:r>
      <w:r w:rsidR="00B20026" w:rsidRPr="00DD5DD9">
        <w:rPr>
          <w:rFonts w:ascii="Calibri" w:eastAsia="Calibri" w:hAnsi="Calibri" w:cs="Times New Roman"/>
          <w:lang w:eastAsia="en-AU"/>
        </w:rPr>
        <w:t>results</w:t>
      </w:r>
      <w:r w:rsidRPr="00DD5DD9">
        <w:rPr>
          <w:rFonts w:ascii="Calibri" w:eastAsia="Calibri" w:hAnsi="Calibri" w:cs="Times New Roman"/>
          <w:lang w:eastAsia="en-AU"/>
        </w:rPr>
        <w:t xml:space="preserve"> where they use lower sensitivity </w:t>
      </w:r>
      <w:r w:rsidR="00B20026" w:rsidRPr="00DD5DD9">
        <w:rPr>
          <w:rFonts w:ascii="Calibri" w:eastAsia="Calibri" w:hAnsi="Calibri" w:cs="Times New Roman"/>
          <w:lang w:eastAsia="en-AU"/>
        </w:rPr>
        <w:t>rapid</w:t>
      </w:r>
      <w:r w:rsidRPr="00DD5DD9">
        <w:rPr>
          <w:rFonts w:ascii="Calibri" w:eastAsia="Calibri" w:hAnsi="Calibri" w:cs="Times New Roman"/>
          <w:lang w:eastAsia="en-AU"/>
        </w:rPr>
        <w:t xml:space="preserve"> tests during outbreak settings. For example, </w:t>
      </w:r>
      <w:r w:rsidR="00396BF4" w:rsidRPr="00DD5DD9">
        <w:rPr>
          <w:rFonts w:ascii="Calibri" w:eastAsia="Calibri" w:hAnsi="Calibri" w:cs="Times New Roman"/>
          <w:lang w:eastAsia="en-AU"/>
        </w:rPr>
        <w:t>some</w:t>
      </w:r>
      <w:r w:rsidRPr="00DD5DD9">
        <w:rPr>
          <w:rFonts w:ascii="Calibri" w:eastAsia="Calibri" w:hAnsi="Calibri" w:cs="Times New Roman"/>
          <w:lang w:eastAsia="en-AU"/>
        </w:rPr>
        <w:t xml:space="preserve"> cases may initially be missed. This may impact public confidence and outbreak control if public health mitigation measures (</w:t>
      </w:r>
      <w:r w:rsidR="00396BF4" w:rsidRPr="00DD5DD9">
        <w:rPr>
          <w:rFonts w:ascii="Calibri" w:eastAsia="Calibri" w:hAnsi="Calibri" w:cs="Times New Roman"/>
          <w:lang w:eastAsia="en-AU"/>
        </w:rPr>
        <w:t>for example</w:t>
      </w:r>
      <w:r w:rsidRPr="00DD5DD9">
        <w:rPr>
          <w:rFonts w:ascii="Calibri" w:eastAsia="Calibri" w:hAnsi="Calibri" w:cs="Times New Roman"/>
          <w:lang w:eastAsia="en-AU"/>
        </w:rPr>
        <w:t xml:space="preserve"> quarantine) are not already in place for those being screened</w:t>
      </w:r>
      <w:r w:rsidR="00B20026" w:rsidRPr="00DD5DD9">
        <w:rPr>
          <w:rFonts w:ascii="Calibri" w:eastAsia="Calibri" w:hAnsi="Calibri" w:cs="Times New Roman"/>
          <w:lang w:eastAsia="en-AU"/>
        </w:rPr>
        <w:t>.</w:t>
      </w:r>
      <w:r w:rsidRPr="00DD5DD9">
        <w:rPr>
          <w:rFonts w:ascii="Calibri" w:eastAsia="Calibri" w:hAnsi="Calibri" w:cs="Times New Roman"/>
          <w:lang w:eastAsia="en-AU"/>
        </w:rPr>
        <w:t xml:space="preserve"> </w:t>
      </w:r>
    </w:p>
    <w:p w14:paraId="1D800C60" w14:textId="77777777" w:rsidR="00525314" w:rsidRPr="00DD5DD9" w:rsidRDefault="00525314" w:rsidP="004158F0">
      <w:pPr>
        <w:spacing w:after="0" w:line="276" w:lineRule="auto"/>
        <w:contextualSpacing/>
        <w:jc w:val="left"/>
        <w:rPr>
          <w:rFonts w:ascii="Calibri" w:eastAsia="Calibri" w:hAnsi="Calibri" w:cs="Times New Roman"/>
          <w:lang w:eastAsia="en-AU"/>
        </w:rPr>
      </w:pPr>
    </w:p>
    <w:p w14:paraId="55E2C34F" w14:textId="2FC6ADE8" w:rsidR="008972E8" w:rsidRPr="00DD5DD9" w:rsidRDefault="008972E8" w:rsidP="00862FF4">
      <w:pPr>
        <w:pStyle w:val="ListParagraph"/>
        <w:numPr>
          <w:ilvl w:val="0"/>
          <w:numId w:val="45"/>
        </w:numPr>
        <w:rPr>
          <w:b/>
          <w:bCs/>
          <w:sz w:val="28"/>
          <w:szCs w:val="28"/>
        </w:rPr>
      </w:pPr>
      <w:r w:rsidRPr="00DD5DD9">
        <w:rPr>
          <w:b/>
          <w:bCs/>
          <w:sz w:val="28"/>
          <w:szCs w:val="28"/>
        </w:rPr>
        <w:t>SARS-CoV-2 Tests</w:t>
      </w:r>
    </w:p>
    <w:p w14:paraId="776B88CF" w14:textId="0F6AC516" w:rsidR="008972E8" w:rsidRPr="00DD5DD9" w:rsidRDefault="008972E8" w:rsidP="00BE67D5">
      <w:pPr>
        <w:rPr>
          <w:rFonts w:ascii="Calibri" w:eastAsia="Yu Mincho" w:hAnsi="Calibri" w:cs="Times New Roman"/>
        </w:rPr>
      </w:pPr>
      <w:r w:rsidRPr="00DD5DD9">
        <w:rPr>
          <w:rFonts w:ascii="Calibri" w:eastAsia="Yu Mincho" w:hAnsi="Calibri" w:cs="Times New Roman"/>
        </w:rPr>
        <w:t xml:space="preserve">There are two main categories of emerging testing technologies </w:t>
      </w:r>
      <w:r w:rsidR="00396BF4" w:rsidRPr="00DD5DD9">
        <w:rPr>
          <w:rFonts w:ascii="Calibri" w:eastAsia="Yu Mincho" w:hAnsi="Calibri" w:cs="Times New Roman"/>
        </w:rPr>
        <w:t xml:space="preserve">to </w:t>
      </w:r>
      <w:r w:rsidRPr="00DD5DD9">
        <w:rPr>
          <w:rFonts w:ascii="Calibri" w:eastAsia="Yu Mincho" w:hAnsi="Calibri" w:cs="Times New Roman"/>
        </w:rPr>
        <w:t>detect SARS-CoV-2. Those that</w:t>
      </w:r>
      <w:r w:rsidR="001C4B82" w:rsidRPr="00DD5DD9">
        <w:rPr>
          <w:rFonts w:ascii="Calibri" w:eastAsia="Yu Mincho" w:hAnsi="Calibri" w:cs="Times New Roman"/>
        </w:rPr>
        <w:t xml:space="preserve"> are</w:t>
      </w:r>
      <w:r w:rsidRPr="00DD5DD9">
        <w:rPr>
          <w:rFonts w:ascii="Calibri" w:eastAsia="Yu Mincho" w:hAnsi="Calibri" w:cs="Times New Roman"/>
        </w:rPr>
        <w:t xml:space="preserve">: </w:t>
      </w:r>
    </w:p>
    <w:p w14:paraId="29577FF7" w14:textId="77777777" w:rsidR="004158F0" w:rsidRPr="00DD5DD9" w:rsidRDefault="004158F0" w:rsidP="004158F0">
      <w:pPr>
        <w:numPr>
          <w:ilvl w:val="0"/>
          <w:numId w:val="19"/>
        </w:numPr>
        <w:spacing w:after="20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High-throughput and</w:t>
      </w:r>
    </w:p>
    <w:p w14:paraId="6162465B" w14:textId="648841E4" w:rsidR="004158F0" w:rsidRPr="00DD5DD9" w:rsidRDefault="004158F0" w:rsidP="004158F0">
      <w:pPr>
        <w:numPr>
          <w:ilvl w:val="0"/>
          <w:numId w:val="19"/>
        </w:numPr>
        <w:spacing w:after="20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Rapid, point of care (</w:t>
      </w:r>
      <w:r w:rsidR="001C4B82" w:rsidRPr="00DD5DD9">
        <w:rPr>
          <w:rFonts w:ascii="Calibri" w:eastAsia="Calibri" w:hAnsi="Calibri" w:cs="Times New Roman"/>
          <w:lang w:eastAsia="en-AU"/>
        </w:rPr>
        <w:t xml:space="preserve">for example, </w:t>
      </w:r>
      <w:r w:rsidRPr="00DD5DD9">
        <w:rPr>
          <w:rFonts w:ascii="Calibri" w:eastAsia="Calibri" w:hAnsi="Calibri" w:cs="Times New Roman"/>
          <w:lang w:eastAsia="en-AU"/>
        </w:rPr>
        <w:t xml:space="preserve">rapid </w:t>
      </w:r>
      <w:r w:rsidR="008972E8" w:rsidRPr="00DD5DD9">
        <w:rPr>
          <w:rFonts w:ascii="Calibri" w:eastAsia="Calibri" w:hAnsi="Calibri" w:cs="Times New Roman"/>
          <w:lang w:eastAsia="en-AU"/>
        </w:rPr>
        <w:t>antigen tests, antibody tests, and molecular assays</w:t>
      </w:r>
      <w:r w:rsidRPr="00DD5DD9">
        <w:rPr>
          <w:rFonts w:ascii="Calibri" w:eastAsia="Calibri" w:hAnsi="Calibri" w:cs="Times New Roman"/>
          <w:lang w:eastAsia="en-AU"/>
        </w:rPr>
        <w:t>)</w:t>
      </w:r>
      <w:r w:rsidRPr="00DD5DD9">
        <w:rPr>
          <w:rFonts w:ascii="Calibri" w:eastAsia="Yu Mincho" w:hAnsi="Calibri" w:cs="Times New Roman"/>
          <w:b/>
          <w:i/>
        </w:rPr>
        <w:t xml:space="preserve"> </w:t>
      </w:r>
    </w:p>
    <w:p w14:paraId="0B00C2F0" w14:textId="77777777" w:rsidR="004158F0" w:rsidRPr="00DD5DD9" w:rsidRDefault="004158F0" w:rsidP="00BE67D5">
      <w:pPr>
        <w:spacing w:after="200"/>
        <w:ind w:left="720"/>
        <w:contextualSpacing/>
        <w:jc w:val="left"/>
        <w:rPr>
          <w:rFonts w:ascii="Calibri" w:eastAsia="Calibri" w:hAnsi="Calibri" w:cs="Times New Roman"/>
          <w:sz w:val="18"/>
          <w:szCs w:val="18"/>
          <w:lang w:eastAsia="en-AU"/>
        </w:rPr>
      </w:pPr>
    </w:p>
    <w:tbl>
      <w:tblPr>
        <w:tblStyle w:val="TableGrid2"/>
        <w:tblpPr w:leftFromText="181" w:rightFromText="181" w:vertAnchor="text" w:horzAnchor="page" w:tblpX="514" w:tblpY="370"/>
        <w:tblOverlap w:val="never"/>
        <w:tblW w:w="10912" w:type="dxa"/>
        <w:tblLayout w:type="fixed"/>
        <w:tblLook w:val="04A0" w:firstRow="1" w:lastRow="0" w:firstColumn="1" w:lastColumn="0" w:noHBand="0" w:noVBand="1"/>
      </w:tblPr>
      <w:tblGrid>
        <w:gridCol w:w="2023"/>
        <w:gridCol w:w="1158"/>
        <w:gridCol w:w="1594"/>
        <w:gridCol w:w="1158"/>
        <w:gridCol w:w="1088"/>
        <w:gridCol w:w="1228"/>
        <w:gridCol w:w="1118"/>
        <w:gridCol w:w="647"/>
        <w:gridCol w:w="898"/>
      </w:tblGrid>
      <w:tr w:rsidR="004158F0" w:rsidRPr="00DD5DD9" w14:paraId="4D69D5CA" w14:textId="77777777" w:rsidTr="004158F0">
        <w:trPr>
          <w:trHeight w:val="225"/>
        </w:trPr>
        <w:tc>
          <w:tcPr>
            <w:tcW w:w="2023" w:type="dxa"/>
          </w:tcPr>
          <w:p w14:paraId="582949B1"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Assay type</w:t>
            </w:r>
            <w:r w:rsidRPr="00DD5DD9">
              <w:rPr>
                <w:rStyle w:val="FootnoteReference"/>
                <w:rFonts w:ascii="Calibri" w:hAnsi="Calibri" w:cs="Calibri"/>
                <w:b/>
                <w:sz w:val="18"/>
                <w:szCs w:val="18"/>
              </w:rPr>
              <w:footnoteReference w:id="15"/>
            </w:r>
          </w:p>
        </w:tc>
        <w:tc>
          <w:tcPr>
            <w:tcW w:w="1158" w:type="dxa"/>
          </w:tcPr>
          <w:p w14:paraId="42FCF58D"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Available literature</w:t>
            </w:r>
            <w:r w:rsidRPr="00DD5DD9">
              <w:rPr>
                <w:rStyle w:val="FootnoteReference"/>
                <w:rFonts w:ascii="Calibri" w:hAnsi="Calibri" w:cs="Calibri"/>
                <w:b/>
                <w:sz w:val="18"/>
                <w:szCs w:val="18"/>
              </w:rPr>
              <w:footnoteReference w:id="16"/>
            </w:r>
          </w:p>
        </w:tc>
        <w:tc>
          <w:tcPr>
            <w:tcW w:w="1594" w:type="dxa"/>
          </w:tcPr>
          <w:p w14:paraId="7D64EB6D"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TAT</w:t>
            </w:r>
          </w:p>
        </w:tc>
        <w:tc>
          <w:tcPr>
            <w:tcW w:w="1158" w:type="dxa"/>
          </w:tcPr>
          <w:p w14:paraId="23A8A032"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Sensitivity</w:t>
            </w:r>
          </w:p>
        </w:tc>
        <w:tc>
          <w:tcPr>
            <w:tcW w:w="1088" w:type="dxa"/>
          </w:tcPr>
          <w:p w14:paraId="171671B6"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Specificity</w:t>
            </w:r>
          </w:p>
        </w:tc>
        <w:tc>
          <w:tcPr>
            <w:tcW w:w="1228" w:type="dxa"/>
          </w:tcPr>
          <w:p w14:paraId="53151AE6"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Ease of use at POC</w:t>
            </w:r>
          </w:p>
        </w:tc>
        <w:tc>
          <w:tcPr>
            <w:tcW w:w="1118" w:type="dxa"/>
          </w:tcPr>
          <w:p w14:paraId="6BB5C3D7"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Scalability</w:t>
            </w:r>
          </w:p>
        </w:tc>
        <w:tc>
          <w:tcPr>
            <w:tcW w:w="647" w:type="dxa"/>
          </w:tcPr>
          <w:p w14:paraId="37270A97"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Cost</w:t>
            </w:r>
          </w:p>
        </w:tc>
        <w:tc>
          <w:tcPr>
            <w:tcW w:w="898" w:type="dxa"/>
          </w:tcPr>
          <w:p w14:paraId="6FCE0384" w14:textId="77777777" w:rsidR="004158F0" w:rsidRPr="00C229FD" w:rsidRDefault="004158F0" w:rsidP="004158F0">
            <w:pPr>
              <w:keepNext/>
              <w:jc w:val="center"/>
              <w:rPr>
                <w:rFonts w:ascii="Calibri" w:hAnsi="Calibri" w:cs="Calibri"/>
                <w:b/>
                <w:sz w:val="18"/>
                <w:szCs w:val="18"/>
                <w:lang w:val="en-AU"/>
              </w:rPr>
            </w:pPr>
            <w:r w:rsidRPr="00DD5DD9">
              <w:rPr>
                <w:rFonts w:ascii="Calibri" w:hAnsi="Calibri" w:cs="Calibri"/>
                <w:b/>
                <w:sz w:val="18"/>
                <w:szCs w:val="18"/>
              </w:rPr>
              <w:t>Supply chain</w:t>
            </w:r>
          </w:p>
        </w:tc>
      </w:tr>
      <w:tr w:rsidR="004158F0" w:rsidRPr="00DD5DD9" w14:paraId="74081EA3" w14:textId="77777777" w:rsidTr="004158F0">
        <w:trPr>
          <w:trHeight w:val="426"/>
        </w:trPr>
        <w:tc>
          <w:tcPr>
            <w:tcW w:w="2023" w:type="dxa"/>
          </w:tcPr>
          <w:p w14:paraId="703B838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 xml:space="preserve">Laboratory-based </w:t>
            </w:r>
            <w:r w:rsidRPr="00DD5DD9">
              <w:rPr>
                <w:rFonts w:ascii="Calibri" w:hAnsi="Calibri" w:cs="Calibri"/>
                <w:sz w:val="18"/>
                <w:szCs w:val="18"/>
              </w:rPr>
              <w:br/>
              <w:t>RT-PCR</w:t>
            </w:r>
          </w:p>
        </w:tc>
        <w:tc>
          <w:tcPr>
            <w:tcW w:w="1158" w:type="dxa"/>
          </w:tcPr>
          <w:p w14:paraId="363156B1"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1DD781F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Hours</w:t>
            </w:r>
          </w:p>
        </w:tc>
        <w:tc>
          <w:tcPr>
            <w:tcW w:w="1158" w:type="dxa"/>
          </w:tcPr>
          <w:p w14:paraId="6FA1CD6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2D50C44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0E85A62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n/a</w:t>
            </w:r>
          </w:p>
        </w:tc>
        <w:tc>
          <w:tcPr>
            <w:tcW w:w="1118" w:type="dxa"/>
          </w:tcPr>
          <w:p w14:paraId="3843733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0EA7F16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5BE4CFE3"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1E1487AC" w14:textId="77777777" w:rsidTr="004158F0">
        <w:trPr>
          <w:trHeight w:val="285"/>
        </w:trPr>
        <w:tc>
          <w:tcPr>
            <w:tcW w:w="2023" w:type="dxa"/>
          </w:tcPr>
          <w:p w14:paraId="768C57FC"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Saliva RT-PCR</w:t>
            </w:r>
          </w:p>
        </w:tc>
        <w:tc>
          <w:tcPr>
            <w:tcW w:w="1158" w:type="dxa"/>
          </w:tcPr>
          <w:p w14:paraId="011859A9"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1E34464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Hours</w:t>
            </w:r>
          </w:p>
        </w:tc>
        <w:tc>
          <w:tcPr>
            <w:tcW w:w="1158" w:type="dxa"/>
          </w:tcPr>
          <w:p w14:paraId="567970EE"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0BEE3CF5"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4DA540BF"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n/a</w:t>
            </w:r>
            <w:r w:rsidRPr="00DD5DD9">
              <w:rPr>
                <w:rStyle w:val="FootnoteReference"/>
                <w:rFonts w:ascii="Calibri" w:hAnsi="Calibri" w:cs="Calibri"/>
                <w:sz w:val="18"/>
                <w:szCs w:val="18"/>
              </w:rPr>
              <w:footnoteReference w:id="17"/>
            </w:r>
          </w:p>
        </w:tc>
        <w:tc>
          <w:tcPr>
            <w:tcW w:w="1118" w:type="dxa"/>
          </w:tcPr>
          <w:p w14:paraId="57B1ACA3"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5638CD7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5C2F4FC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31974E83" w14:textId="77777777" w:rsidTr="004158F0">
        <w:trPr>
          <w:trHeight w:val="314"/>
        </w:trPr>
        <w:tc>
          <w:tcPr>
            <w:tcW w:w="2023" w:type="dxa"/>
          </w:tcPr>
          <w:p w14:paraId="14A5871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 xml:space="preserve">Rapid or near </w:t>
            </w:r>
            <w:r w:rsidRPr="00DD5DD9">
              <w:rPr>
                <w:rFonts w:ascii="Calibri" w:hAnsi="Calibri" w:cs="Calibri"/>
                <w:sz w:val="18"/>
                <w:szCs w:val="18"/>
              </w:rPr>
              <w:br/>
              <w:t>POC RT-PCR</w:t>
            </w:r>
          </w:p>
        </w:tc>
        <w:tc>
          <w:tcPr>
            <w:tcW w:w="1158" w:type="dxa"/>
          </w:tcPr>
          <w:p w14:paraId="2D3B1F6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503124F6"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Under 1 Hour</w:t>
            </w:r>
          </w:p>
        </w:tc>
        <w:tc>
          <w:tcPr>
            <w:tcW w:w="1158" w:type="dxa"/>
          </w:tcPr>
          <w:p w14:paraId="0863CA16"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774C63DD"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48A00621"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3E17E8BE"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3648A92D"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1C8EE942"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7A43FCE4" w14:textId="77777777" w:rsidTr="004158F0">
        <w:trPr>
          <w:trHeight w:val="281"/>
        </w:trPr>
        <w:tc>
          <w:tcPr>
            <w:tcW w:w="2023" w:type="dxa"/>
          </w:tcPr>
          <w:p w14:paraId="14ABC0A6" w14:textId="77777777" w:rsidR="004158F0" w:rsidRPr="00B82371" w:rsidRDefault="004158F0" w:rsidP="004158F0">
            <w:pPr>
              <w:jc w:val="center"/>
              <w:rPr>
                <w:rFonts w:ascii="Calibri" w:hAnsi="Calibri" w:cs="Calibri"/>
                <w:sz w:val="18"/>
                <w:szCs w:val="18"/>
                <w:lang w:val="fr-FR"/>
              </w:rPr>
            </w:pPr>
            <w:r w:rsidRPr="00B82371">
              <w:rPr>
                <w:rFonts w:ascii="Calibri" w:hAnsi="Calibri" w:cs="Calibri"/>
                <w:sz w:val="18"/>
                <w:szCs w:val="18"/>
                <w:lang w:val="fr-FR"/>
              </w:rPr>
              <w:t>POC NAAT</w:t>
            </w:r>
            <w:r w:rsidRPr="00B82371">
              <w:rPr>
                <w:rFonts w:ascii="Calibri" w:hAnsi="Calibri" w:cs="Calibri"/>
                <w:sz w:val="18"/>
                <w:szCs w:val="18"/>
                <w:lang w:val="fr-FR"/>
              </w:rPr>
              <w:br/>
              <w:t>(non-RT-PCR)</w:t>
            </w:r>
          </w:p>
        </w:tc>
        <w:tc>
          <w:tcPr>
            <w:tcW w:w="1158" w:type="dxa"/>
          </w:tcPr>
          <w:p w14:paraId="1C0A579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53CF8AB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Minutes</w:t>
            </w:r>
          </w:p>
        </w:tc>
        <w:tc>
          <w:tcPr>
            <w:tcW w:w="1158" w:type="dxa"/>
          </w:tcPr>
          <w:p w14:paraId="5C0A155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09E118D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1B8314CD"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0EC1B965"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38F1FEA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36C337E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06AF818C" w14:textId="77777777" w:rsidTr="004158F0">
        <w:trPr>
          <w:trHeight w:val="146"/>
        </w:trPr>
        <w:tc>
          <w:tcPr>
            <w:tcW w:w="2023" w:type="dxa"/>
          </w:tcPr>
          <w:p w14:paraId="1D49B995"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Extraction-free LAMP</w:t>
            </w:r>
          </w:p>
        </w:tc>
        <w:tc>
          <w:tcPr>
            <w:tcW w:w="1158" w:type="dxa"/>
          </w:tcPr>
          <w:p w14:paraId="30613B42"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1D2B1A5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Minutes - Hours</w:t>
            </w:r>
          </w:p>
        </w:tc>
        <w:tc>
          <w:tcPr>
            <w:tcW w:w="1158" w:type="dxa"/>
          </w:tcPr>
          <w:p w14:paraId="199D1F8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3BCFDEF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30AA019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050C303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3FA1609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2D03D282"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5B1FF24B" w14:textId="77777777" w:rsidTr="004158F0">
        <w:trPr>
          <w:trHeight w:val="287"/>
        </w:trPr>
        <w:tc>
          <w:tcPr>
            <w:tcW w:w="2023" w:type="dxa"/>
          </w:tcPr>
          <w:p w14:paraId="160993CE"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Extraction-free RT-PCR</w:t>
            </w:r>
          </w:p>
        </w:tc>
        <w:tc>
          <w:tcPr>
            <w:tcW w:w="1158" w:type="dxa"/>
          </w:tcPr>
          <w:p w14:paraId="0878054E"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7F702F0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Hours</w:t>
            </w:r>
          </w:p>
        </w:tc>
        <w:tc>
          <w:tcPr>
            <w:tcW w:w="1158" w:type="dxa"/>
          </w:tcPr>
          <w:p w14:paraId="0DC98B32"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07EDBAAF"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461F83EC"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4214BEFD"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30EFC9F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7A243C08"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1029ECEF" w14:textId="77777777" w:rsidTr="004158F0">
        <w:trPr>
          <w:trHeight w:val="243"/>
        </w:trPr>
        <w:tc>
          <w:tcPr>
            <w:tcW w:w="2023" w:type="dxa"/>
          </w:tcPr>
          <w:p w14:paraId="739F1CF5"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CRISPR</w:t>
            </w:r>
          </w:p>
        </w:tc>
        <w:tc>
          <w:tcPr>
            <w:tcW w:w="1158" w:type="dxa"/>
          </w:tcPr>
          <w:p w14:paraId="3A26CA8E"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7D35849F"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Hours</w:t>
            </w:r>
          </w:p>
        </w:tc>
        <w:tc>
          <w:tcPr>
            <w:tcW w:w="1158" w:type="dxa"/>
          </w:tcPr>
          <w:p w14:paraId="092DBC3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3A99D4D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3A87B7B7"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039FBF6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227D7BD3"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43041F19"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44376F07" w14:textId="77777777" w:rsidTr="004158F0">
        <w:trPr>
          <w:trHeight w:val="139"/>
        </w:trPr>
        <w:tc>
          <w:tcPr>
            <w:tcW w:w="2023" w:type="dxa"/>
          </w:tcPr>
          <w:p w14:paraId="3373410D"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POC Antigen</w:t>
            </w:r>
          </w:p>
        </w:tc>
        <w:tc>
          <w:tcPr>
            <w:tcW w:w="1158" w:type="dxa"/>
          </w:tcPr>
          <w:p w14:paraId="67935A59"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1AFE053D"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Minutes</w:t>
            </w:r>
          </w:p>
        </w:tc>
        <w:tc>
          <w:tcPr>
            <w:tcW w:w="1158" w:type="dxa"/>
          </w:tcPr>
          <w:p w14:paraId="1E1BC722"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2AB33241"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379BA55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6923614F"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0D58F7F5"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292D26D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r w:rsidR="004158F0" w:rsidRPr="00DD5DD9" w14:paraId="1A2CBE36" w14:textId="77777777" w:rsidTr="004158F0">
        <w:trPr>
          <w:trHeight w:val="163"/>
        </w:trPr>
        <w:tc>
          <w:tcPr>
            <w:tcW w:w="2023" w:type="dxa"/>
          </w:tcPr>
          <w:p w14:paraId="1DAB3B7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POC Antibody</w:t>
            </w:r>
          </w:p>
        </w:tc>
        <w:tc>
          <w:tcPr>
            <w:tcW w:w="1158" w:type="dxa"/>
          </w:tcPr>
          <w:p w14:paraId="4D15B2A7"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594" w:type="dxa"/>
          </w:tcPr>
          <w:p w14:paraId="547389C2"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Minutes</w:t>
            </w:r>
          </w:p>
        </w:tc>
        <w:tc>
          <w:tcPr>
            <w:tcW w:w="1158" w:type="dxa"/>
          </w:tcPr>
          <w:p w14:paraId="6F78B030"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088" w:type="dxa"/>
          </w:tcPr>
          <w:p w14:paraId="040C240B"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228" w:type="dxa"/>
          </w:tcPr>
          <w:p w14:paraId="60CF5E2F"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1118" w:type="dxa"/>
          </w:tcPr>
          <w:p w14:paraId="0E5D2704"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647" w:type="dxa"/>
          </w:tcPr>
          <w:p w14:paraId="26AE742F"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c>
          <w:tcPr>
            <w:tcW w:w="898" w:type="dxa"/>
          </w:tcPr>
          <w:p w14:paraId="0DABFD9A" w14:textId="77777777" w:rsidR="004158F0" w:rsidRPr="00C229FD" w:rsidRDefault="004158F0" w:rsidP="004158F0">
            <w:pPr>
              <w:jc w:val="center"/>
              <w:rPr>
                <w:rFonts w:ascii="Calibri" w:hAnsi="Calibri" w:cs="Calibri"/>
                <w:sz w:val="18"/>
                <w:szCs w:val="18"/>
                <w:lang w:val="en-AU"/>
              </w:rPr>
            </w:pPr>
            <w:r w:rsidRPr="00DD5DD9">
              <w:rPr>
                <w:rFonts w:ascii="Calibri" w:hAnsi="Calibri" w:cs="Calibri"/>
                <w:sz w:val="18"/>
                <w:szCs w:val="18"/>
              </w:rPr>
              <w:t>++</w:t>
            </w:r>
          </w:p>
        </w:tc>
      </w:tr>
    </w:tbl>
    <w:p w14:paraId="48F436CD" w14:textId="20E696C4" w:rsidR="008972E8" w:rsidRPr="00DD5DD9" w:rsidRDefault="004158F0" w:rsidP="004158F0">
      <w:pPr>
        <w:keepNext/>
        <w:jc w:val="left"/>
        <w:rPr>
          <w:rFonts w:ascii="Calibri" w:eastAsia="Yu Mincho" w:hAnsi="Calibri" w:cs="Times New Roman"/>
          <w:b/>
          <w:i/>
        </w:rPr>
      </w:pPr>
      <w:r w:rsidRPr="00DD5DD9">
        <w:rPr>
          <w:rFonts w:ascii="Calibri" w:eastAsia="Yu Mincho" w:hAnsi="Calibri" w:cs="Times New Roman"/>
          <w:b/>
          <w:i/>
        </w:rPr>
        <w:t xml:space="preserve"> Table 1: High-level comparison of the test characteristics relative to standard RT-PCR.</w:t>
      </w:r>
      <w:r w:rsidRPr="00DD5DD9">
        <w:rPr>
          <w:vertAlign w:val="superscript"/>
        </w:rPr>
        <w:footnoteReference w:id="18"/>
      </w:r>
      <w:r w:rsidRPr="00DD5DD9">
        <w:rPr>
          <w:rStyle w:val="FootnoteReference"/>
          <w:rFonts w:ascii="Calibri" w:eastAsia="Yu Mincho" w:hAnsi="Calibri" w:cs="Times New Roman"/>
          <w:i/>
        </w:rPr>
        <w:footnoteReference w:id="19"/>
      </w:r>
    </w:p>
    <w:p w14:paraId="7DD67FDE" w14:textId="77777777" w:rsidR="008D5738" w:rsidRPr="00DD5DD9" w:rsidRDefault="008D5738" w:rsidP="00862FF4"/>
    <w:p w14:paraId="4251C85B" w14:textId="6BE5FEEA" w:rsidR="008972E8" w:rsidRPr="00DD5DD9" w:rsidRDefault="008972E8" w:rsidP="00862FF4">
      <w:pPr>
        <w:pStyle w:val="ListParagraph"/>
        <w:numPr>
          <w:ilvl w:val="1"/>
          <w:numId w:val="45"/>
        </w:numPr>
        <w:rPr>
          <w:rFonts w:ascii="Calibri" w:eastAsia="Yu Mincho" w:hAnsi="Calibri"/>
          <w:b/>
          <w:bCs/>
          <w:sz w:val="28"/>
          <w:szCs w:val="28"/>
        </w:rPr>
      </w:pPr>
      <w:r w:rsidRPr="00DD5DD9">
        <w:rPr>
          <w:b/>
          <w:bCs/>
          <w:sz w:val="28"/>
          <w:szCs w:val="28"/>
        </w:rPr>
        <w:lastRenderedPageBreak/>
        <w:t xml:space="preserve">Nucleic acid amplification testing (NAAT) </w:t>
      </w:r>
    </w:p>
    <w:p w14:paraId="56801769" w14:textId="3409F1A0" w:rsidR="008972E8" w:rsidRPr="00DD5DD9" w:rsidRDefault="008972E8" w:rsidP="008972E8">
      <w:pPr>
        <w:rPr>
          <w:rFonts w:ascii="Calibri" w:eastAsia="Yu Mincho" w:hAnsi="Calibri" w:cs="Times New Roman"/>
          <w:i/>
        </w:rPr>
      </w:pPr>
      <w:r w:rsidRPr="00DD5DD9">
        <w:rPr>
          <w:rFonts w:ascii="Calibri" w:eastAsia="Yu Mincho" w:hAnsi="Calibri" w:cs="Times New Roman"/>
        </w:rPr>
        <w:t xml:space="preserve">NAAT detect </w:t>
      </w:r>
      <w:r w:rsidR="00451594" w:rsidRPr="00DD5DD9">
        <w:rPr>
          <w:rFonts w:ascii="Calibri" w:eastAsia="Yu Mincho" w:hAnsi="Calibri" w:cs="Times New Roman"/>
        </w:rPr>
        <w:t>nucleic acid sequences specific to</w:t>
      </w:r>
      <w:r w:rsidRPr="00DD5DD9">
        <w:rPr>
          <w:rFonts w:ascii="Calibri" w:eastAsia="Yu Mincho" w:hAnsi="Calibri" w:cs="Times New Roman"/>
        </w:rPr>
        <w:t xml:space="preserve"> SARS-CoV-2 RNA most commonly in an upper respiratory tract specimen. RT-PCR </w:t>
      </w:r>
      <w:r w:rsidR="008D5738" w:rsidRPr="00DD5DD9">
        <w:rPr>
          <w:rFonts w:ascii="Calibri" w:eastAsia="Yu Mincho" w:hAnsi="Calibri" w:cs="Times New Roman"/>
        </w:rPr>
        <w:t xml:space="preserve">(one type of NAAT) </w:t>
      </w:r>
      <w:r w:rsidRPr="00DD5DD9">
        <w:rPr>
          <w:rFonts w:ascii="Calibri" w:eastAsia="Yu Mincho" w:hAnsi="Calibri" w:cs="Times New Roman"/>
        </w:rPr>
        <w:t xml:space="preserve">is very sensitive and specific. In Australia, NAAT using RT-PCR is the method of choice to detect SARS-CoV-2 during the acute illness. </w:t>
      </w:r>
      <w:r w:rsidR="0006603E" w:rsidRPr="00DD5DD9">
        <w:rPr>
          <w:rFonts w:ascii="Calibri" w:eastAsia="Yu Mincho" w:hAnsi="Calibri" w:cs="Times New Roman"/>
        </w:rPr>
        <w:t xml:space="preserve">Refer to the </w:t>
      </w:r>
      <w:hyperlink r:id="rId37" w:history="1">
        <w:r w:rsidR="0006603E" w:rsidRPr="00DD5DD9">
          <w:rPr>
            <w:rStyle w:val="Hyperlink"/>
            <w:rFonts w:ascii="Calibri" w:eastAsia="Yu Mincho" w:hAnsi="Calibri" w:cs="Times New Roman"/>
            <w:i/>
          </w:rPr>
          <w:t>PHLN Guidance for laboratory testing for SARS-CoV-2</w:t>
        </w:r>
      </w:hyperlink>
      <w:r w:rsidRPr="00DD5DD9">
        <w:rPr>
          <w:rFonts w:ascii="Calibri" w:eastAsia="Yu Mincho" w:hAnsi="Calibri" w:cs="Times New Roman"/>
        </w:rPr>
        <w:t xml:space="preserve"> for RT-PCR testing</w:t>
      </w:r>
      <w:r w:rsidR="0006603E" w:rsidRPr="00DD5DD9">
        <w:rPr>
          <w:rFonts w:ascii="Calibri" w:eastAsia="Yu Mincho" w:hAnsi="Calibri" w:cs="Times New Roman"/>
        </w:rPr>
        <w:t>.</w:t>
      </w:r>
      <w:r w:rsidRPr="00DD5DD9">
        <w:rPr>
          <w:rFonts w:ascii="Calibri" w:hAnsi="Calibri"/>
          <w:i/>
        </w:rPr>
        <w:t xml:space="preserve"> </w:t>
      </w:r>
    </w:p>
    <w:p w14:paraId="0B0EF482" w14:textId="59BC6CDE" w:rsidR="008972E8" w:rsidRPr="00DD5DD9" w:rsidRDefault="008972E8" w:rsidP="00BE67D5">
      <w:pPr>
        <w:rPr>
          <w:rFonts w:ascii="Calibri" w:eastAsia="Yu Mincho" w:hAnsi="Calibri" w:cs="Times New Roman"/>
        </w:rPr>
      </w:pPr>
      <w:r w:rsidRPr="00DD5DD9">
        <w:rPr>
          <w:rFonts w:ascii="Calibri" w:eastAsia="Yu Mincho" w:hAnsi="Calibri" w:cs="Times New Roman"/>
        </w:rPr>
        <w:t>The manufacturer sets the approved specimens for use with a test in the</w:t>
      </w:r>
      <w:r w:rsidR="0006603E" w:rsidRPr="00DD5DD9">
        <w:rPr>
          <w:rFonts w:ascii="Calibri" w:eastAsia="Yu Mincho" w:hAnsi="Calibri" w:cs="Times New Roman"/>
        </w:rPr>
        <w:t>ir</w:t>
      </w:r>
      <w:r w:rsidRPr="00DD5DD9">
        <w:rPr>
          <w:rFonts w:ascii="Calibri" w:eastAsia="Yu Mincho" w:hAnsi="Calibri" w:cs="Times New Roman"/>
        </w:rPr>
        <w:t xml:space="preserve"> </w:t>
      </w:r>
      <w:r w:rsidR="0006603E" w:rsidRPr="00DD5DD9">
        <w:rPr>
          <w:rFonts w:ascii="Calibri" w:eastAsia="Yu Mincho" w:hAnsi="Calibri" w:cs="Times New Roman"/>
        </w:rPr>
        <w:t>‘</w:t>
      </w:r>
      <w:r w:rsidRPr="00DD5DD9">
        <w:rPr>
          <w:rFonts w:ascii="Calibri" w:eastAsia="Yu Mincho" w:hAnsi="Calibri" w:cs="Times New Roman"/>
        </w:rPr>
        <w:t>Instructions for Use</w:t>
      </w:r>
      <w:r w:rsidR="0006603E" w:rsidRPr="00DD5DD9">
        <w:rPr>
          <w:rFonts w:ascii="Calibri" w:eastAsia="Yu Mincho" w:hAnsi="Calibri" w:cs="Times New Roman"/>
        </w:rPr>
        <w:t>’</w:t>
      </w:r>
      <w:r w:rsidRPr="00DD5DD9">
        <w:rPr>
          <w:rFonts w:ascii="Calibri" w:eastAsia="Yu Mincho" w:hAnsi="Calibri" w:cs="Times New Roman"/>
        </w:rPr>
        <w:t xml:space="preserve"> (IFU). Most RT-PCR tests </w:t>
      </w:r>
      <w:r w:rsidR="0006603E" w:rsidRPr="00DD5DD9">
        <w:rPr>
          <w:rFonts w:ascii="Calibri" w:eastAsia="Yu Mincho" w:hAnsi="Calibri" w:cs="Times New Roman"/>
        </w:rPr>
        <w:t>need</w:t>
      </w:r>
      <w:r w:rsidRPr="00DD5DD9">
        <w:rPr>
          <w:rFonts w:ascii="Calibri" w:eastAsia="Yu Mincho" w:hAnsi="Calibri" w:cs="Times New Roman"/>
        </w:rPr>
        <w:t xml:space="preserve"> either a nasopharyngeal, or oropharyngeal and bilateral deep nasal swab. The PHLN advise that the swab can either be collected by: </w:t>
      </w:r>
    </w:p>
    <w:p w14:paraId="57C6DF24" w14:textId="2CA961FB" w:rsidR="008972E8" w:rsidRPr="00DD5DD9" w:rsidRDefault="009E07C4" w:rsidP="008972E8">
      <w:pPr>
        <w:pStyle w:val="ListParagraph"/>
        <w:numPr>
          <w:ilvl w:val="0"/>
          <w:numId w:val="33"/>
        </w:numPr>
        <w:spacing w:after="200"/>
        <w:jc w:val="left"/>
        <w:rPr>
          <w:rFonts w:ascii="Calibri" w:eastAsia="Yu Mincho" w:hAnsi="Calibri" w:cs="Times New Roman"/>
        </w:rPr>
      </w:pPr>
      <w:r w:rsidRPr="00DD5DD9">
        <w:rPr>
          <w:rFonts w:ascii="Calibri" w:eastAsia="Yu Mincho" w:hAnsi="Calibri" w:cs="Times New Roman"/>
        </w:rPr>
        <w:t>a</w:t>
      </w:r>
      <w:r w:rsidR="008972E8" w:rsidRPr="00DD5DD9">
        <w:rPr>
          <w:rFonts w:ascii="Calibri" w:eastAsia="Yu Mincho" w:hAnsi="Calibri" w:cs="Times New Roman"/>
        </w:rPr>
        <w:t>pproved Specimen Collection Personnel or</w:t>
      </w:r>
    </w:p>
    <w:p w14:paraId="50A24517" w14:textId="1A5B0724" w:rsidR="0006603E" w:rsidRPr="00DD5DD9" w:rsidRDefault="0006603E" w:rsidP="008972E8">
      <w:pPr>
        <w:pStyle w:val="ListParagraph"/>
        <w:numPr>
          <w:ilvl w:val="0"/>
          <w:numId w:val="33"/>
        </w:numPr>
        <w:spacing w:after="200"/>
        <w:jc w:val="left"/>
        <w:rPr>
          <w:rFonts w:ascii="Calibri" w:eastAsia="Yu Mincho" w:hAnsi="Calibri" w:cs="Times New Roman"/>
        </w:rPr>
      </w:pPr>
      <w:r w:rsidRPr="00DD5DD9">
        <w:rPr>
          <w:rFonts w:ascii="Calibri" w:eastAsia="Yu Mincho" w:hAnsi="Calibri" w:cs="Times New Roman"/>
        </w:rPr>
        <w:t xml:space="preserve">swabbing </w:t>
      </w:r>
      <w:r w:rsidR="00095026" w:rsidRPr="00DD5DD9">
        <w:rPr>
          <w:rFonts w:ascii="Calibri" w:eastAsia="Yu Mincho" w:hAnsi="Calibri" w:cs="Times New Roman"/>
        </w:rPr>
        <w:t xml:space="preserve">by </w:t>
      </w:r>
      <w:r w:rsidR="008972E8" w:rsidRPr="00DD5DD9">
        <w:rPr>
          <w:rFonts w:ascii="Calibri" w:eastAsia="Yu Mincho" w:hAnsi="Calibri" w:cs="Times New Roman"/>
        </w:rPr>
        <w:t>the person, if appropriate and</w:t>
      </w:r>
      <w:r w:rsidRPr="00DD5DD9">
        <w:rPr>
          <w:rFonts w:ascii="Calibri" w:eastAsia="Yu Mincho" w:hAnsi="Calibri" w:cs="Times New Roman"/>
        </w:rPr>
        <w:t>:</w:t>
      </w:r>
    </w:p>
    <w:p w14:paraId="3E76A559" w14:textId="16F67A99" w:rsidR="0006603E" w:rsidRPr="00DD5DD9" w:rsidRDefault="008972E8" w:rsidP="00B45C36">
      <w:pPr>
        <w:pStyle w:val="ListParagraph"/>
        <w:numPr>
          <w:ilvl w:val="0"/>
          <w:numId w:val="51"/>
        </w:numPr>
        <w:spacing w:after="200"/>
        <w:rPr>
          <w:rFonts w:ascii="Calibri" w:eastAsia="Yu Mincho" w:hAnsi="Calibri" w:cs="Times New Roman"/>
        </w:rPr>
      </w:pPr>
      <w:r w:rsidRPr="00DD5DD9">
        <w:rPr>
          <w:rFonts w:ascii="Calibri" w:eastAsia="Yu Mincho" w:hAnsi="Calibri" w:cs="Times New Roman"/>
        </w:rPr>
        <w:t xml:space="preserve">if the testing method </w:t>
      </w:r>
      <w:r w:rsidR="0006603E" w:rsidRPr="00DD5DD9">
        <w:rPr>
          <w:rFonts w:ascii="Calibri" w:eastAsia="Yu Mincho" w:hAnsi="Calibri" w:cs="Times New Roman"/>
        </w:rPr>
        <w:t>is</w:t>
      </w:r>
      <w:r w:rsidRPr="00DD5DD9">
        <w:rPr>
          <w:rFonts w:ascii="Calibri" w:eastAsia="Yu Mincho" w:hAnsi="Calibri" w:cs="Times New Roman"/>
        </w:rPr>
        <w:t xml:space="preserve"> validated by the associated laboratory</w:t>
      </w:r>
      <w:r w:rsidR="00484224" w:rsidRPr="00DD5DD9">
        <w:rPr>
          <w:rFonts w:ascii="Calibri" w:eastAsia="Yu Mincho" w:hAnsi="Calibri" w:cs="Times New Roman"/>
        </w:rPr>
        <w:t xml:space="preserve"> and </w:t>
      </w:r>
    </w:p>
    <w:p w14:paraId="036B3F99" w14:textId="2C1C97B8" w:rsidR="008972E8" w:rsidRPr="00DD5DD9" w:rsidRDefault="00484224" w:rsidP="00954A79">
      <w:pPr>
        <w:pStyle w:val="ListParagraph"/>
        <w:numPr>
          <w:ilvl w:val="0"/>
          <w:numId w:val="51"/>
        </w:numPr>
        <w:spacing w:after="200"/>
        <w:rPr>
          <w:rFonts w:ascii="Calibri" w:eastAsia="Yu Mincho" w:hAnsi="Calibri" w:cs="Times New Roman"/>
        </w:rPr>
      </w:pPr>
      <w:r w:rsidRPr="00DD5DD9">
        <w:rPr>
          <w:rFonts w:ascii="Calibri" w:eastAsia="Yu Mincho" w:hAnsi="Calibri" w:cs="Times New Roman"/>
        </w:rPr>
        <w:t xml:space="preserve">under </w:t>
      </w:r>
      <w:r w:rsidR="007B1482" w:rsidRPr="00DD5DD9">
        <w:rPr>
          <w:rFonts w:ascii="Calibri" w:eastAsia="Yu Mincho" w:hAnsi="Calibri" w:cs="Times New Roman"/>
        </w:rPr>
        <w:t>health care practitioner</w:t>
      </w:r>
      <w:r w:rsidRPr="00DD5DD9">
        <w:rPr>
          <w:rFonts w:ascii="Calibri" w:eastAsia="Yu Mincho" w:hAnsi="Calibri" w:cs="Times New Roman"/>
        </w:rPr>
        <w:t xml:space="preserve"> supervis</w:t>
      </w:r>
      <w:r w:rsidR="007B1482" w:rsidRPr="00DD5DD9">
        <w:rPr>
          <w:rFonts w:ascii="Calibri" w:eastAsia="Yu Mincho" w:hAnsi="Calibri" w:cs="Times New Roman"/>
        </w:rPr>
        <w:t>i</w:t>
      </w:r>
      <w:r w:rsidRPr="00DD5DD9">
        <w:rPr>
          <w:rFonts w:ascii="Calibri" w:eastAsia="Yu Mincho" w:hAnsi="Calibri" w:cs="Times New Roman"/>
        </w:rPr>
        <w:t>on</w:t>
      </w:r>
      <w:r w:rsidR="008972E8" w:rsidRPr="00DD5DD9">
        <w:rPr>
          <w:rFonts w:ascii="Calibri" w:eastAsia="Yu Mincho" w:hAnsi="Calibri" w:cs="Times New Roman"/>
        </w:rPr>
        <w:t xml:space="preserve">. </w:t>
      </w:r>
    </w:p>
    <w:p w14:paraId="44738A0D" w14:textId="7C8759EB" w:rsidR="008972E8" w:rsidRPr="00DD5DD9" w:rsidRDefault="00484224" w:rsidP="00BE67D5">
      <w:pPr>
        <w:rPr>
          <w:rFonts w:ascii="Calibri" w:eastAsia="Yu Mincho" w:hAnsi="Calibri" w:cs="Times New Roman"/>
        </w:rPr>
      </w:pPr>
      <w:r w:rsidRPr="00DD5DD9">
        <w:rPr>
          <w:rFonts w:ascii="Calibri" w:eastAsia="Yu Mincho" w:hAnsi="Calibri" w:cs="Times New Roman"/>
        </w:rPr>
        <w:t>I</w:t>
      </w:r>
      <w:r w:rsidR="008972E8" w:rsidRPr="00DD5DD9">
        <w:rPr>
          <w:rFonts w:ascii="Calibri" w:eastAsia="Yu Mincho" w:hAnsi="Calibri" w:cs="Times New Roman"/>
        </w:rPr>
        <w:t>nnovative methods for NAAT includ</w:t>
      </w:r>
      <w:r w:rsidRPr="00DD5DD9">
        <w:rPr>
          <w:rFonts w:ascii="Calibri" w:eastAsia="Yu Mincho" w:hAnsi="Calibri" w:cs="Times New Roman"/>
        </w:rPr>
        <w:t>e</w:t>
      </w:r>
      <w:r w:rsidR="008972E8" w:rsidRPr="00DD5DD9">
        <w:rPr>
          <w:rFonts w:ascii="Calibri" w:eastAsia="Yu Mincho" w:hAnsi="Calibri" w:cs="Times New Roman"/>
        </w:rPr>
        <w:t xml:space="preserve">: </w:t>
      </w:r>
    </w:p>
    <w:p w14:paraId="1F83FAC7" w14:textId="604F703D" w:rsidR="008972E8" w:rsidRPr="00DD5DD9" w:rsidRDefault="78F2CA0B" w:rsidP="008972E8">
      <w:pPr>
        <w:pStyle w:val="ListParagraph"/>
        <w:numPr>
          <w:ilvl w:val="0"/>
          <w:numId w:val="34"/>
        </w:numPr>
        <w:spacing w:after="200"/>
        <w:jc w:val="left"/>
        <w:rPr>
          <w:rFonts w:ascii="Calibri" w:eastAsia="Yu Mincho" w:hAnsi="Calibri" w:cs="Times New Roman"/>
        </w:rPr>
      </w:pPr>
      <w:r w:rsidRPr="00DD5DD9">
        <w:rPr>
          <w:rFonts w:ascii="Calibri" w:eastAsia="Yu Mincho" w:hAnsi="Calibri" w:cs="Times New Roman"/>
        </w:rPr>
        <w:t>sample pooling</w:t>
      </w:r>
      <w:r w:rsidR="09ED2962" w:rsidRPr="00DD5DD9">
        <w:rPr>
          <w:rFonts w:ascii="Calibri" w:eastAsia="Yu Mincho" w:hAnsi="Calibri" w:cs="Times New Roman"/>
        </w:rPr>
        <w:t xml:space="preserve"> (when test positivity in the population is low)</w:t>
      </w:r>
      <w:r w:rsidRPr="00DD5DD9">
        <w:rPr>
          <w:rFonts w:ascii="Calibri" w:eastAsia="Yu Mincho" w:hAnsi="Calibri" w:cs="Times New Roman"/>
        </w:rPr>
        <w:t xml:space="preserve"> </w:t>
      </w:r>
    </w:p>
    <w:p w14:paraId="253866E8" w14:textId="54AC0318" w:rsidR="008972E8" w:rsidRPr="00DD5DD9" w:rsidRDefault="78F2CA0B" w:rsidP="008972E8">
      <w:pPr>
        <w:pStyle w:val="ListParagraph"/>
        <w:numPr>
          <w:ilvl w:val="0"/>
          <w:numId w:val="34"/>
        </w:numPr>
        <w:spacing w:after="200"/>
        <w:jc w:val="left"/>
        <w:rPr>
          <w:rFonts w:ascii="Calibri" w:eastAsia="Yu Mincho" w:hAnsi="Calibri" w:cs="Times New Roman"/>
        </w:rPr>
      </w:pPr>
      <w:r w:rsidRPr="00DD5DD9">
        <w:rPr>
          <w:rFonts w:ascii="Calibri" w:eastAsia="Yu Mincho" w:hAnsi="Calibri" w:cs="Times New Roman"/>
        </w:rPr>
        <w:t xml:space="preserve">using saliva as an alternative specimen (to </w:t>
      </w:r>
      <w:r w:rsidR="29C17CEA" w:rsidRPr="00DD5DD9">
        <w:rPr>
          <w:rFonts w:ascii="Calibri" w:eastAsia="Yu Mincho" w:hAnsi="Calibri" w:cs="Times New Roman"/>
        </w:rPr>
        <w:t>help</w:t>
      </w:r>
      <w:r w:rsidRPr="00DD5DD9">
        <w:rPr>
          <w:rFonts w:ascii="Calibri" w:eastAsia="Yu Mincho" w:hAnsi="Calibri" w:cs="Times New Roman"/>
        </w:rPr>
        <w:t xml:space="preserve"> increased test uptake and more frequent testing on individuals) and </w:t>
      </w:r>
    </w:p>
    <w:p w14:paraId="7FD0981C" w14:textId="502B45A7" w:rsidR="008972E8" w:rsidRPr="00DD5DD9" w:rsidRDefault="008972E8" w:rsidP="008972E8">
      <w:pPr>
        <w:pStyle w:val="ListParagraph"/>
        <w:numPr>
          <w:ilvl w:val="0"/>
          <w:numId w:val="34"/>
        </w:numPr>
        <w:spacing w:after="200"/>
        <w:jc w:val="left"/>
        <w:rPr>
          <w:rFonts w:ascii="Calibri" w:eastAsia="Yu Mincho" w:hAnsi="Calibri" w:cs="Times New Roman"/>
        </w:rPr>
      </w:pPr>
      <w:r w:rsidRPr="00DD5DD9">
        <w:rPr>
          <w:rFonts w:ascii="Calibri" w:eastAsia="Yu Mincho" w:hAnsi="Calibri" w:cs="Times New Roman"/>
        </w:rPr>
        <w:t>extraction-free PCR.</w:t>
      </w:r>
    </w:p>
    <w:p w14:paraId="26A5B44A" w14:textId="1548BCBF" w:rsidR="00757723" w:rsidRPr="00DD5DD9" w:rsidRDefault="00757723" w:rsidP="00862FF4">
      <w:pPr>
        <w:jc w:val="left"/>
        <w:rPr>
          <w:szCs w:val="24"/>
        </w:rPr>
      </w:pPr>
      <w:r w:rsidRPr="00DD5DD9">
        <w:rPr>
          <w:szCs w:val="24"/>
        </w:rPr>
        <w:t xml:space="preserve">Where available, PHLN recommends the use of multiplex assays that detect SARS-CoV-2 </w:t>
      </w:r>
      <w:r w:rsidR="00467DE0" w:rsidRPr="00DD5DD9">
        <w:rPr>
          <w:szCs w:val="24"/>
        </w:rPr>
        <w:t xml:space="preserve">and </w:t>
      </w:r>
      <w:r w:rsidRPr="00DD5DD9">
        <w:rPr>
          <w:szCs w:val="24"/>
        </w:rPr>
        <w:t>other commonly circulating respiratory viruses, to conserve resources</w:t>
      </w:r>
      <w:r w:rsidR="00467DE0" w:rsidRPr="00DD5DD9">
        <w:rPr>
          <w:szCs w:val="24"/>
        </w:rPr>
        <w:t xml:space="preserve"> and ensure optimal surveillance</w:t>
      </w:r>
      <w:r w:rsidRPr="00DD5DD9">
        <w:rPr>
          <w:szCs w:val="24"/>
        </w:rPr>
        <w:t>.</w:t>
      </w:r>
    </w:p>
    <w:p w14:paraId="227DA130" w14:textId="77777777" w:rsidR="007D0B85" w:rsidRPr="00DD5DD9" w:rsidRDefault="007D0B85" w:rsidP="00862FF4">
      <w:pPr>
        <w:jc w:val="left"/>
        <w:rPr>
          <w:szCs w:val="24"/>
        </w:rPr>
      </w:pPr>
    </w:p>
    <w:p w14:paraId="00687578" w14:textId="77777777" w:rsidR="008972E8" w:rsidRPr="00DD5DD9" w:rsidRDefault="008972E8" w:rsidP="00862FF4">
      <w:pPr>
        <w:rPr>
          <w:b/>
          <w:bCs/>
          <w:i/>
          <w:iCs/>
          <w:sz w:val="28"/>
          <w:szCs w:val="28"/>
        </w:rPr>
      </w:pPr>
      <w:r w:rsidRPr="00DD5DD9">
        <w:rPr>
          <w:b/>
          <w:bCs/>
          <w:i/>
          <w:iCs/>
          <w:sz w:val="28"/>
          <w:szCs w:val="28"/>
        </w:rPr>
        <w:t>Laboratory-based RT-PCR</w:t>
      </w:r>
    </w:p>
    <w:p w14:paraId="426F237B" w14:textId="65FF9E50"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High throughput, commercial laboratory-based RT-PCR tests are widely available </w:t>
      </w:r>
      <w:r w:rsidR="0006603E" w:rsidRPr="00DD5DD9">
        <w:rPr>
          <w:rFonts w:ascii="Calibri" w:eastAsia="Yu Mincho" w:hAnsi="Calibri" w:cs="Times New Roman"/>
        </w:rPr>
        <w:t xml:space="preserve">to </w:t>
      </w:r>
      <w:r w:rsidRPr="00DD5DD9">
        <w:rPr>
          <w:rFonts w:ascii="Calibri" w:eastAsia="Yu Mincho" w:hAnsi="Calibri" w:cs="Times New Roman"/>
        </w:rPr>
        <w:t xml:space="preserve">detect SARS-CoV-2. Many pathology laboratories have also developed their own in-house tests to conduct diagnostic testing in Australia. </w:t>
      </w:r>
    </w:p>
    <w:tbl>
      <w:tblPr>
        <w:tblStyle w:val="TableGrid2"/>
        <w:tblW w:w="96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098"/>
        <w:gridCol w:w="3133"/>
      </w:tblGrid>
      <w:tr w:rsidR="00E50E39" w:rsidRPr="00DD5DD9" w14:paraId="2FF3E069" w14:textId="77777777" w:rsidTr="00897C45">
        <w:trPr>
          <w:trHeight w:val="183"/>
        </w:trPr>
        <w:tc>
          <w:tcPr>
            <w:tcW w:w="3428" w:type="dxa"/>
            <w:tcBorders>
              <w:bottom w:val="single" w:sz="4" w:space="0" w:color="auto"/>
            </w:tcBorders>
          </w:tcPr>
          <w:p w14:paraId="3CB109F1"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098" w:type="dxa"/>
            <w:tcBorders>
              <w:left w:val="single" w:sz="4" w:space="0" w:color="auto"/>
              <w:bottom w:val="single" w:sz="4" w:space="0" w:color="auto"/>
            </w:tcBorders>
          </w:tcPr>
          <w:p w14:paraId="6ED725C2"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3133" w:type="dxa"/>
            <w:tcBorders>
              <w:left w:val="single" w:sz="4" w:space="0" w:color="auto"/>
              <w:bottom w:val="single" w:sz="4" w:space="0" w:color="auto"/>
            </w:tcBorders>
          </w:tcPr>
          <w:p w14:paraId="4ED0810E"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3A0AFC00" w14:textId="77777777" w:rsidTr="00897C45">
        <w:trPr>
          <w:trHeight w:val="1038"/>
        </w:trPr>
        <w:tc>
          <w:tcPr>
            <w:tcW w:w="3428" w:type="dxa"/>
            <w:tcBorders>
              <w:top w:val="single" w:sz="4" w:space="0" w:color="auto"/>
            </w:tcBorders>
          </w:tcPr>
          <w:p w14:paraId="39F4EC52" w14:textId="77777777" w:rsidR="008972E8" w:rsidRPr="00C229FD" w:rsidRDefault="008972E8" w:rsidP="00897C45">
            <w:pPr>
              <w:numPr>
                <w:ilvl w:val="0"/>
                <w:numId w:val="17"/>
              </w:numPr>
              <w:spacing w:after="200" w:line="276" w:lineRule="auto"/>
              <w:ind w:left="32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Peer reviewed papers evaluating the performance.</w:t>
            </w:r>
          </w:p>
          <w:p w14:paraId="041AC6E8" w14:textId="25368DF7" w:rsidR="008972E8" w:rsidRPr="00C229FD" w:rsidRDefault="008972E8" w:rsidP="00897C45">
            <w:pPr>
              <w:numPr>
                <w:ilvl w:val="0"/>
                <w:numId w:val="17"/>
              </w:numPr>
              <w:spacing w:after="200" w:line="276" w:lineRule="auto"/>
              <w:ind w:left="32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High sensitivity and specificity</w:t>
            </w:r>
            <w:r w:rsidR="005D2A7B" w:rsidRPr="00DD5DD9">
              <w:rPr>
                <w:rFonts w:ascii="Calibri" w:eastAsia="Calibri" w:hAnsi="Calibri" w:cs="Times New Roman"/>
                <w:sz w:val="20"/>
                <w:szCs w:val="20"/>
                <w:lang w:eastAsia="en-AU"/>
              </w:rPr>
              <w:t>.</w:t>
            </w:r>
          </w:p>
          <w:p w14:paraId="124D5FD7" w14:textId="38F1002B" w:rsidR="008972E8" w:rsidRPr="00C229FD" w:rsidRDefault="008972E8" w:rsidP="00897C45">
            <w:pPr>
              <w:numPr>
                <w:ilvl w:val="0"/>
                <w:numId w:val="17"/>
              </w:numPr>
              <w:spacing w:after="200" w:line="276" w:lineRule="auto"/>
              <w:ind w:left="32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Globally used as the gold standard COVID-19 diagnostic test</w:t>
            </w:r>
            <w:r w:rsidR="005D2A7B" w:rsidRPr="00DD5DD9">
              <w:rPr>
                <w:rFonts w:ascii="Calibri" w:eastAsia="Calibri" w:hAnsi="Calibri" w:cs="Times New Roman"/>
                <w:sz w:val="20"/>
                <w:szCs w:val="20"/>
                <w:lang w:eastAsia="en-AU"/>
              </w:rPr>
              <w:t>.</w:t>
            </w:r>
          </w:p>
        </w:tc>
        <w:tc>
          <w:tcPr>
            <w:tcW w:w="3098" w:type="dxa"/>
            <w:tcBorders>
              <w:top w:val="single" w:sz="4" w:space="0" w:color="auto"/>
              <w:left w:val="single" w:sz="4" w:space="0" w:color="auto"/>
            </w:tcBorders>
          </w:tcPr>
          <w:p w14:paraId="3D627F5E" w14:textId="52E7B4DD" w:rsidR="008972E8" w:rsidRPr="00C229FD" w:rsidRDefault="008972E8" w:rsidP="00897C45">
            <w:pPr>
              <w:numPr>
                <w:ilvl w:val="0"/>
                <w:numId w:val="17"/>
              </w:numPr>
              <w:spacing w:after="200" w:line="276" w:lineRule="auto"/>
              <w:ind w:left="32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Must be </w:t>
            </w:r>
            <w:r w:rsidR="00A22DBD" w:rsidRPr="00DD5DD9">
              <w:rPr>
                <w:rFonts w:ascii="Calibri" w:eastAsia="Calibri" w:hAnsi="Calibri" w:cs="Times New Roman"/>
                <w:sz w:val="20"/>
                <w:szCs w:val="20"/>
                <w:lang w:eastAsia="en-AU"/>
              </w:rPr>
              <w:t>done</w:t>
            </w:r>
            <w:r w:rsidRPr="00DD5DD9">
              <w:rPr>
                <w:rFonts w:ascii="Calibri" w:eastAsia="Calibri" w:hAnsi="Calibri" w:cs="Times New Roman"/>
                <w:sz w:val="20"/>
                <w:szCs w:val="20"/>
                <w:lang w:eastAsia="en-AU"/>
              </w:rPr>
              <w:t xml:space="preserve"> in a NATA/RCPA accredited laboratory by suitably qualified medical laboratory scientists</w:t>
            </w:r>
            <w:r w:rsidR="00FA7C4E" w:rsidRPr="00DD5DD9">
              <w:rPr>
                <w:rFonts w:ascii="Calibri" w:eastAsia="Calibri" w:hAnsi="Calibri" w:cs="Times New Roman"/>
                <w:sz w:val="20"/>
                <w:szCs w:val="20"/>
                <w:lang w:eastAsia="en-AU"/>
              </w:rPr>
              <w:t xml:space="preserve"> </w:t>
            </w:r>
            <w:r w:rsidR="0006603E" w:rsidRPr="00DD5DD9">
              <w:rPr>
                <w:rFonts w:ascii="Calibri" w:eastAsia="Calibri" w:hAnsi="Calibri" w:cs="Times New Roman"/>
                <w:sz w:val="20"/>
                <w:szCs w:val="20"/>
                <w:lang w:eastAsia="en-AU"/>
              </w:rPr>
              <w:t>supervised by</w:t>
            </w:r>
            <w:r w:rsidR="00FA7C4E" w:rsidRPr="00DD5DD9">
              <w:rPr>
                <w:rFonts w:ascii="Calibri" w:eastAsia="Calibri" w:hAnsi="Calibri" w:cs="Times New Roman"/>
                <w:sz w:val="20"/>
                <w:szCs w:val="20"/>
                <w:lang w:eastAsia="en-AU"/>
              </w:rPr>
              <w:t xml:space="preserve"> a pathologist</w:t>
            </w:r>
            <w:r w:rsidRPr="00DD5DD9">
              <w:rPr>
                <w:rFonts w:ascii="Calibri" w:eastAsia="Calibri" w:hAnsi="Calibri" w:cs="Times New Roman"/>
                <w:sz w:val="20"/>
                <w:szCs w:val="20"/>
                <w:lang w:eastAsia="en-AU"/>
              </w:rPr>
              <w:t>.</w:t>
            </w:r>
          </w:p>
          <w:p w14:paraId="06BCFED6" w14:textId="77777777" w:rsidR="008972E8" w:rsidRPr="00C229FD" w:rsidRDefault="008972E8" w:rsidP="00897C45">
            <w:pPr>
              <w:numPr>
                <w:ilvl w:val="0"/>
                <w:numId w:val="17"/>
              </w:numPr>
              <w:spacing w:after="200" w:line="276" w:lineRule="auto"/>
              <w:ind w:left="32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Requires specialist platforms.</w:t>
            </w:r>
          </w:p>
        </w:tc>
        <w:tc>
          <w:tcPr>
            <w:tcW w:w="3133" w:type="dxa"/>
            <w:tcBorders>
              <w:top w:val="single" w:sz="4" w:space="0" w:color="auto"/>
              <w:left w:val="single" w:sz="4" w:space="0" w:color="auto"/>
            </w:tcBorders>
          </w:tcPr>
          <w:p w14:paraId="1B890860" w14:textId="1E126B90" w:rsidR="008972E8" w:rsidRPr="00C229FD" w:rsidRDefault="008972E8" w:rsidP="00897C45">
            <w:pPr>
              <w:numPr>
                <w:ilvl w:val="0"/>
                <w:numId w:val="17"/>
              </w:numPr>
              <w:spacing w:after="200" w:line="276" w:lineRule="auto"/>
              <w:ind w:left="348"/>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Capacity may be constrained </w:t>
            </w:r>
            <w:r w:rsidR="0006603E" w:rsidRPr="00DD5DD9">
              <w:rPr>
                <w:rFonts w:ascii="Calibri" w:eastAsia="Calibri" w:hAnsi="Calibri" w:cs="Times New Roman"/>
                <w:sz w:val="20"/>
                <w:szCs w:val="20"/>
                <w:lang w:eastAsia="en-AU"/>
              </w:rPr>
              <w:t>because of</w:t>
            </w:r>
            <w:r w:rsidRPr="00DD5DD9">
              <w:rPr>
                <w:rFonts w:ascii="Calibri" w:eastAsia="Calibri" w:hAnsi="Calibri" w:cs="Times New Roman"/>
                <w:sz w:val="20"/>
                <w:szCs w:val="20"/>
                <w:lang w:eastAsia="en-AU"/>
              </w:rPr>
              <w:t xml:space="preserve"> supply chain shortages for consumables. </w:t>
            </w:r>
          </w:p>
          <w:p w14:paraId="7312F9ED" w14:textId="43B52EA8" w:rsidR="008972E8" w:rsidRPr="00C229FD" w:rsidRDefault="008972E8" w:rsidP="00897C45">
            <w:pPr>
              <w:numPr>
                <w:ilvl w:val="0"/>
                <w:numId w:val="17"/>
              </w:numPr>
              <w:spacing w:after="200" w:line="276" w:lineRule="auto"/>
              <w:ind w:left="348"/>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Capacity may be constrained </w:t>
            </w:r>
            <w:r w:rsidR="0006603E" w:rsidRPr="00DD5DD9">
              <w:rPr>
                <w:rFonts w:ascii="Calibri" w:eastAsia="Calibri" w:hAnsi="Calibri" w:cs="Times New Roman"/>
                <w:sz w:val="20"/>
                <w:szCs w:val="20"/>
                <w:lang w:eastAsia="en-AU"/>
              </w:rPr>
              <w:t>because of</w:t>
            </w:r>
            <w:r w:rsidRPr="00DD5DD9">
              <w:rPr>
                <w:rFonts w:ascii="Calibri" w:eastAsia="Calibri" w:hAnsi="Calibri" w:cs="Times New Roman"/>
                <w:sz w:val="20"/>
                <w:szCs w:val="20"/>
                <w:lang w:eastAsia="en-AU"/>
              </w:rPr>
              <w:t xml:space="preserve"> </w:t>
            </w:r>
            <w:r w:rsidR="007B1482" w:rsidRPr="00DD5DD9">
              <w:rPr>
                <w:rFonts w:ascii="Calibri" w:eastAsia="Calibri" w:hAnsi="Calibri" w:cs="Times New Roman"/>
                <w:sz w:val="20"/>
                <w:szCs w:val="20"/>
                <w:lang w:eastAsia="en-AU"/>
              </w:rPr>
              <w:t>high demand where widespread community transmission established</w:t>
            </w:r>
            <w:r w:rsidRPr="00DD5DD9">
              <w:rPr>
                <w:rFonts w:ascii="Calibri" w:eastAsia="Calibri" w:hAnsi="Calibri" w:cs="Times New Roman"/>
                <w:sz w:val="20"/>
                <w:szCs w:val="20"/>
                <w:lang w:eastAsia="en-AU"/>
              </w:rPr>
              <w:t xml:space="preserve"> </w:t>
            </w:r>
          </w:p>
        </w:tc>
      </w:tr>
    </w:tbl>
    <w:p w14:paraId="62E87F16" w14:textId="77777777" w:rsidR="007D0B85" w:rsidRPr="00DD5DD9" w:rsidRDefault="007D0B85"/>
    <w:p w14:paraId="52724C10" w14:textId="3758C0C8" w:rsidR="008972E8" w:rsidRPr="00DD5DD9" w:rsidRDefault="008972E8" w:rsidP="00862FF4">
      <w:pPr>
        <w:rPr>
          <w:b/>
          <w:bCs/>
          <w:i/>
          <w:iCs/>
          <w:sz w:val="28"/>
          <w:szCs w:val="28"/>
        </w:rPr>
      </w:pPr>
      <w:r w:rsidRPr="00DD5DD9">
        <w:rPr>
          <w:b/>
          <w:bCs/>
          <w:i/>
          <w:iCs/>
          <w:sz w:val="28"/>
          <w:szCs w:val="28"/>
        </w:rPr>
        <w:t xml:space="preserve">Rapid or near </w:t>
      </w:r>
      <w:r w:rsidR="00095026" w:rsidRPr="00DD5DD9">
        <w:rPr>
          <w:b/>
          <w:bCs/>
          <w:i/>
          <w:iCs/>
          <w:sz w:val="28"/>
          <w:szCs w:val="28"/>
        </w:rPr>
        <w:t>point-of-care (</w:t>
      </w:r>
      <w:r w:rsidRPr="00DD5DD9">
        <w:rPr>
          <w:b/>
          <w:bCs/>
          <w:i/>
          <w:iCs/>
          <w:sz w:val="28"/>
          <w:szCs w:val="28"/>
        </w:rPr>
        <w:t>POC</w:t>
      </w:r>
      <w:r w:rsidR="00095026" w:rsidRPr="00DD5DD9">
        <w:rPr>
          <w:b/>
          <w:bCs/>
          <w:i/>
          <w:iCs/>
          <w:sz w:val="28"/>
          <w:szCs w:val="28"/>
        </w:rPr>
        <w:t>)</w:t>
      </w:r>
      <w:r w:rsidRPr="00DD5DD9">
        <w:rPr>
          <w:b/>
          <w:bCs/>
          <w:i/>
          <w:iCs/>
          <w:sz w:val="28"/>
          <w:szCs w:val="28"/>
        </w:rPr>
        <w:t xml:space="preserve"> RT-PCR</w:t>
      </w:r>
    </w:p>
    <w:p w14:paraId="05DCE745" w14:textId="49A26137"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Commercial rapid or near POC RT-PCR tests operate similarly to laboratory-based tests, </w:t>
      </w:r>
      <w:r w:rsidR="00B84D87" w:rsidRPr="00DD5DD9">
        <w:rPr>
          <w:rFonts w:ascii="Calibri" w:eastAsia="Yu Mincho" w:hAnsi="Calibri" w:cs="Times New Roman"/>
        </w:rPr>
        <w:t>however,</w:t>
      </w:r>
      <w:r w:rsidRPr="00DD5DD9">
        <w:rPr>
          <w:rFonts w:ascii="Calibri" w:eastAsia="Yu Mincho" w:hAnsi="Calibri" w:cs="Times New Roman"/>
        </w:rPr>
        <w:t xml:space="preserve"> can </w:t>
      </w:r>
      <w:r w:rsidR="0006603E" w:rsidRPr="00DD5DD9">
        <w:rPr>
          <w:rFonts w:ascii="Calibri" w:eastAsia="Yu Mincho" w:hAnsi="Calibri" w:cs="Times New Roman"/>
        </w:rPr>
        <w:t>give</w:t>
      </w:r>
      <w:r w:rsidRPr="00DD5DD9">
        <w:rPr>
          <w:rFonts w:ascii="Calibri" w:eastAsia="Yu Mincho" w:hAnsi="Calibri" w:cs="Times New Roman"/>
        </w:rPr>
        <w:t xml:space="preserve"> results in </w:t>
      </w:r>
      <w:r w:rsidR="00095026" w:rsidRPr="00DD5DD9">
        <w:rPr>
          <w:rFonts w:ascii="Calibri" w:eastAsia="Yu Mincho" w:hAnsi="Calibri" w:cs="Times New Roman"/>
        </w:rPr>
        <w:t xml:space="preserve">approximately </w:t>
      </w:r>
      <w:r w:rsidRPr="00DD5DD9">
        <w:rPr>
          <w:rFonts w:ascii="Calibri" w:eastAsia="Yu Mincho" w:hAnsi="Calibri" w:cs="Times New Roman"/>
        </w:rPr>
        <w:t xml:space="preserve">60 minutes. These tests are not high-throughput and are </w:t>
      </w:r>
      <w:r w:rsidR="005D2A7B" w:rsidRPr="00DD5DD9">
        <w:rPr>
          <w:rFonts w:ascii="Calibri" w:eastAsia="Yu Mincho" w:hAnsi="Calibri" w:cs="Times New Roman"/>
        </w:rPr>
        <w:t xml:space="preserve">also </w:t>
      </w:r>
      <w:r w:rsidRPr="00DD5DD9">
        <w:rPr>
          <w:rFonts w:ascii="Calibri" w:eastAsia="Yu Mincho" w:hAnsi="Calibri" w:cs="Times New Roman"/>
        </w:rPr>
        <w:t xml:space="preserve">subject to consumable supply constraints. </w:t>
      </w:r>
    </w:p>
    <w:tbl>
      <w:tblPr>
        <w:tblStyle w:val="TableGrid2"/>
        <w:tblW w:w="920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119"/>
        <w:gridCol w:w="2676"/>
      </w:tblGrid>
      <w:tr w:rsidR="00E50E39" w:rsidRPr="00DD5DD9" w14:paraId="39C6393C" w14:textId="77777777" w:rsidTr="00897C45">
        <w:trPr>
          <w:trHeight w:val="178"/>
        </w:trPr>
        <w:tc>
          <w:tcPr>
            <w:tcW w:w="3407" w:type="dxa"/>
            <w:tcBorders>
              <w:bottom w:val="single" w:sz="4" w:space="0" w:color="auto"/>
            </w:tcBorders>
          </w:tcPr>
          <w:p w14:paraId="06A0F34C"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119" w:type="dxa"/>
            <w:tcBorders>
              <w:left w:val="single" w:sz="4" w:space="0" w:color="auto"/>
              <w:bottom w:val="single" w:sz="4" w:space="0" w:color="auto"/>
            </w:tcBorders>
          </w:tcPr>
          <w:p w14:paraId="67A26B0C"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2676" w:type="dxa"/>
            <w:tcBorders>
              <w:left w:val="single" w:sz="4" w:space="0" w:color="auto"/>
              <w:bottom w:val="single" w:sz="4" w:space="0" w:color="auto"/>
            </w:tcBorders>
          </w:tcPr>
          <w:p w14:paraId="5CF18D4A"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70F7E249" w14:textId="77777777" w:rsidTr="00897C45">
        <w:trPr>
          <w:trHeight w:val="1197"/>
        </w:trPr>
        <w:tc>
          <w:tcPr>
            <w:tcW w:w="3407" w:type="dxa"/>
            <w:tcBorders>
              <w:top w:val="single" w:sz="4" w:space="0" w:color="auto"/>
            </w:tcBorders>
          </w:tcPr>
          <w:p w14:paraId="048E751D" w14:textId="77777777" w:rsidR="008972E8" w:rsidRPr="00C229FD" w:rsidRDefault="008972E8" w:rsidP="00897C45">
            <w:pPr>
              <w:numPr>
                <w:ilvl w:val="0"/>
                <w:numId w:val="17"/>
              </w:numPr>
              <w:spacing w:after="200" w:line="276" w:lineRule="auto"/>
              <w:ind w:left="186"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Peer reviewed papers evaluating the performance.</w:t>
            </w:r>
          </w:p>
          <w:p w14:paraId="682F837E" w14:textId="33A6FD98" w:rsidR="008972E8" w:rsidRPr="00C229FD" w:rsidRDefault="008972E8" w:rsidP="00897C45">
            <w:pPr>
              <w:numPr>
                <w:ilvl w:val="0"/>
                <w:numId w:val="17"/>
              </w:numPr>
              <w:spacing w:after="200" w:line="276" w:lineRule="auto"/>
              <w:ind w:left="186"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High sensitivity and relatively high specificity</w:t>
            </w:r>
            <w:r w:rsidR="005D2A7B" w:rsidRPr="00DD5DD9">
              <w:rPr>
                <w:rFonts w:ascii="Calibri" w:eastAsia="Calibri" w:hAnsi="Calibri" w:cs="Times New Roman"/>
                <w:sz w:val="20"/>
                <w:szCs w:val="20"/>
                <w:lang w:eastAsia="en-AU"/>
              </w:rPr>
              <w:t>.</w:t>
            </w:r>
          </w:p>
        </w:tc>
        <w:tc>
          <w:tcPr>
            <w:tcW w:w="3119" w:type="dxa"/>
            <w:tcBorders>
              <w:top w:val="single" w:sz="4" w:space="0" w:color="auto"/>
              <w:left w:val="single" w:sz="4" w:space="0" w:color="auto"/>
            </w:tcBorders>
          </w:tcPr>
          <w:p w14:paraId="01D46E31" w14:textId="77777777" w:rsidR="008972E8" w:rsidRPr="00C229FD" w:rsidRDefault="008972E8" w:rsidP="00897C45">
            <w:pPr>
              <w:numPr>
                <w:ilvl w:val="0"/>
                <w:numId w:val="17"/>
              </w:numPr>
              <w:spacing w:after="200" w:line="276" w:lineRule="auto"/>
              <w:ind w:left="315"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Trained users can use near-POC.</w:t>
            </w:r>
          </w:p>
          <w:p w14:paraId="4D93F31D" w14:textId="77777777" w:rsidR="008972E8" w:rsidRPr="00C229FD" w:rsidRDefault="008972E8" w:rsidP="00897C45">
            <w:pPr>
              <w:numPr>
                <w:ilvl w:val="0"/>
                <w:numId w:val="17"/>
              </w:numPr>
              <w:spacing w:after="200" w:line="276" w:lineRule="auto"/>
              <w:ind w:left="315"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Relatively expensive.</w:t>
            </w:r>
          </w:p>
        </w:tc>
        <w:tc>
          <w:tcPr>
            <w:tcW w:w="2676" w:type="dxa"/>
            <w:tcBorders>
              <w:top w:val="single" w:sz="4" w:space="0" w:color="auto"/>
              <w:left w:val="single" w:sz="4" w:space="0" w:color="auto"/>
            </w:tcBorders>
          </w:tcPr>
          <w:p w14:paraId="3FE28AE9" w14:textId="79CFB2D5" w:rsidR="008972E8" w:rsidRPr="00C229FD" w:rsidRDefault="008972E8" w:rsidP="00897C45">
            <w:pPr>
              <w:numPr>
                <w:ilvl w:val="0"/>
                <w:numId w:val="17"/>
              </w:numPr>
              <w:spacing w:after="200" w:line="276" w:lineRule="auto"/>
              <w:ind w:left="346"/>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Capacity constrained </w:t>
            </w:r>
            <w:r w:rsidR="00B45C36" w:rsidRPr="00DD5DD9">
              <w:rPr>
                <w:rFonts w:ascii="Calibri" w:eastAsia="Calibri" w:hAnsi="Calibri" w:cs="Times New Roman"/>
                <w:sz w:val="20"/>
                <w:szCs w:val="20"/>
                <w:lang w:eastAsia="en-AU"/>
              </w:rPr>
              <w:t>because of</w:t>
            </w:r>
            <w:r w:rsidRPr="00DD5DD9">
              <w:rPr>
                <w:rFonts w:ascii="Calibri" w:eastAsia="Calibri" w:hAnsi="Calibri" w:cs="Times New Roman"/>
                <w:sz w:val="20"/>
                <w:szCs w:val="20"/>
                <w:lang w:eastAsia="en-AU"/>
              </w:rPr>
              <w:t xml:space="preserve"> supply chain shortages for consumables. </w:t>
            </w:r>
          </w:p>
        </w:tc>
      </w:tr>
    </w:tbl>
    <w:p w14:paraId="6EAB6DA6" w14:textId="77777777" w:rsidR="005D2A7B" w:rsidRPr="00DD5DD9" w:rsidRDefault="005D2A7B" w:rsidP="004158F0"/>
    <w:p w14:paraId="70B0FBF5" w14:textId="21BF8990" w:rsidR="008972E8" w:rsidRPr="00B82371" w:rsidRDefault="008972E8" w:rsidP="00862FF4">
      <w:pPr>
        <w:rPr>
          <w:b/>
          <w:bCs/>
          <w:i/>
          <w:iCs/>
          <w:sz w:val="28"/>
          <w:szCs w:val="28"/>
          <w:lang w:val="fr-FR"/>
        </w:rPr>
      </w:pPr>
      <w:r w:rsidRPr="00B82371">
        <w:rPr>
          <w:b/>
          <w:bCs/>
          <w:i/>
          <w:iCs/>
          <w:sz w:val="28"/>
          <w:szCs w:val="28"/>
          <w:lang w:val="fr-FR"/>
        </w:rPr>
        <w:lastRenderedPageBreak/>
        <w:t>POC NAAT (non</w:t>
      </w:r>
      <w:r w:rsidR="00484224" w:rsidRPr="00B82371">
        <w:rPr>
          <w:b/>
          <w:bCs/>
          <w:i/>
          <w:iCs/>
          <w:sz w:val="28"/>
          <w:szCs w:val="28"/>
          <w:lang w:val="fr-FR"/>
        </w:rPr>
        <w:t>-</w:t>
      </w:r>
      <w:r w:rsidRPr="00B82371">
        <w:rPr>
          <w:b/>
          <w:bCs/>
          <w:i/>
          <w:iCs/>
          <w:sz w:val="28"/>
          <w:szCs w:val="28"/>
          <w:lang w:val="fr-FR"/>
        </w:rPr>
        <w:t>RT-PCR)</w:t>
      </w:r>
    </w:p>
    <w:p w14:paraId="50BEE681" w14:textId="6F91818E" w:rsidR="008972E8" w:rsidRPr="00DD5DD9" w:rsidRDefault="008972E8" w:rsidP="008972E8">
      <w:pPr>
        <w:rPr>
          <w:rFonts w:ascii="Calibri" w:eastAsia="Yu Mincho" w:hAnsi="Calibri" w:cs="Times New Roman"/>
        </w:rPr>
      </w:pPr>
      <w:r w:rsidRPr="00DD5DD9">
        <w:rPr>
          <w:rFonts w:ascii="Calibri" w:hAnsi="Calibri"/>
        </w:rPr>
        <w:t xml:space="preserve">Some commercial POC NAAT may be less sensitive than laboratory-based tests, but they claim to determine results </w:t>
      </w:r>
      <w:r w:rsidRPr="00DD5DD9">
        <w:rPr>
          <w:rFonts w:ascii="Calibri" w:eastAsia="Yu Mincho" w:hAnsi="Calibri" w:cs="Times New Roman"/>
        </w:rPr>
        <w:t>in</w:t>
      </w:r>
      <w:r w:rsidRPr="00DD5DD9">
        <w:rPr>
          <w:rFonts w:ascii="Calibri" w:hAnsi="Calibri"/>
        </w:rPr>
        <w:t xml:space="preserve"> 15-60 minutes. These tests are not high-throughput and are subject to consumable supply constraints.</w:t>
      </w:r>
      <w:r w:rsidRPr="00DD5DD9">
        <w:rPr>
          <w:rFonts w:ascii="Calibri" w:eastAsia="Yu Mincho" w:hAnsi="Calibri" w:cs="Times New Roman"/>
        </w:rPr>
        <w:t xml:space="preserve"> </w:t>
      </w:r>
    </w:p>
    <w:tbl>
      <w:tblPr>
        <w:tblStyle w:val="TableGrid2"/>
        <w:tblW w:w="920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119"/>
        <w:gridCol w:w="2676"/>
      </w:tblGrid>
      <w:tr w:rsidR="00E50E39" w:rsidRPr="00DD5DD9" w14:paraId="51BD40A5" w14:textId="77777777" w:rsidTr="00897C45">
        <w:trPr>
          <w:trHeight w:val="178"/>
        </w:trPr>
        <w:tc>
          <w:tcPr>
            <w:tcW w:w="3407" w:type="dxa"/>
            <w:tcBorders>
              <w:bottom w:val="single" w:sz="4" w:space="0" w:color="auto"/>
            </w:tcBorders>
          </w:tcPr>
          <w:p w14:paraId="469DD07C"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119" w:type="dxa"/>
            <w:tcBorders>
              <w:left w:val="single" w:sz="4" w:space="0" w:color="auto"/>
              <w:bottom w:val="single" w:sz="4" w:space="0" w:color="auto"/>
            </w:tcBorders>
          </w:tcPr>
          <w:p w14:paraId="2F53F4EC"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2676" w:type="dxa"/>
            <w:tcBorders>
              <w:left w:val="single" w:sz="4" w:space="0" w:color="auto"/>
              <w:bottom w:val="single" w:sz="4" w:space="0" w:color="auto"/>
            </w:tcBorders>
          </w:tcPr>
          <w:p w14:paraId="42E7CD56"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02953614" w14:textId="77777777" w:rsidTr="00897C45">
        <w:trPr>
          <w:trHeight w:val="1197"/>
        </w:trPr>
        <w:tc>
          <w:tcPr>
            <w:tcW w:w="3407" w:type="dxa"/>
            <w:tcBorders>
              <w:top w:val="single" w:sz="4" w:space="0" w:color="auto"/>
            </w:tcBorders>
          </w:tcPr>
          <w:p w14:paraId="6465E310" w14:textId="285B8317" w:rsidR="008972E8" w:rsidRPr="00C229FD" w:rsidRDefault="00715B47" w:rsidP="00897C45">
            <w:pPr>
              <w:numPr>
                <w:ilvl w:val="0"/>
                <w:numId w:val="17"/>
              </w:numPr>
              <w:spacing w:after="200" w:line="276" w:lineRule="auto"/>
              <w:ind w:left="186"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Small to m</w:t>
            </w:r>
            <w:r w:rsidR="008972E8" w:rsidRPr="00DD5DD9">
              <w:rPr>
                <w:rFonts w:ascii="Calibri" w:eastAsia="Calibri" w:hAnsi="Calibri" w:cs="Times New Roman"/>
                <w:sz w:val="20"/>
                <w:szCs w:val="20"/>
                <w:lang w:eastAsia="en-AU"/>
              </w:rPr>
              <w:t>oderate number of peer-reviewed papers evaluating the performance (depends on assay).</w:t>
            </w:r>
          </w:p>
          <w:p w14:paraId="33C4D6F2" w14:textId="59C0DF26" w:rsidR="008972E8" w:rsidRPr="00C229FD" w:rsidRDefault="008972E8" w:rsidP="00897C45">
            <w:pPr>
              <w:numPr>
                <w:ilvl w:val="0"/>
                <w:numId w:val="17"/>
              </w:numPr>
              <w:spacing w:after="200" w:line="276" w:lineRule="auto"/>
              <w:ind w:left="186"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Moderate to high sensitivity and relatively high specificity</w:t>
            </w:r>
            <w:r w:rsidR="005D2A7B" w:rsidRPr="00DD5DD9">
              <w:rPr>
                <w:rFonts w:ascii="Calibri" w:eastAsia="Calibri" w:hAnsi="Calibri" w:cs="Times New Roman"/>
                <w:sz w:val="20"/>
                <w:szCs w:val="20"/>
                <w:lang w:eastAsia="en-AU"/>
              </w:rPr>
              <w:t>.</w:t>
            </w:r>
          </w:p>
        </w:tc>
        <w:tc>
          <w:tcPr>
            <w:tcW w:w="3119" w:type="dxa"/>
            <w:tcBorders>
              <w:top w:val="single" w:sz="4" w:space="0" w:color="auto"/>
              <w:left w:val="single" w:sz="4" w:space="0" w:color="auto"/>
            </w:tcBorders>
          </w:tcPr>
          <w:p w14:paraId="2176DE9A" w14:textId="77777777" w:rsidR="008972E8" w:rsidRPr="00C229FD" w:rsidRDefault="008972E8" w:rsidP="00897C45">
            <w:pPr>
              <w:numPr>
                <w:ilvl w:val="0"/>
                <w:numId w:val="17"/>
              </w:numPr>
              <w:spacing w:after="200" w:line="276" w:lineRule="auto"/>
              <w:ind w:left="315"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Trained users can use at POC.</w:t>
            </w:r>
          </w:p>
          <w:p w14:paraId="684687DE" w14:textId="77777777" w:rsidR="008972E8" w:rsidRPr="00C229FD" w:rsidRDefault="008972E8" w:rsidP="00897C45">
            <w:pPr>
              <w:numPr>
                <w:ilvl w:val="0"/>
                <w:numId w:val="17"/>
              </w:numPr>
              <w:spacing w:after="200" w:line="276" w:lineRule="auto"/>
              <w:ind w:left="315"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Relatively expensive.</w:t>
            </w:r>
          </w:p>
        </w:tc>
        <w:tc>
          <w:tcPr>
            <w:tcW w:w="2676" w:type="dxa"/>
            <w:tcBorders>
              <w:top w:val="single" w:sz="4" w:space="0" w:color="auto"/>
              <w:left w:val="single" w:sz="4" w:space="0" w:color="auto"/>
            </w:tcBorders>
          </w:tcPr>
          <w:p w14:paraId="74D74C40" w14:textId="6DCAA730" w:rsidR="008972E8" w:rsidRPr="00C229FD" w:rsidRDefault="008972E8" w:rsidP="00897C45">
            <w:pPr>
              <w:numPr>
                <w:ilvl w:val="0"/>
                <w:numId w:val="17"/>
              </w:numPr>
              <w:spacing w:after="200" w:line="276" w:lineRule="auto"/>
              <w:ind w:left="346"/>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Capacity may be constrained </w:t>
            </w:r>
            <w:r w:rsidR="00A22DBD" w:rsidRPr="00DD5DD9">
              <w:rPr>
                <w:rFonts w:ascii="Calibri" w:eastAsia="Calibri" w:hAnsi="Calibri" w:cs="Times New Roman"/>
                <w:sz w:val="20"/>
                <w:szCs w:val="20"/>
                <w:lang w:eastAsia="en-AU"/>
              </w:rPr>
              <w:t>because of</w:t>
            </w:r>
            <w:r w:rsidRPr="00DD5DD9">
              <w:rPr>
                <w:rFonts w:ascii="Calibri" w:eastAsia="Calibri" w:hAnsi="Calibri" w:cs="Times New Roman"/>
                <w:sz w:val="20"/>
                <w:szCs w:val="20"/>
                <w:lang w:eastAsia="en-AU"/>
              </w:rPr>
              <w:t xml:space="preserve"> supply chain shortages for consumables. </w:t>
            </w:r>
          </w:p>
        </w:tc>
      </w:tr>
    </w:tbl>
    <w:p w14:paraId="310BD40E" w14:textId="77777777" w:rsidR="00525314" w:rsidRPr="00DD5DD9" w:rsidRDefault="00525314" w:rsidP="00525314">
      <w:pPr>
        <w:rPr>
          <w:b/>
          <w:bCs/>
          <w:i/>
          <w:iCs/>
          <w:sz w:val="28"/>
          <w:szCs w:val="28"/>
        </w:rPr>
      </w:pPr>
    </w:p>
    <w:p w14:paraId="31485670" w14:textId="06922E6E" w:rsidR="008972E8" w:rsidRPr="00DD5DD9" w:rsidRDefault="008972E8" w:rsidP="00862FF4">
      <w:pPr>
        <w:rPr>
          <w:b/>
          <w:bCs/>
          <w:i/>
          <w:iCs/>
          <w:sz w:val="28"/>
          <w:szCs w:val="28"/>
        </w:rPr>
      </w:pPr>
      <w:r w:rsidRPr="00DD5DD9">
        <w:rPr>
          <w:b/>
          <w:bCs/>
          <w:i/>
          <w:iCs/>
          <w:sz w:val="28"/>
          <w:szCs w:val="28"/>
        </w:rPr>
        <w:t>Extraction-free loop-mediated isothermal amplification (LAMP)</w:t>
      </w:r>
    </w:p>
    <w:p w14:paraId="3F28D0DF" w14:textId="5222A570"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Extraction-free LAMP tests amplify DNA/RNA target sequences at a single reaction temperature. This diminishes the complexity and size of the analysers needed to run testing. Extraction-free LAMP tests aim to </w:t>
      </w:r>
      <w:r w:rsidR="00A22DBD" w:rsidRPr="00DD5DD9">
        <w:rPr>
          <w:rFonts w:ascii="Calibri" w:eastAsia="Yu Mincho" w:hAnsi="Calibri" w:cs="Times New Roman"/>
        </w:rPr>
        <w:t>give</w:t>
      </w:r>
      <w:r w:rsidRPr="00DD5DD9">
        <w:rPr>
          <w:rFonts w:ascii="Calibri" w:eastAsia="Yu Mincho" w:hAnsi="Calibri" w:cs="Times New Roman"/>
        </w:rPr>
        <w:t xml:space="preserve"> a rapid and reliable, cheaper alternative to traditional RT-PCR. This rapid test has the potential for use at </w:t>
      </w:r>
      <w:r w:rsidR="00095026" w:rsidRPr="00DD5DD9">
        <w:rPr>
          <w:rFonts w:ascii="Calibri" w:eastAsia="Yu Mincho" w:hAnsi="Calibri" w:cs="Times New Roman"/>
        </w:rPr>
        <w:t xml:space="preserve">POC </w:t>
      </w:r>
      <w:r w:rsidRPr="00DD5DD9">
        <w:rPr>
          <w:rFonts w:ascii="Calibri" w:eastAsia="Yu Mincho" w:hAnsi="Calibri" w:cs="Times New Roman"/>
        </w:rPr>
        <w:t xml:space="preserve">with medium throughput capability. There appears to be limited published studies of </w:t>
      </w:r>
      <w:r w:rsidR="003A2929" w:rsidRPr="00DD5DD9">
        <w:rPr>
          <w:rFonts w:ascii="Calibri" w:eastAsia="Yu Mincho" w:hAnsi="Calibri" w:cs="Times New Roman"/>
        </w:rPr>
        <w:t>e</w:t>
      </w:r>
      <w:r w:rsidRPr="00DD5DD9">
        <w:rPr>
          <w:rFonts w:ascii="Calibri" w:eastAsia="Yu Mincho" w:hAnsi="Calibri" w:cs="Times New Roman"/>
        </w:rPr>
        <w:t>xtraction-free LAMP at POC. Further study is needed to assess how feasible LAMP testing is, particularly with and without an RNA extraction step, requires further study.</w:t>
      </w:r>
    </w:p>
    <w:tbl>
      <w:tblPr>
        <w:tblStyle w:val="TableGrid2"/>
        <w:tblW w:w="95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402"/>
        <w:gridCol w:w="3046"/>
      </w:tblGrid>
      <w:tr w:rsidR="00E50E39" w:rsidRPr="00DD5DD9" w14:paraId="2A9E480B" w14:textId="77777777" w:rsidTr="00897C45">
        <w:trPr>
          <w:trHeight w:val="118"/>
        </w:trPr>
        <w:tc>
          <w:tcPr>
            <w:tcW w:w="3124" w:type="dxa"/>
            <w:tcBorders>
              <w:bottom w:val="single" w:sz="4" w:space="0" w:color="auto"/>
            </w:tcBorders>
          </w:tcPr>
          <w:p w14:paraId="1BE1BEC0"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402" w:type="dxa"/>
            <w:tcBorders>
              <w:left w:val="single" w:sz="4" w:space="0" w:color="auto"/>
              <w:bottom w:val="single" w:sz="4" w:space="0" w:color="auto"/>
            </w:tcBorders>
          </w:tcPr>
          <w:p w14:paraId="3E5F8705"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3046" w:type="dxa"/>
            <w:tcBorders>
              <w:left w:val="single" w:sz="4" w:space="0" w:color="auto"/>
              <w:bottom w:val="single" w:sz="4" w:space="0" w:color="auto"/>
            </w:tcBorders>
          </w:tcPr>
          <w:p w14:paraId="71CB984A"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2F61F52D" w14:textId="77777777" w:rsidTr="00897C45">
        <w:trPr>
          <w:trHeight w:val="798"/>
        </w:trPr>
        <w:tc>
          <w:tcPr>
            <w:tcW w:w="3124" w:type="dxa"/>
            <w:tcBorders>
              <w:top w:val="single" w:sz="4" w:space="0" w:color="auto"/>
            </w:tcBorders>
          </w:tcPr>
          <w:p w14:paraId="153E9CE6" w14:textId="3422ADA7" w:rsidR="008972E8" w:rsidRPr="00C229FD" w:rsidRDefault="008972E8" w:rsidP="00897C45">
            <w:pPr>
              <w:numPr>
                <w:ilvl w:val="0"/>
                <w:numId w:val="17"/>
              </w:numPr>
              <w:spacing w:after="200" w:line="276" w:lineRule="auto"/>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Limited peer reviewed studies evaluating the performance</w:t>
            </w:r>
            <w:r w:rsidR="00715B47" w:rsidRPr="00DD5DD9">
              <w:rPr>
                <w:rFonts w:ascii="Calibri" w:eastAsia="Calibri" w:hAnsi="Calibri" w:cs="Times New Roman"/>
                <w:sz w:val="20"/>
                <w:szCs w:val="20"/>
                <w:lang w:eastAsia="en-AU"/>
              </w:rPr>
              <w:t xml:space="preserve"> (depending on the assay)</w:t>
            </w:r>
            <w:r w:rsidRPr="00DD5DD9">
              <w:rPr>
                <w:rFonts w:ascii="Calibri" w:eastAsia="Calibri" w:hAnsi="Calibri" w:cs="Times New Roman"/>
                <w:sz w:val="20"/>
                <w:szCs w:val="20"/>
                <w:lang w:eastAsia="en-AU"/>
              </w:rPr>
              <w:t xml:space="preserve">. </w:t>
            </w:r>
          </w:p>
        </w:tc>
        <w:tc>
          <w:tcPr>
            <w:tcW w:w="3402" w:type="dxa"/>
            <w:tcBorders>
              <w:top w:val="single" w:sz="4" w:space="0" w:color="auto"/>
              <w:left w:val="single" w:sz="4" w:space="0" w:color="auto"/>
            </w:tcBorders>
          </w:tcPr>
          <w:p w14:paraId="1E15E14C" w14:textId="77777777" w:rsidR="008972E8" w:rsidRPr="00C229FD" w:rsidRDefault="008972E8" w:rsidP="00897C45">
            <w:pPr>
              <w:numPr>
                <w:ilvl w:val="0"/>
                <w:numId w:val="17"/>
              </w:numPr>
              <w:spacing w:after="200" w:line="276" w:lineRule="auto"/>
              <w:ind w:left="315"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Trained users can use at or near-POC.</w:t>
            </w:r>
          </w:p>
        </w:tc>
        <w:tc>
          <w:tcPr>
            <w:tcW w:w="3046" w:type="dxa"/>
            <w:tcBorders>
              <w:top w:val="single" w:sz="4" w:space="0" w:color="auto"/>
              <w:left w:val="single" w:sz="4" w:space="0" w:color="auto"/>
            </w:tcBorders>
          </w:tcPr>
          <w:p w14:paraId="15FAD5A6" w14:textId="4C33359B" w:rsidR="008972E8" w:rsidRPr="00C229FD" w:rsidRDefault="008972E8" w:rsidP="00897C45">
            <w:pPr>
              <w:numPr>
                <w:ilvl w:val="0"/>
                <w:numId w:val="17"/>
              </w:numPr>
              <w:spacing w:after="200" w:line="276" w:lineRule="auto"/>
              <w:ind w:left="325" w:hanging="283"/>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Not widely available</w:t>
            </w:r>
            <w:r w:rsidR="001A6728" w:rsidRPr="00DD5DD9">
              <w:rPr>
                <w:rFonts w:ascii="Calibri" w:eastAsia="Calibri" w:hAnsi="Calibri" w:cs="Times New Roman"/>
                <w:sz w:val="20"/>
                <w:szCs w:val="20"/>
                <w:lang w:eastAsia="en-AU"/>
              </w:rPr>
              <w:t>.</w:t>
            </w:r>
            <w:r w:rsidRPr="00DD5DD9">
              <w:rPr>
                <w:rFonts w:ascii="Calibri" w:eastAsia="Calibri" w:hAnsi="Calibri" w:cs="Times New Roman"/>
                <w:sz w:val="20"/>
                <w:szCs w:val="20"/>
                <w:lang w:eastAsia="en-AU"/>
              </w:rPr>
              <w:t xml:space="preserve"> </w:t>
            </w:r>
          </w:p>
          <w:p w14:paraId="4870EDDC" w14:textId="573D8DD2" w:rsidR="001A6728" w:rsidRPr="00C229FD" w:rsidRDefault="001A6728" w:rsidP="00897C45">
            <w:pPr>
              <w:numPr>
                <w:ilvl w:val="0"/>
                <w:numId w:val="17"/>
              </w:numPr>
              <w:spacing w:after="200" w:line="276" w:lineRule="auto"/>
              <w:ind w:left="325" w:hanging="283"/>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Some tests are included on the </w:t>
            </w:r>
            <w:r w:rsidR="005D2A7B" w:rsidRPr="00DD5DD9">
              <w:rPr>
                <w:rFonts w:ascii="Calibri" w:eastAsia="Calibri" w:hAnsi="Calibri" w:cs="Times New Roman"/>
                <w:sz w:val="20"/>
                <w:szCs w:val="20"/>
                <w:lang w:eastAsia="en-AU"/>
              </w:rPr>
              <w:t>Australian Register of Therapeutic Goods (ARTG)</w:t>
            </w:r>
            <w:r w:rsidRPr="00DD5DD9">
              <w:rPr>
                <w:rFonts w:ascii="Calibri" w:eastAsia="Calibri" w:hAnsi="Calibri" w:cs="Times New Roman"/>
                <w:sz w:val="20"/>
                <w:szCs w:val="20"/>
                <w:lang w:eastAsia="en-AU"/>
              </w:rPr>
              <w:t>.</w:t>
            </w:r>
          </w:p>
        </w:tc>
      </w:tr>
    </w:tbl>
    <w:p w14:paraId="0F4F6B2E" w14:textId="77777777" w:rsidR="00525314" w:rsidRPr="00DD5DD9" w:rsidRDefault="00525314" w:rsidP="00525314">
      <w:pPr>
        <w:rPr>
          <w:rFonts w:cs="Times New Roman"/>
          <w:b/>
          <w:bCs/>
          <w:i/>
          <w:iCs/>
          <w:sz w:val="28"/>
          <w:szCs w:val="28"/>
        </w:rPr>
      </w:pPr>
    </w:p>
    <w:p w14:paraId="5C079A89" w14:textId="2DD2E95D" w:rsidR="008972E8" w:rsidRPr="00DD5DD9" w:rsidRDefault="008972E8" w:rsidP="00862FF4">
      <w:pPr>
        <w:rPr>
          <w:rFonts w:cs="Times New Roman"/>
          <w:b/>
          <w:bCs/>
          <w:i/>
          <w:iCs/>
          <w:sz w:val="28"/>
          <w:szCs w:val="28"/>
        </w:rPr>
      </w:pPr>
      <w:r w:rsidRPr="00DD5DD9">
        <w:rPr>
          <w:rFonts w:cs="Times New Roman"/>
          <w:b/>
          <w:bCs/>
          <w:i/>
          <w:iCs/>
          <w:sz w:val="28"/>
          <w:szCs w:val="28"/>
        </w:rPr>
        <w:t>CRISPR (</w:t>
      </w:r>
      <w:r w:rsidRPr="00DD5DD9">
        <w:rPr>
          <w:b/>
          <w:bCs/>
          <w:i/>
          <w:iCs/>
          <w:sz w:val="28"/>
          <w:szCs w:val="28"/>
        </w:rPr>
        <w:t>Clustered regularly interspaced short palindromic repeats)</w:t>
      </w:r>
    </w:p>
    <w:p w14:paraId="2AC055C8" w14:textId="1A7BE703"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CRISPR tests use Cas detection for signal amplification after isothermal amplification of SARS-CoV-2 RNA. These tests </w:t>
      </w:r>
      <w:r w:rsidR="00A22DBD" w:rsidRPr="00DD5DD9">
        <w:rPr>
          <w:rFonts w:ascii="Calibri" w:eastAsia="Yu Mincho" w:hAnsi="Calibri" w:cs="Times New Roman"/>
        </w:rPr>
        <w:t>need</w:t>
      </w:r>
      <w:r w:rsidRPr="00DD5DD9">
        <w:rPr>
          <w:rFonts w:ascii="Calibri" w:eastAsia="Yu Mincho" w:hAnsi="Calibri" w:cs="Times New Roman"/>
        </w:rPr>
        <w:t xml:space="preserve"> less instrumentation and reagents than RT-PCR and can be used near-POC. According to manufacturers’ IFU and very limited studies, CRISPR may be less sensitive compared to most commercial RT-PCR. Further evaluation is </w:t>
      </w:r>
      <w:r w:rsidR="00A22DBD" w:rsidRPr="00DD5DD9">
        <w:rPr>
          <w:rFonts w:ascii="Calibri" w:eastAsia="Yu Mincho" w:hAnsi="Calibri" w:cs="Times New Roman"/>
        </w:rPr>
        <w:t>needed</w:t>
      </w:r>
      <w:r w:rsidRPr="00DD5DD9">
        <w:rPr>
          <w:rFonts w:ascii="Calibri" w:eastAsia="Yu Mincho" w:hAnsi="Calibri" w:cs="Times New Roman"/>
        </w:rPr>
        <w:t xml:space="preserve">. </w:t>
      </w:r>
    </w:p>
    <w:tbl>
      <w:tblPr>
        <w:tblStyle w:val="TableGrid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402"/>
        <w:gridCol w:w="3113"/>
      </w:tblGrid>
      <w:tr w:rsidR="00E50E39" w:rsidRPr="00DD5DD9" w14:paraId="0AB4BAC3" w14:textId="77777777" w:rsidTr="00897C45">
        <w:trPr>
          <w:trHeight w:val="135"/>
        </w:trPr>
        <w:tc>
          <w:tcPr>
            <w:tcW w:w="3124" w:type="dxa"/>
            <w:tcBorders>
              <w:bottom w:val="single" w:sz="4" w:space="0" w:color="auto"/>
            </w:tcBorders>
          </w:tcPr>
          <w:p w14:paraId="2FA7B598"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402" w:type="dxa"/>
            <w:tcBorders>
              <w:left w:val="single" w:sz="4" w:space="0" w:color="auto"/>
              <w:bottom w:val="single" w:sz="4" w:space="0" w:color="auto"/>
            </w:tcBorders>
          </w:tcPr>
          <w:p w14:paraId="4FEE5D30"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3113" w:type="dxa"/>
            <w:tcBorders>
              <w:left w:val="single" w:sz="4" w:space="0" w:color="auto"/>
              <w:bottom w:val="single" w:sz="4" w:space="0" w:color="auto"/>
            </w:tcBorders>
          </w:tcPr>
          <w:p w14:paraId="0679D388"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5845F1A3" w14:textId="77777777" w:rsidTr="00897C45">
        <w:trPr>
          <w:trHeight w:val="910"/>
        </w:trPr>
        <w:tc>
          <w:tcPr>
            <w:tcW w:w="3124" w:type="dxa"/>
            <w:tcBorders>
              <w:top w:val="single" w:sz="4" w:space="0" w:color="auto"/>
            </w:tcBorders>
          </w:tcPr>
          <w:p w14:paraId="526D80B6" w14:textId="77777777" w:rsidR="008972E8" w:rsidRPr="00C229FD" w:rsidRDefault="008972E8" w:rsidP="00897C45">
            <w:pPr>
              <w:numPr>
                <w:ilvl w:val="0"/>
                <w:numId w:val="17"/>
              </w:numPr>
              <w:spacing w:after="200" w:line="276" w:lineRule="auto"/>
              <w:ind w:left="328"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Limited peer reviewed studies available.</w:t>
            </w:r>
          </w:p>
          <w:p w14:paraId="4DEFB6F5" w14:textId="77777777" w:rsidR="008972E8" w:rsidRPr="00C229FD" w:rsidRDefault="008972E8" w:rsidP="00897C45">
            <w:pPr>
              <w:numPr>
                <w:ilvl w:val="0"/>
                <w:numId w:val="17"/>
              </w:numPr>
              <w:spacing w:after="200" w:line="276" w:lineRule="auto"/>
              <w:ind w:left="328"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IFU declare these tests are highly sensitive and specific.</w:t>
            </w:r>
          </w:p>
        </w:tc>
        <w:tc>
          <w:tcPr>
            <w:tcW w:w="3402" w:type="dxa"/>
            <w:tcBorders>
              <w:top w:val="single" w:sz="4" w:space="0" w:color="auto"/>
              <w:left w:val="single" w:sz="4" w:space="0" w:color="auto"/>
            </w:tcBorders>
          </w:tcPr>
          <w:p w14:paraId="004AC3FA" w14:textId="77777777" w:rsidR="008972E8" w:rsidRPr="00C229FD" w:rsidRDefault="008972E8" w:rsidP="00897C45">
            <w:pPr>
              <w:numPr>
                <w:ilvl w:val="0"/>
                <w:numId w:val="17"/>
              </w:numPr>
              <w:spacing w:after="200" w:line="276" w:lineRule="auto"/>
              <w:ind w:left="321" w:hanging="283"/>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Trained users can use at or near-POC.</w:t>
            </w:r>
          </w:p>
        </w:tc>
        <w:tc>
          <w:tcPr>
            <w:tcW w:w="3113" w:type="dxa"/>
            <w:tcBorders>
              <w:top w:val="single" w:sz="4" w:space="0" w:color="auto"/>
              <w:left w:val="single" w:sz="4" w:space="0" w:color="auto"/>
            </w:tcBorders>
          </w:tcPr>
          <w:p w14:paraId="4F4D01AC" w14:textId="77777777" w:rsidR="008972E8" w:rsidRPr="00C229FD" w:rsidRDefault="008972E8" w:rsidP="00897C45">
            <w:pPr>
              <w:numPr>
                <w:ilvl w:val="0"/>
                <w:numId w:val="17"/>
              </w:numPr>
              <w:spacing w:after="200" w:line="276" w:lineRule="auto"/>
              <w:ind w:left="319" w:hanging="283"/>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No tests on the ARTG.</w:t>
            </w:r>
          </w:p>
        </w:tc>
      </w:tr>
    </w:tbl>
    <w:p w14:paraId="58978187" w14:textId="77777777" w:rsidR="00525314" w:rsidRPr="00DD5DD9" w:rsidRDefault="00525314" w:rsidP="00525314">
      <w:pPr>
        <w:rPr>
          <w:b/>
          <w:bCs/>
          <w:sz w:val="28"/>
          <w:szCs w:val="28"/>
        </w:rPr>
      </w:pPr>
    </w:p>
    <w:p w14:paraId="0E53CD63" w14:textId="529FF71E" w:rsidR="008972E8" w:rsidRPr="00DD5DD9" w:rsidRDefault="008972E8" w:rsidP="00862FF4">
      <w:pPr>
        <w:rPr>
          <w:b/>
          <w:bCs/>
          <w:sz w:val="28"/>
          <w:szCs w:val="28"/>
        </w:rPr>
      </w:pPr>
      <w:r w:rsidRPr="00DD5DD9">
        <w:rPr>
          <w:b/>
          <w:bCs/>
          <w:sz w:val="28"/>
          <w:szCs w:val="28"/>
        </w:rPr>
        <w:t>RT-PCR Innovations</w:t>
      </w:r>
    </w:p>
    <w:p w14:paraId="3FFB1A45" w14:textId="77777777" w:rsidR="008972E8" w:rsidRPr="00DD5DD9" w:rsidRDefault="008972E8" w:rsidP="00862FF4">
      <w:pPr>
        <w:rPr>
          <w:b/>
          <w:bCs/>
          <w:i/>
          <w:iCs/>
        </w:rPr>
      </w:pPr>
      <w:r w:rsidRPr="00DD5DD9">
        <w:rPr>
          <w:b/>
          <w:bCs/>
          <w:i/>
          <w:iCs/>
          <w:sz w:val="28"/>
          <w:szCs w:val="24"/>
        </w:rPr>
        <w:t>Sample pooling</w:t>
      </w:r>
    </w:p>
    <w:p w14:paraId="1F2B9199" w14:textId="1E5A13BE"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RT-PCR reagent shortages may limit the expansion of testing </w:t>
      </w:r>
      <w:r w:rsidR="00A22DBD" w:rsidRPr="00DD5DD9">
        <w:rPr>
          <w:rFonts w:ascii="Calibri" w:eastAsia="Yu Mincho" w:hAnsi="Calibri" w:cs="Times New Roman"/>
        </w:rPr>
        <w:t>needed</w:t>
      </w:r>
      <w:r w:rsidRPr="00DD5DD9">
        <w:rPr>
          <w:rFonts w:ascii="Calibri" w:eastAsia="Yu Mincho" w:hAnsi="Calibri" w:cs="Times New Roman"/>
        </w:rPr>
        <w:t xml:space="preserve"> to support Australia’s response to the COVID-19 pandemic. Pooling of samples enables an increased test throughput and conserves RT-PCR reagents. It is most efficient where there is low prevalence of disease. </w:t>
      </w:r>
    </w:p>
    <w:p w14:paraId="657D6DD3" w14:textId="00B4159A"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The prevalence of COVID-19 in a population affects the efficiency of pooled testing strategies. In general, lower disease prevalence may </w:t>
      </w:r>
      <w:r w:rsidR="00A22DBD" w:rsidRPr="00DD5DD9">
        <w:rPr>
          <w:rFonts w:ascii="Calibri" w:eastAsia="Yu Mincho" w:hAnsi="Calibri" w:cs="Times New Roman"/>
        </w:rPr>
        <w:t>allow</w:t>
      </w:r>
      <w:r w:rsidRPr="00DD5DD9">
        <w:rPr>
          <w:rFonts w:ascii="Calibri" w:eastAsia="Yu Mincho" w:hAnsi="Calibri" w:cs="Times New Roman"/>
        </w:rPr>
        <w:t xml:space="preserve"> a laboratory to use a larger pool size. A recent PDI study that found that nucleic acid tests for SARS-CoV-2 reliably returned a positive result when one positive sample was mixed </w:t>
      </w:r>
      <w:r w:rsidRPr="00DD5DD9">
        <w:rPr>
          <w:rFonts w:ascii="Calibri" w:eastAsia="Yu Mincho" w:hAnsi="Calibri" w:cs="Times New Roman"/>
        </w:rPr>
        <w:lastRenderedPageBreak/>
        <w:t>with four negatives</w:t>
      </w:r>
      <w:r w:rsidR="009E07C4" w:rsidRPr="00DD5DD9">
        <w:rPr>
          <w:rStyle w:val="FootnoteReference"/>
          <w:rFonts w:ascii="Calibri" w:eastAsia="Yu Mincho" w:hAnsi="Calibri" w:cs="Times New Roman"/>
        </w:rPr>
        <w:footnoteReference w:id="20"/>
      </w:r>
      <w:r w:rsidRPr="00DD5DD9">
        <w:rPr>
          <w:rFonts w:ascii="Calibri" w:eastAsia="Yu Mincho" w:hAnsi="Calibri" w:cs="Times New Roman"/>
        </w:rPr>
        <w:t>. This could reduce the number of tests needed by &gt;50% in certain scenarios (such as a COVID-19 prevalence of &lt;5%). Tens of thousands of samples have undergone SARS-CoV-2 testing in Australia using sample pooling.</w:t>
      </w:r>
    </w:p>
    <w:p w14:paraId="17EB304A" w14:textId="2E506DA3" w:rsidR="008972E8" w:rsidRPr="00DD5DD9" w:rsidRDefault="008972E8" w:rsidP="008972E8">
      <w:pPr>
        <w:rPr>
          <w:rFonts w:ascii="Calibri" w:eastAsia="Yu Mincho" w:hAnsi="Calibri" w:cs="Times New Roman"/>
        </w:rPr>
      </w:pPr>
      <w:r w:rsidRPr="00DD5DD9">
        <w:rPr>
          <w:rFonts w:ascii="Calibri" w:eastAsia="Yu Mincho" w:hAnsi="Calibri" w:cs="Times New Roman"/>
        </w:rPr>
        <w:t>Specimens in a pooled procedure are diluted. Therefore</w:t>
      </w:r>
      <w:r w:rsidR="00484224" w:rsidRPr="00DD5DD9">
        <w:rPr>
          <w:rFonts w:ascii="Calibri" w:eastAsia="Yu Mincho" w:hAnsi="Calibri" w:cs="Times New Roman"/>
        </w:rPr>
        <w:t>,</w:t>
      </w:r>
      <w:r w:rsidRPr="00DD5DD9">
        <w:rPr>
          <w:rFonts w:ascii="Calibri" w:eastAsia="Yu Mincho" w:hAnsi="Calibri" w:cs="Times New Roman"/>
        </w:rPr>
        <w:t xml:space="preserve"> the larger the pool of specimens, the higher the likelihood of generating false-negative results.</w:t>
      </w:r>
      <w:r w:rsidR="001A6728" w:rsidRPr="00DD5DD9">
        <w:rPr>
          <w:rFonts w:ascii="Calibri" w:eastAsia="Yu Mincho" w:hAnsi="Calibri" w:cs="Times New Roman"/>
        </w:rPr>
        <w:t xml:space="preserve"> If a manufacturer has not validated their RT-PCR test for use with pooled specimens the laboratory </w:t>
      </w:r>
      <w:r w:rsidR="00A22DBD" w:rsidRPr="00DD5DD9">
        <w:rPr>
          <w:rFonts w:ascii="Calibri" w:eastAsia="Yu Mincho" w:hAnsi="Calibri" w:cs="Times New Roman"/>
        </w:rPr>
        <w:t>must</w:t>
      </w:r>
      <w:r w:rsidR="001A6728" w:rsidRPr="00DD5DD9">
        <w:rPr>
          <w:rFonts w:ascii="Calibri" w:eastAsia="Yu Mincho" w:hAnsi="Calibri" w:cs="Times New Roman"/>
        </w:rPr>
        <w:t xml:space="preserve"> validate this use </w:t>
      </w:r>
      <w:r w:rsidR="00A22DBD" w:rsidRPr="00DD5DD9">
        <w:rPr>
          <w:rFonts w:ascii="Calibri" w:eastAsia="Yu Mincho" w:hAnsi="Calibri" w:cs="Times New Roman"/>
        </w:rPr>
        <w:t>according to</w:t>
      </w:r>
      <w:r w:rsidR="001A6728" w:rsidRPr="00DD5DD9">
        <w:rPr>
          <w:rFonts w:ascii="Calibri" w:eastAsia="Yu Mincho" w:hAnsi="Calibri" w:cs="Times New Roman"/>
        </w:rPr>
        <w:t xml:space="preserve"> the TGA regulatory requirements for in-house in-vitro diagnostic medical devices (IVDs). </w:t>
      </w:r>
      <w:r w:rsidR="00A22DBD" w:rsidRPr="00DD5DD9">
        <w:rPr>
          <w:rFonts w:ascii="Calibri" w:eastAsia="Yu Mincho" w:hAnsi="Calibri" w:cs="Times New Roman"/>
        </w:rPr>
        <w:t>The laboratory will also need to validate u</w:t>
      </w:r>
      <w:r w:rsidR="001A6728" w:rsidRPr="00DD5DD9">
        <w:rPr>
          <w:rFonts w:ascii="Calibri" w:eastAsia="Yu Mincho" w:hAnsi="Calibri" w:cs="Times New Roman"/>
        </w:rPr>
        <w:t xml:space="preserve">se of alternative pool sizes from that intended by a manufacturer. </w:t>
      </w:r>
    </w:p>
    <w:p w14:paraId="57117055" w14:textId="77777777" w:rsidR="00954A79" w:rsidRPr="00DD5DD9" w:rsidRDefault="00954A79" w:rsidP="008972E8">
      <w:pPr>
        <w:rPr>
          <w:rFonts w:ascii="Calibri" w:eastAsia="Yu Mincho" w:hAnsi="Calibri" w:cs="Times New Roman"/>
        </w:rPr>
      </w:pPr>
    </w:p>
    <w:p w14:paraId="34A84B4B" w14:textId="77777777" w:rsidR="008972E8" w:rsidRPr="00DD5DD9" w:rsidRDefault="008972E8" w:rsidP="00862FF4">
      <w:pPr>
        <w:rPr>
          <w:b/>
          <w:bCs/>
          <w:i/>
          <w:iCs/>
          <w:sz w:val="28"/>
          <w:szCs w:val="28"/>
        </w:rPr>
      </w:pPr>
      <w:r w:rsidRPr="00DD5DD9">
        <w:rPr>
          <w:b/>
          <w:bCs/>
          <w:i/>
          <w:iCs/>
          <w:sz w:val="28"/>
          <w:szCs w:val="28"/>
        </w:rPr>
        <w:t>Saliva as an alternative specimen for RT-PCR</w:t>
      </w:r>
    </w:p>
    <w:p w14:paraId="375D4FDE" w14:textId="1631A48A"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Using saliva as an alternative method for specimen collection for RT-PCR offers a minimally invasive alternative to the throat and bilateral deep nasal (or nasopharyngeal) swab. Recent evaluation studies describe an alternative method for saliva specimen collection using a flocked swab under the tongue. Studies have shown that testing saliva offers a high sensitivity and specificity, </w:t>
      </w:r>
      <w:r w:rsidR="004A630F" w:rsidRPr="00DD5DD9">
        <w:rPr>
          <w:rFonts w:ascii="Calibri" w:eastAsia="Yu Mincho" w:hAnsi="Calibri" w:cs="Times New Roman"/>
        </w:rPr>
        <w:t xml:space="preserve">although is </w:t>
      </w:r>
      <w:r w:rsidRPr="00DD5DD9">
        <w:rPr>
          <w:rFonts w:ascii="Calibri" w:eastAsia="Yu Mincho" w:hAnsi="Calibri" w:cs="Times New Roman"/>
        </w:rPr>
        <w:t xml:space="preserve">less sensitive relative to a nasopharyngeal swab RT-PCR. </w:t>
      </w:r>
      <w:r w:rsidR="000F7C80" w:rsidRPr="00DD5DD9">
        <w:rPr>
          <w:rFonts w:ascii="Calibri" w:eastAsia="Yu Mincho" w:hAnsi="Calibri" w:cs="Times New Roman"/>
        </w:rPr>
        <w:t xml:space="preserve">Many </w:t>
      </w:r>
      <w:r w:rsidRPr="00DD5DD9">
        <w:rPr>
          <w:rFonts w:ascii="Calibri" w:eastAsia="Yu Mincho" w:hAnsi="Calibri" w:cs="Times New Roman"/>
        </w:rPr>
        <w:t xml:space="preserve">Australian laboratories </w:t>
      </w:r>
      <w:r w:rsidR="000F7C80" w:rsidRPr="00DD5DD9">
        <w:rPr>
          <w:rFonts w:ascii="Calibri" w:eastAsia="Yu Mincho" w:hAnsi="Calibri" w:cs="Times New Roman"/>
        </w:rPr>
        <w:t>have</w:t>
      </w:r>
      <w:r w:rsidRPr="00DD5DD9">
        <w:rPr>
          <w:rFonts w:ascii="Calibri" w:eastAsia="Yu Mincho" w:hAnsi="Calibri" w:cs="Times New Roman"/>
        </w:rPr>
        <w:t xml:space="preserve"> validat</w:t>
      </w:r>
      <w:r w:rsidR="000F7C80" w:rsidRPr="00DD5DD9">
        <w:rPr>
          <w:rFonts w:ascii="Calibri" w:eastAsia="Yu Mincho" w:hAnsi="Calibri" w:cs="Times New Roman"/>
        </w:rPr>
        <w:t>ed</w:t>
      </w:r>
      <w:r w:rsidRPr="00DD5DD9">
        <w:rPr>
          <w:rFonts w:ascii="Calibri" w:eastAsia="Yu Mincho" w:hAnsi="Calibri" w:cs="Times New Roman"/>
        </w:rPr>
        <w:t xml:space="preserve"> using saliva samples for SARS-CoV-2 RT-PCR to facilitate expanded surveillance</w:t>
      </w:r>
      <w:r w:rsidR="004A630F" w:rsidRPr="00DD5DD9">
        <w:rPr>
          <w:rFonts w:ascii="Calibri" w:eastAsia="Yu Mincho" w:hAnsi="Calibri" w:cs="Times New Roman"/>
        </w:rPr>
        <w:t xml:space="preserve"> and acceptability of collection method</w:t>
      </w:r>
      <w:r w:rsidRPr="00DD5DD9">
        <w:rPr>
          <w:rFonts w:ascii="Calibri" w:eastAsia="Yu Mincho" w:hAnsi="Calibri" w:cs="Times New Roman"/>
        </w:rPr>
        <w:t xml:space="preserve">. Saliva samples are not intended to replace well validated, </w:t>
      </w:r>
      <w:r w:rsidR="009A5866" w:rsidRPr="00DD5DD9">
        <w:rPr>
          <w:rFonts w:ascii="Calibri" w:eastAsia="Yu Mincho" w:hAnsi="Calibri" w:cs="Times New Roman"/>
        </w:rPr>
        <w:t>gold standard</w:t>
      </w:r>
      <w:r w:rsidRPr="00DD5DD9">
        <w:rPr>
          <w:rFonts w:ascii="Calibri" w:eastAsia="Yu Mincho" w:hAnsi="Calibri" w:cs="Times New Roman"/>
        </w:rPr>
        <w:t xml:space="preserve"> swab-based RT-PCR for diagnosis of </w:t>
      </w:r>
      <w:r w:rsidR="000F7C80" w:rsidRPr="00DD5DD9">
        <w:rPr>
          <w:rFonts w:ascii="Calibri" w:eastAsia="Yu Mincho" w:hAnsi="Calibri" w:cs="Times New Roman"/>
        </w:rPr>
        <w:t>active acute SARS-CoV-2 infection</w:t>
      </w:r>
      <w:r w:rsidRPr="00DD5DD9">
        <w:rPr>
          <w:rFonts w:ascii="Calibri" w:eastAsia="Yu Mincho" w:hAnsi="Calibri" w:cs="Times New Roman"/>
        </w:rPr>
        <w:t>.</w:t>
      </w:r>
    </w:p>
    <w:p w14:paraId="11CDC667" w14:textId="1A238423"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The majority of </w:t>
      </w:r>
      <w:r w:rsidR="00715B47" w:rsidRPr="00DD5DD9">
        <w:rPr>
          <w:rFonts w:ascii="Calibri" w:eastAsia="Yu Mincho" w:hAnsi="Calibri" w:cs="Times New Roman"/>
        </w:rPr>
        <w:t>SARS-CoV-2</w:t>
      </w:r>
      <w:r w:rsidRPr="00DD5DD9">
        <w:rPr>
          <w:rFonts w:ascii="Calibri" w:eastAsia="Yu Mincho" w:hAnsi="Calibri" w:cs="Times New Roman"/>
        </w:rPr>
        <w:t xml:space="preserve"> RT-PCR tests available on the ARTG are intended for use with a nasopharyngeal/nasal swab. Laboratories have worked to validate a range of swab types for this purpose. If a laboratory </w:t>
      </w:r>
      <w:r w:rsidR="00715B47" w:rsidRPr="00DD5DD9">
        <w:rPr>
          <w:rFonts w:ascii="Calibri" w:eastAsia="Yu Mincho" w:hAnsi="Calibri" w:cs="Times New Roman"/>
        </w:rPr>
        <w:t xml:space="preserve">plans </w:t>
      </w:r>
      <w:r w:rsidRPr="00DD5DD9">
        <w:rPr>
          <w:rFonts w:ascii="Calibri" w:eastAsia="Yu Mincho" w:hAnsi="Calibri" w:cs="Times New Roman"/>
        </w:rPr>
        <w:t>to use a saliva specimen instead</w:t>
      </w:r>
      <w:r w:rsidR="001A6728" w:rsidRPr="00DD5DD9">
        <w:rPr>
          <w:rFonts w:ascii="Calibri" w:eastAsia="Yu Mincho" w:hAnsi="Calibri" w:cs="Times New Roman"/>
        </w:rPr>
        <w:t xml:space="preserve"> of the swab sample validated by the manufacturer</w:t>
      </w:r>
      <w:r w:rsidRPr="00DD5DD9">
        <w:rPr>
          <w:rFonts w:ascii="Calibri" w:eastAsia="Yu Mincho" w:hAnsi="Calibri" w:cs="Times New Roman"/>
        </w:rPr>
        <w:t xml:space="preserve">, </w:t>
      </w:r>
      <w:r w:rsidR="00A22DBD" w:rsidRPr="00DD5DD9">
        <w:rPr>
          <w:rFonts w:ascii="Calibri" w:eastAsia="Yu Mincho" w:hAnsi="Calibri" w:cs="Times New Roman"/>
        </w:rPr>
        <w:t>they</w:t>
      </w:r>
      <w:r w:rsidRPr="00DD5DD9">
        <w:rPr>
          <w:rFonts w:ascii="Calibri" w:eastAsia="Yu Mincho" w:hAnsi="Calibri" w:cs="Times New Roman"/>
        </w:rPr>
        <w:t xml:space="preserve"> must validate</w:t>
      </w:r>
      <w:r w:rsidR="00A22DBD" w:rsidRPr="00DD5DD9">
        <w:rPr>
          <w:rFonts w:ascii="Calibri" w:eastAsia="Yu Mincho" w:hAnsi="Calibri" w:cs="Times New Roman"/>
        </w:rPr>
        <w:t xml:space="preserve"> this</w:t>
      </w:r>
      <w:r w:rsidR="001A6728" w:rsidRPr="00DD5DD9">
        <w:rPr>
          <w:rFonts w:ascii="Calibri" w:eastAsia="Yu Mincho" w:hAnsi="Calibri" w:cs="Times New Roman"/>
        </w:rPr>
        <w:t xml:space="preserve"> </w:t>
      </w:r>
      <w:r w:rsidR="00A22DBD" w:rsidRPr="00DD5DD9">
        <w:rPr>
          <w:rFonts w:ascii="Calibri" w:eastAsia="Yu Mincho" w:hAnsi="Calibri" w:cs="Times New Roman"/>
        </w:rPr>
        <w:t>according to</w:t>
      </w:r>
      <w:r w:rsidRPr="00DD5DD9">
        <w:rPr>
          <w:rFonts w:ascii="Calibri" w:eastAsia="Yu Mincho" w:hAnsi="Calibri" w:cs="Times New Roman"/>
        </w:rPr>
        <w:t xml:space="preserve"> the TGA</w:t>
      </w:r>
      <w:r w:rsidR="001A6728" w:rsidRPr="00DD5DD9">
        <w:rPr>
          <w:rFonts w:ascii="Calibri" w:eastAsia="Yu Mincho" w:hAnsi="Calibri" w:cs="Times New Roman"/>
        </w:rPr>
        <w:t xml:space="preserve"> regulatory</w:t>
      </w:r>
      <w:r w:rsidRPr="00DD5DD9">
        <w:rPr>
          <w:rFonts w:ascii="Calibri" w:eastAsia="Yu Mincho" w:hAnsi="Calibri" w:cs="Times New Roman"/>
        </w:rPr>
        <w:t xml:space="preserve"> requirements for in-house IVDs. Therefore, individual laboratories </w:t>
      </w:r>
      <w:r w:rsidR="00A22DBD" w:rsidRPr="00DD5DD9">
        <w:rPr>
          <w:rFonts w:ascii="Calibri" w:eastAsia="Yu Mincho" w:hAnsi="Calibri" w:cs="Times New Roman"/>
        </w:rPr>
        <w:t xml:space="preserve">must </w:t>
      </w:r>
      <w:r w:rsidRPr="00DD5DD9">
        <w:rPr>
          <w:rFonts w:ascii="Calibri" w:eastAsia="Yu Mincho" w:hAnsi="Calibri" w:cs="Times New Roman"/>
        </w:rPr>
        <w:t>further validat</w:t>
      </w:r>
      <w:r w:rsidR="00A22DBD" w:rsidRPr="00DD5DD9">
        <w:rPr>
          <w:rFonts w:ascii="Calibri" w:eastAsia="Yu Mincho" w:hAnsi="Calibri" w:cs="Times New Roman"/>
        </w:rPr>
        <w:t>e</w:t>
      </w:r>
      <w:r w:rsidRPr="00DD5DD9">
        <w:rPr>
          <w:rFonts w:ascii="Calibri" w:eastAsia="Yu Mincho" w:hAnsi="Calibri" w:cs="Times New Roman"/>
        </w:rPr>
        <w:t xml:space="preserve"> work before </w:t>
      </w:r>
      <w:r w:rsidR="007D1B37" w:rsidRPr="00DD5DD9">
        <w:rPr>
          <w:rFonts w:ascii="Calibri" w:eastAsia="Yu Mincho" w:hAnsi="Calibri" w:cs="Times New Roman"/>
        </w:rPr>
        <w:t>using</w:t>
      </w:r>
      <w:r w:rsidRPr="00DD5DD9">
        <w:rPr>
          <w:rFonts w:ascii="Calibri" w:eastAsia="Yu Mincho" w:hAnsi="Calibri" w:cs="Times New Roman"/>
        </w:rPr>
        <w:t xml:space="preserve"> saliva widely as an alternative specimen for RT-PCR. </w:t>
      </w:r>
    </w:p>
    <w:p w14:paraId="1E410D39" w14:textId="530F4D29" w:rsidR="008972E8" w:rsidRPr="00DD5DD9" w:rsidRDefault="008972E8" w:rsidP="008972E8">
      <w:pPr>
        <w:rPr>
          <w:rFonts w:ascii="Calibri" w:eastAsia="Yu Mincho" w:hAnsi="Calibri" w:cs="Times New Roman"/>
        </w:rPr>
      </w:pPr>
      <w:r w:rsidRPr="00DD5DD9">
        <w:rPr>
          <w:rFonts w:ascii="Calibri" w:eastAsia="Yu Mincho" w:hAnsi="Calibri" w:cs="Times New Roman"/>
        </w:rPr>
        <w:t>Several reasonably sized studies have shown relatively high sensitivity, but further studies are needed to evaluate the best collection and processing method</w:t>
      </w:r>
      <w:r w:rsidR="00715B47" w:rsidRPr="00DD5DD9">
        <w:rPr>
          <w:rFonts w:ascii="Calibri" w:eastAsia="Yu Mincho" w:hAnsi="Calibri" w:cs="Times New Roman"/>
        </w:rPr>
        <w:t xml:space="preserve"> for saliva</w:t>
      </w:r>
      <w:r w:rsidRPr="00DD5DD9">
        <w:rPr>
          <w:rFonts w:ascii="Calibri" w:eastAsia="Yu Mincho" w:hAnsi="Calibri" w:cs="Times New Roman"/>
        </w:rPr>
        <w:t xml:space="preserve">. </w:t>
      </w:r>
      <w:r w:rsidR="007D1B37" w:rsidRPr="00DD5DD9">
        <w:rPr>
          <w:rFonts w:ascii="Calibri" w:eastAsia="Yu Mincho" w:hAnsi="Calibri" w:cs="Times New Roman"/>
        </w:rPr>
        <w:t>More</w:t>
      </w:r>
      <w:r w:rsidRPr="00DD5DD9">
        <w:rPr>
          <w:rFonts w:ascii="Calibri" w:eastAsia="Yu Mincho" w:hAnsi="Calibri" w:cs="Times New Roman"/>
        </w:rPr>
        <w:t xml:space="preserve"> information is available in the </w:t>
      </w:r>
      <w:hyperlink r:id="rId38" w:history="1">
        <w:r w:rsidRPr="00DD5DD9">
          <w:rPr>
            <w:rStyle w:val="Hyperlink"/>
            <w:i/>
          </w:rPr>
          <w:t>PHLN statement on use of saliva as an alternative speci</w:t>
        </w:r>
        <w:r w:rsidRPr="00DD5DD9">
          <w:rPr>
            <w:rStyle w:val="Hyperlink"/>
            <w:rFonts w:ascii="Calibri" w:eastAsia="Yu Mincho" w:hAnsi="Calibri" w:cs="Times New Roman"/>
            <w:i/>
          </w:rPr>
          <w:t>men for the diagnosis of SARS-Co</w:t>
        </w:r>
        <w:r w:rsidRPr="00DD5DD9">
          <w:rPr>
            <w:rStyle w:val="Hyperlink"/>
            <w:i/>
          </w:rPr>
          <w:t>V-2</w:t>
        </w:r>
      </w:hyperlink>
      <w:r w:rsidRPr="00DD5DD9">
        <w:rPr>
          <w:rFonts w:ascii="Calibri" w:eastAsia="Yu Mincho" w:hAnsi="Calibri" w:cs="Times New Roman"/>
        </w:rPr>
        <w:t xml:space="preserve">. </w:t>
      </w:r>
    </w:p>
    <w:p w14:paraId="0D100766" w14:textId="77777777" w:rsidR="00954A79" w:rsidRPr="00DD5DD9" w:rsidRDefault="00954A79" w:rsidP="008972E8">
      <w:pPr>
        <w:rPr>
          <w:rFonts w:ascii="Calibri" w:eastAsia="Yu Mincho" w:hAnsi="Calibri" w:cs="Times New Roman"/>
        </w:rPr>
      </w:pPr>
    </w:p>
    <w:p w14:paraId="40A51933" w14:textId="77777777" w:rsidR="008972E8" w:rsidRPr="00DD5DD9" w:rsidRDefault="008972E8" w:rsidP="00862FF4">
      <w:pPr>
        <w:rPr>
          <w:b/>
          <w:bCs/>
          <w:i/>
          <w:iCs/>
          <w:sz w:val="28"/>
          <w:szCs w:val="28"/>
        </w:rPr>
      </w:pPr>
      <w:r w:rsidRPr="00DD5DD9">
        <w:rPr>
          <w:b/>
          <w:bCs/>
          <w:i/>
          <w:iCs/>
          <w:sz w:val="28"/>
          <w:szCs w:val="28"/>
        </w:rPr>
        <w:t>Extraction-free PCR</w:t>
      </w:r>
    </w:p>
    <w:p w14:paraId="18C49D09" w14:textId="58DA4032" w:rsidR="008972E8" w:rsidRPr="00DD5DD9" w:rsidRDefault="008972E8" w:rsidP="00862FF4">
      <w:pPr>
        <w:rPr>
          <w:rFonts w:ascii="Calibri" w:eastAsia="Yu Mincho" w:hAnsi="Calibri" w:cs="Times New Roman"/>
        </w:rPr>
      </w:pPr>
      <w:r w:rsidRPr="00DD5DD9">
        <w:rPr>
          <w:rFonts w:ascii="Calibri" w:eastAsia="Yu Mincho" w:hAnsi="Calibri" w:cs="Times New Roman"/>
        </w:rPr>
        <w:t xml:space="preserve">RT-PCR relies critically on </w:t>
      </w:r>
      <w:r w:rsidR="007D1B37" w:rsidRPr="00DD5DD9">
        <w:rPr>
          <w:rFonts w:ascii="Calibri" w:eastAsia="Yu Mincho" w:hAnsi="Calibri" w:cs="Times New Roman"/>
        </w:rPr>
        <w:t>RNA</w:t>
      </w:r>
      <w:r w:rsidRPr="00DD5DD9">
        <w:rPr>
          <w:rFonts w:ascii="Calibri" w:eastAsia="Yu Mincho" w:hAnsi="Calibri" w:cs="Times New Roman"/>
        </w:rPr>
        <w:t xml:space="preserve"> extraction </w:t>
      </w:r>
      <w:r w:rsidR="007D1B37" w:rsidRPr="00DD5DD9">
        <w:rPr>
          <w:rFonts w:ascii="Calibri" w:eastAsia="Yu Mincho" w:hAnsi="Calibri" w:cs="Times New Roman"/>
        </w:rPr>
        <w:t>before</w:t>
      </w:r>
      <w:r w:rsidRPr="00DD5DD9">
        <w:rPr>
          <w:rFonts w:ascii="Calibri" w:eastAsia="Yu Mincho" w:hAnsi="Calibri" w:cs="Times New Roman"/>
        </w:rPr>
        <w:t xml:space="preserve"> amplification of nucleic acid. This step takes time and can impact testing turn-around time. It also relies on RNA extraction kits, which have sometimes been in short supply </w:t>
      </w:r>
      <w:r w:rsidR="007D1B37" w:rsidRPr="00DD5DD9">
        <w:rPr>
          <w:rFonts w:ascii="Calibri" w:eastAsia="Yu Mincho" w:hAnsi="Calibri" w:cs="Times New Roman"/>
        </w:rPr>
        <w:t>because of</w:t>
      </w:r>
      <w:r w:rsidRPr="00DD5DD9">
        <w:rPr>
          <w:rFonts w:ascii="Calibri" w:eastAsia="Yu Mincho" w:hAnsi="Calibri" w:cs="Times New Roman"/>
        </w:rPr>
        <w:t xml:space="preserve"> global demand. Simplifying the method to remove RNA extraction from the RT-PCR process could:</w:t>
      </w:r>
    </w:p>
    <w:p w14:paraId="49C91E23" w14:textId="47DDB3E0" w:rsidR="008972E8" w:rsidRPr="00DD5DD9" w:rsidRDefault="008972E8" w:rsidP="008972E8">
      <w:pPr>
        <w:pStyle w:val="ListParagraph"/>
        <w:numPr>
          <w:ilvl w:val="0"/>
          <w:numId w:val="35"/>
        </w:numPr>
        <w:spacing w:after="200"/>
        <w:jc w:val="left"/>
        <w:rPr>
          <w:rFonts w:ascii="Calibri" w:eastAsia="Yu Mincho" w:hAnsi="Calibri" w:cs="Times New Roman"/>
        </w:rPr>
      </w:pPr>
      <w:r w:rsidRPr="00DD5DD9">
        <w:rPr>
          <w:rFonts w:ascii="Calibri" w:eastAsia="Yu Mincho" w:hAnsi="Calibri" w:cs="Times New Roman"/>
        </w:rPr>
        <w:t>decrease the testing turnaround time</w:t>
      </w:r>
    </w:p>
    <w:p w14:paraId="43960393" w14:textId="1F4A7FEE" w:rsidR="008972E8" w:rsidRPr="00DD5DD9" w:rsidRDefault="008972E8" w:rsidP="008972E8">
      <w:pPr>
        <w:pStyle w:val="ListParagraph"/>
        <w:numPr>
          <w:ilvl w:val="0"/>
          <w:numId w:val="35"/>
        </w:numPr>
        <w:spacing w:after="200"/>
        <w:jc w:val="left"/>
        <w:rPr>
          <w:rFonts w:ascii="Calibri" w:eastAsia="Yu Mincho" w:hAnsi="Calibri" w:cs="Times New Roman"/>
        </w:rPr>
      </w:pPr>
      <w:r w:rsidRPr="00DD5DD9">
        <w:rPr>
          <w:rFonts w:ascii="Calibri" w:eastAsia="Yu Mincho" w:hAnsi="Calibri" w:cs="Times New Roman"/>
        </w:rPr>
        <w:t>mitigate supply chain vulnerabilities and</w:t>
      </w:r>
    </w:p>
    <w:p w14:paraId="6D13F697" w14:textId="77777777" w:rsidR="008972E8" w:rsidRPr="00DD5DD9" w:rsidRDefault="008972E8" w:rsidP="008972E8">
      <w:pPr>
        <w:pStyle w:val="ListParagraph"/>
        <w:numPr>
          <w:ilvl w:val="0"/>
          <w:numId w:val="35"/>
        </w:numPr>
        <w:spacing w:after="200"/>
        <w:jc w:val="left"/>
        <w:rPr>
          <w:rFonts w:ascii="Calibri" w:eastAsia="Yu Mincho" w:hAnsi="Calibri" w:cs="Times New Roman"/>
        </w:rPr>
      </w:pPr>
      <w:r w:rsidRPr="00DD5DD9">
        <w:rPr>
          <w:rFonts w:ascii="Calibri" w:eastAsia="Yu Mincho" w:hAnsi="Calibri" w:cs="Times New Roman"/>
        </w:rPr>
        <w:t xml:space="preserve">reduce test costs. </w:t>
      </w:r>
    </w:p>
    <w:p w14:paraId="31E7F70B" w14:textId="3AF87DF1"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However, studies have shown that extraction-free PCR has lower sensitivity relative to traditional RT-PCR. </w:t>
      </w:r>
    </w:p>
    <w:p w14:paraId="6A044EA1" w14:textId="77777777" w:rsidR="00954A79" w:rsidRPr="00DD5DD9" w:rsidRDefault="00954A79" w:rsidP="008972E8">
      <w:pPr>
        <w:rPr>
          <w:rFonts w:ascii="Calibri" w:eastAsia="Yu Mincho" w:hAnsi="Calibri" w:cs="Times New Roman"/>
        </w:rPr>
      </w:pPr>
    </w:p>
    <w:p w14:paraId="2AFD21F6" w14:textId="77777777" w:rsidR="008972E8" w:rsidRPr="00DD5DD9" w:rsidRDefault="008972E8" w:rsidP="00862FF4">
      <w:pPr>
        <w:rPr>
          <w:b/>
          <w:bCs/>
          <w:i/>
          <w:iCs/>
          <w:sz w:val="28"/>
          <w:szCs w:val="28"/>
        </w:rPr>
      </w:pPr>
      <w:r w:rsidRPr="00DD5DD9">
        <w:rPr>
          <w:b/>
          <w:bCs/>
          <w:i/>
          <w:iCs/>
          <w:sz w:val="28"/>
          <w:szCs w:val="28"/>
        </w:rPr>
        <w:t>Wastewater</w:t>
      </w:r>
    </w:p>
    <w:p w14:paraId="4C0CA05A" w14:textId="081A81FD"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Wastewater surveillance involves analysing wastewater samples for traces of genetic material from disease causing organisms, primarily using RT-PCR. Wastewater surveillance can be used as an early warning signal for the emergence of SARS-CoV-2 in communities where cases have not been detected. This can complement </w:t>
      </w:r>
      <w:r w:rsidRPr="00DD5DD9">
        <w:rPr>
          <w:rFonts w:ascii="Calibri" w:eastAsia="Yu Mincho" w:hAnsi="Calibri" w:cs="Times New Roman"/>
        </w:rPr>
        <w:lastRenderedPageBreak/>
        <w:t xml:space="preserve">information obtained from clinical testing. In the context of the COVID-19 pandemic, positive COVID-19 cases may shed </w:t>
      </w:r>
      <w:r w:rsidR="000F7C80" w:rsidRPr="00DD5DD9">
        <w:rPr>
          <w:rFonts w:ascii="Calibri" w:eastAsia="Yu Mincho" w:hAnsi="Calibri" w:cs="Times New Roman"/>
        </w:rPr>
        <w:t>genetic material</w:t>
      </w:r>
      <w:r w:rsidRPr="00DD5DD9">
        <w:rPr>
          <w:rFonts w:ascii="Calibri" w:eastAsia="Yu Mincho" w:hAnsi="Calibri" w:cs="Times New Roman"/>
        </w:rPr>
        <w:t xml:space="preserve"> in their faeces. Wastewater samples may also be positive from used tissues discarded into the wastewater system. </w:t>
      </w:r>
      <w:r w:rsidR="000F7C80" w:rsidRPr="00DD5DD9">
        <w:rPr>
          <w:rFonts w:ascii="Calibri" w:eastAsia="Yu Mincho" w:hAnsi="Calibri" w:cs="Times New Roman"/>
        </w:rPr>
        <w:t>Genetic material</w:t>
      </w:r>
      <w:r w:rsidRPr="00DD5DD9">
        <w:rPr>
          <w:rFonts w:ascii="Calibri" w:eastAsia="Yu Mincho" w:hAnsi="Calibri" w:cs="Times New Roman"/>
        </w:rPr>
        <w:t xml:space="preserve"> can also enter the wastewater network when washed off hands and bodies </w:t>
      </w:r>
      <w:r w:rsidR="007D1B37" w:rsidRPr="00DD5DD9">
        <w:rPr>
          <w:rFonts w:ascii="Calibri" w:eastAsia="Yu Mincho" w:hAnsi="Calibri" w:cs="Times New Roman"/>
        </w:rPr>
        <w:t>through</w:t>
      </w:r>
      <w:r w:rsidRPr="00DD5DD9">
        <w:rPr>
          <w:rFonts w:ascii="Calibri" w:eastAsia="Yu Mincho" w:hAnsi="Calibri" w:cs="Times New Roman"/>
        </w:rPr>
        <w:t xml:space="preserve"> basins, sinks and showers. </w:t>
      </w:r>
    </w:p>
    <w:p w14:paraId="1B706933" w14:textId="47E508ED"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enHealth and CDNA are collaborating to share and coordinate testing methods and </w:t>
      </w:r>
      <w:r w:rsidR="00B84D87" w:rsidRPr="00DD5DD9">
        <w:rPr>
          <w:rFonts w:ascii="Calibri" w:eastAsia="Yu Mincho" w:hAnsi="Calibri" w:cs="Times New Roman"/>
        </w:rPr>
        <w:t>reporting as</w:t>
      </w:r>
      <w:r w:rsidR="00204F1E" w:rsidRPr="00DD5DD9">
        <w:rPr>
          <w:rFonts w:ascii="Calibri" w:eastAsia="Yu Mincho" w:hAnsi="Calibri" w:cs="Times New Roman"/>
        </w:rPr>
        <w:t xml:space="preserve"> well as the associated public health messaging in response to</w:t>
      </w:r>
      <w:r w:rsidRPr="00DD5DD9">
        <w:rPr>
          <w:rFonts w:ascii="Calibri" w:eastAsia="Yu Mincho" w:hAnsi="Calibri" w:cs="Times New Roman"/>
        </w:rPr>
        <w:t xml:space="preserve"> wastewater testing for SARS-CoV-2 across Australia. </w:t>
      </w:r>
    </w:p>
    <w:p w14:paraId="7F3283F9" w14:textId="43A2D816" w:rsidR="00204F1E" w:rsidRPr="00DD5DD9" w:rsidRDefault="00204F1E" w:rsidP="00204F1E">
      <w:proofErr w:type="spellStart"/>
      <w:r w:rsidRPr="00DD5DD9">
        <w:t>enHealth’s</w:t>
      </w:r>
      <w:proofErr w:type="spellEnd"/>
      <w:r w:rsidRPr="00DD5DD9">
        <w:t xml:space="preserve"> Water Quality Expert Reference Panel (WQERP) </w:t>
      </w:r>
      <w:r w:rsidR="007D1B37" w:rsidRPr="00DD5DD9">
        <w:t>has developed a</w:t>
      </w:r>
      <w:r w:rsidRPr="00DD5DD9">
        <w:t xml:space="preserve"> national framework for wastewater testing and reporting</w:t>
      </w:r>
      <w:r w:rsidR="007D1B37" w:rsidRPr="00DD5DD9">
        <w:t>. The CDNA working group</w:t>
      </w:r>
      <w:r w:rsidR="007D1B37" w:rsidRPr="00DD5DD9" w:rsidDel="007D1B37">
        <w:t xml:space="preserve"> </w:t>
      </w:r>
      <w:r w:rsidR="007D1B37" w:rsidRPr="00DD5DD9">
        <w:t>is currently developing</w:t>
      </w:r>
      <w:r w:rsidRPr="00DD5DD9">
        <w:t xml:space="preserve"> complementary guidance for public health action and surveillance.</w:t>
      </w:r>
    </w:p>
    <w:p w14:paraId="15DA074E" w14:textId="77777777" w:rsidR="00954A79" w:rsidRPr="00DD5DD9" w:rsidRDefault="00954A79" w:rsidP="00204F1E">
      <w:pPr>
        <w:rPr>
          <w:rFonts w:ascii="Calibri" w:eastAsia="Yu Mincho" w:hAnsi="Calibri" w:cs="Times New Roman"/>
        </w:rPr>
      </w:pPr>
    </w:p>
    <w:p w14:paraId="42808E76" w14:textId="77777777" w:rsidR="008972E8" w:rsidRPr="00DD5DD9" w:rsidRDefault="008972E8" w:rsidP="00862FF4">
      <w:pPr>
        <w:rPr>
          <w:b/>
          <w:bCs/>
          <w:sz w:val="28"/>
          <w:szCs w:val="28"/>
        </w:rPr>
      </w:pPr>
      <w:r w:rsidRPr="00DD5DD9">
        <w:rPr>
          <w:b/>
          <w:bCs/>
          <w:sz w:val="28"/>
          <w:szCs w:val="28"/>
        </w:rPr>
        <w:t xml:space="preserve">1.2 Antigen </w:t>
      </w:r>
    </w:p>
    <w:p w14:paraId="58E622E7" w14:textId="77777777" w:rsidR="008972E8" w:rsidRPr="00DD5DD9" w:rsidRDefault="008972E8" w:rsidP="00862FF4">
      <w:pPr>
        <w:rPr>
          <w:b/>
          <w:bCs/>
          <w:sz w:val="28"/>
          <w:szCs w:val="28"/>
        </w:rPr>
      </w:pPr>
      <w:r w:rsidRPr="00DD5DD9">
        <w:rPr>
          <w:b/>
          <w:bCs/>
          <w:sz w:val="28"/>
          <w:szCs w:val="28"/>
        </w:rPr>
        <w:t xml:space="preserve">POC Rapid Antigen </w:t>
      </w:r>
    </w:p>
    <w:p w14:paraId="0FD5D030" w14:textId="0981F65D" w:rsidR="008972E8" w:rsidRPr="00DD5DD9" w:rsidRDefault="78F2CA0B" w:rsidP="008972E8">
      <w:pPr>
        <w:rPr>
          <w:rFonts w:ascii="Calibri" w:eastAsia="Yu Mincho" w:hAnsi="Calibri" w:cs="Times New Roman"/>
        </w:rPr>
      </w:pPr>
      <w:r w:rsidRPr="00DD5DD9">
        <w:rPr>
          <w:rFonts w:ascii="Calibri" w:eastAsia="Yu Mincho" w:hAnsi="Calibri" w:cs="Times New Roman"/>
        </w:rPr>
        <w:t xml:space="preserve">Rapid antigen tests detect viral protein of SARS-CoV-2 in a respiratory tract sample and </w:t>
      </w:r>
      <w:r w:rsidR="436DC394" w:rsidRPr="00DD5DD9">
        <w:rPr>
          <w:rFonts w:ascii="Calibri" w:eastAsia="Yu Mincho" w:hAnsi="Calibri" w:cs="Times New Roman"/>
        </w:rPr>
        <w:t>give</w:t>
      </w:r>
      <w:r w:rsidRPr="00DD5DD9">
        <w:rPr>
          <w:rFonts w:ascii="Calibri" w:eastAsia="Yu Mincho" w:hAnsi="Calibri" w:cs="Times New Roman"/>
        </w:rPr>
        <w:t xml:space="preserve"> results in 1</w:t>
      </w:r>
      <w:r w:rsidR="3EF30B8F" w:rsidRPr="00DD5DD9">
        <w:rPr>
          <w:rFonts w:ascii="Calibri" w:eastAsia="Yu Mincho" w:hAnsi="Calibri" w:cs="Times New Roman"/>
        </w:rPr>
        <w:t>0</w:t>
      </w:r>
      <w:r w:rsidRPr="00DD5DD9">
        <w:rPr>
          <w:rFonts w:ascii="Calibri" w:eastAsia="Yu Mincho" w:hAnsi="Calibri" w:cs="Times New Roman"/>
        </w:rPr>
        <w:t xml:space="preserve">–30 minutes. This test is typically validated for use with </w:t>
      </w:r>
      <w:r w:rsidR="73E003A1" w:rsidRPr="00DD5DD9">
        <w:rPr>
          <w:rFonts w:ascii="Calibri" w:eastAsia="Yu Mincho" w:hAnsi="Calibri" w:cs="Times New Roman"/>
        </w:rPr>
        <w:t>a range of upper respiratory tract specimen</w:t>
      </w:r>
      <w:r w:rsidR="0376D750" w:rsidRPr="00DD5DD9">
        <w:rPr>
          <w:rFonts w:ascii="Calibri" w:eastAsia="Yu Mincho" w:hAnsi="Calibri" w:cs="Times New Roman"/>
        </w:rPr>
        <w:t>s</w:t>
      </w:r>
      <w:r w:rsidR="3EF30B8F" w:rsidRPr="00DD5DD9">
        <w:rPr>
          <w:rFonts w:ascii="Calibri" w:eastAsia="Yu Mincho" w:hAnsi="Calibri" w:cs="Times New Roman"/>
        </w:rPr>
        <w:t xml:space="preserve"> or in some cases, saliva</w:t>
      </w:r>
      <w:r w:rsidR="73E003A1" w:rsidRPr="00DD5DD9">
        <w:rPr>
          <w:rFonts w:ascii="Calibri" w:eastAsia="Yu Mincho" w:hAnsi="Calibri" w:cs="Times New Roman"/>
        </w:rPr>
        <w:t>.</w:t>
      </w:r>
    </w:p>
    <w:p w14:paraId="7F1D50CB" w14:textId="5918D535" w:rsidR="004A630F" w:rsidRPr="00DD5DD9" w:rsidRDefault="007D1B37" w:rsidP="008972E8">
      <w:pPr>
        <w:rPr>
          <w:rFonts w:ascii="Calibri" w:eastAsia="Yu Mincho" w:hAnsi="Calibri" w:cs="Times New Roman"/>
        </w:rPr>
      </w:pPr>
      <w:r w:rsidRPr="00DD5DD9">
        <w:rPr>
          <w:rFonts w:ascii="Calibri" w:eastAsia="Yu Mincho" w:hAnsi="Calibri" w:cs="Times New Roman"/>
        </w:rPr>
        <w:t>The</w:t>
      </w:r>
      <w:r w:rsidR="008972E8" w:rsidRPr="00DD5DD9">
        <w:rPr>
          <w:rFonts w:ascii="Calibri" w:eastAsia="Yu Mincho" w:hAnsi="Calibri" w:cs="Times New Roman"/>
        </w:rPr>
        <w:t xml:space="preserve"> manufacturers’ claimed performance characteristics and performance </w:t>
      </w:r>
      <w:r w:rsidRPr="00DD5DD9">
        <w:rPr>
          <w:rFonts w:ascii="Calibri" w:eastAsia="Yu Mincho" w:hAnsi="Calibri" w:cs="Times New Roman"/>
        </w:rPr>
        <w:t xml:space="preserve">very considerably </w:t>
      </w:r>
      <w:r w:rsidR="008972E8" w:rsidRPr="00DD5DD9">
        <w:rPr>
          <w:rFonts w:ascii="Calibri" w:eastAsia="Yu Mincho" w:hAnsi="Calibri" w:cs="Times New Roman"/>
        </w:rPr>
        <w:t xml:space="preserve">in the field. This is largely because </w:t>
      </w:r>
      <w:r w:rsidRPr="00DD5DD9">
        <w:rPr>
          <w:rFonts w:ascii="Calibri" w:eastAsia="Yu Mincho" w:hAnsi="Calibri" w:cs="Times New Roman"/>
        </w:rPr>
        <w:t>most</w:t>
      </w:r>
      <w:r w:rsidR="008972E8" w:rsidRPr="00DD5DD9">
        <w:rPr>
          <w:rFonts w:ascii="Calibri" w:eastAsia="Yu Mincho" w:hAnsi="Calibri" w:cs="Times New Roman"/>
        </w:rPr>
        <w:t xml:space="preserve"> rapid antigen tests are intended for use, and validated by the manufacturer, on symptomatic people. Further, most current rapid antigen tests claim that maximal sensitivity is achieved when testing symptomatic individuals, in the first 5-7 days of the onset of symptoms. </w:t>
      </w:r>
      <w:r w:rsidR="00AF0B1D" w:rsidRPr="00DD5DD9">
        <w:rPr>
          <w:rFonts w:ascii="Calibri" w:eastAsia="Yu Mincho" w:hAnsi="Calibri" w:cs="Times New Roman"/>
        </w:rPr>
        <w:t>T</w:t>
      </w:r>
      <w:r w:rsidR="008972E8" w:rsidRPr="00DD5DD9">
        <w:rPr>
          <w:rFonts w:ascii="Calibri" w:eastAsia="Yu Mincho" w:hAnsi="Calibri" w:cs="Times New Roman"/>
        </w:rPr>
        <w:t>he sensitivity</w:t>
      </w:r>
      <w:r w:rsidR="00AF0B1D" w:rsidRPr="00DD5DD9">
        <w:rPr>
          <w:rFonts w:ascii="Calibri" w:eastAsia="Yu Mincho" w:hAnsi="Calibri" w:cs="Times New Roman"/>
        </w:rPr>
        <w:t xml:space="preserve"> of antigen tests</w:t>
      </w:r>
      <w:r w:rsidR="008972E8" w:rsidRPr="00DD5DD9">
        <w:rPr>
          <w:rFonts w:ascii="Calibri" w:eastAsia="Yu Mincho" w:hAnsi="Calibri" w:cs="Times New Roman"/>
        </w:rPr>
        <w:t xml:space="preserve"> is lower than for standard RT-PCR tests and performance may vary in the field. This may potentially increase the number of false negative results. </w:t>
      </w:r>
    </w:p>
    <w:p w14:paraId="18A073DE" w14:textId="18974ACD"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It is important to recognise that the sensitivity is an estimate based on testing individuals that are infected as independent events. Where multiple people in a group are infected, such as a household, the pre-test probability will increase. This will influence the positive predictive value of the test and the likelihood of detecting cases. While analytical sensitivity is a function of the IVD, the notion of frequently testing individuals may increase the sensitivity of the process as opposed to increasing the sensitivity of the IVD. </w:t>
      </w:r>
    </w:p>
    <w:tbl>
      <w:tblPr>
        <w:tblStyle w:val="TableGrid2"/>
        <w:tblW w:w="92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977"/>
        <w:gridCol w:w="2864"/>
      </w:tblGrid>
      <w:tr w:rsidR="00E50E39" w:rsidRPr="00DD5DD9" w14:paraId="6B3860F2" w14:textId="77777777" w:rsidTr="6A9820AC">
        <w:trPr>
          <w:trHeight w:val="154"/>
        </w:trPr>
        <w:tc>
          <w:tcPr>
            <w:tcW w:w="3407" w:type="dxa"/>
            <w:tcBorders>
              <w:bottom w:val="single" w:sz="4" w:space="0" w:color="auto"/>
            </w:tcBorders>
          </w:tcPr>
          <w:p w14:paraId="66DD5021"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2977" w:type="dxa"/>
            <w:tcBorders>
              <w:left w:val="single" w:sz="4" w:space="0" w:color="auto"/>
              <w:bottom w:val="single" w:sz="4" w:space="0" w:color="auto"/>
            </w:tcBorders>
          </w:tcPr>
          <w:p w14:paraId="5357F155"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2864" w:type="dxa"/>
            <w:tcBorders>
              <w:left w:val="single" w:sz="4" w:space="0" w:color="auto"/>
              <w:bottom w:val="single" w:sz="4" w:space="0" w:color="auto"/>
            </w:tcBorders>
          </w:tcPr>
          <w:p w14:paraId="6FD22091"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6C936C0A" w14:textId="77777777" w:rsidTr="6A9820AC">
        <w:trPr>
          <w:trHeight w:val="1045"/>
        </w:trPr>
        <w:tc>
          <w:tcPr>
            <w:tcW w:w="3407" w:type="dxa"/>
            <w:tcBorders>
              <w:top w:val="single" w:sz="4" w:space="0" w:color="auto"/>
            </w:tcBorders>
          </w:tcPr>
          <w:p w14:paraId="6CEC10EF" w14:textId="77777777" w:rsidR="008972E8" w:rsidRPr="00C229FD" w:rsidRDefault="008972E8" w:rsidP="00897C45">
            <w:pPr>
              <w:numPr>
                <w:ilvl w:val="0"/>
                <w:numId w:val="17"/>
              </w:numPr>
              <w:spacing w:after="200" w:line="276" w:lineRule="auto"/>
              <w:ind w:left="328"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There is considerable variation between the sensitivity and specificity outlined in the manufacturer's instructions.</w:t>
            </w:r>
          </w:p>
        </w:tc>
        <w:tc>
          <w:tcPr>
            <w:tcW w:w="2977" w:type="dxa"/>
            <w:tcBorders>
              <w:top w:val="single" w:sz="4" w:space="0" w:color="auto"/>
              <w:left w:val="single" w:sz="4" w:space="0" w:color="auto"/>
            </w:tcBorders>
          </w:tcPr>
          <w:p w14:paraId="375285C1" w14:textId="77777777" w:rsidR="008972E8" w:rsidRPr="00C229FD" w:rsidRDefault="008972E8" w:rsidP="00897C45">
            <w:pPr>
              <w:numPr>
                <w:ilvl w:val="0"/>
                <w:numId w:val="17"/>
              </w:numPr>
              <w:spacing w:after="200" w:line="276" w:lineRule="auto"/>
              <w:ind w:left="239"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Can be conducted at POC.</w:t>
            </w:r>
          </w:p>
          <w:p w14:paraId="2D646759" w14:textId="3A6C41F5" w:rsidR="008972E8" w:rsidRPr="00C229FD" w:rsidRDefault="78F2CA0B" w:rsidP="00897C45">
            <w:pPr>
              <w:numPr>
                <w:ilvl w:val="0"/>
                <w:numId w:val="17"/>
              </w:numPr>
              <w:spacing w:after="200" w:line="276" w:lineRule="auto"/>
              <w:ind w:left="239"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10 – 30 tests per hour by a trained </w:t>
            </w:r>
            <w:r w:rsidR="0376D750" w:rsidRPr="00DD5DD9">
              <w:rPr>
                <w:rFonts w:ascii="Calibri" w:eastAsia="Calibri" w:hAnsi="Calibri" w:cs="Times New Roman"/>
                <w:sz w:val="20"/>
                <w:szCs w:val="20"/>
                <w:lang w:eastAsia="en-AU"/>
              </w:rPr>
              <w:t>health care practitioner</w:t>
            </w:r>
            <w:r w:rsidRPr="00DD5DD9">
              <w:rPr>
                <w:rFonts w:ascii="Calibri" w:eastAsia="Calibri" w:hAnsi="Calibri" w:cs="Times New Roman"/>
                <w:sz w:val="20"/>
                <w:szCs w:val="20"/>
                <w:lang w:eastAsia="en-AU"/>
              </w:rPr>
              <w:t xml:space="preserve"> </w:t>
            </w:r>
            <w:r w:rsidR="3EF30B8F" w:rsidRPr="00DD5DD9">
              <w:rPr>
                <w:rFonts w:ascii="Calibri" w:eastAsia="Calibri" w:hAnsi="Calibri" w:cs="Times New Roman"/>
                <w:sz w:val="20"/>
                <w:szCs w:val="20"/>
                <w:lang w:eastAsia="en-AU"/>
              </w:rPr>
              <w:t>or</w:t>
            </w:r>
            <w:r w:rsidRPr="00DD5DD9">
              <w:rPr>
                <w:rFonts w:ascii="Calibri" w:eastAsia="Calibri" w:hAnsi="Calibri" w:cs="Times New Roman"/>
                <w:sz w:val="20"/>
                <w:szCs w:val="20"/>
                <w:lang w:eastAsia="en-AU"/>
              </w:rPr>
              <w:t xml:space="preserve"> trained</w:t>
            </w:r>
            <w:r w:rsidR="3EF30B8F" w:rsidRPr="00DD5DD9">
              <w:rPr>
                <w:rFonts w:ascii="Calibri" w:eastAsia="Calibri" w:hAnsi="Calibri" w:cs="Times New Roman"/>
                <w:sz w:val="20"/>
                <w:szCs w:val="20"/>
                <w:lang w:eastAsia="en-AU"/>
              </w:rPr>
              <w:t xml:space="preserve"> person under their supervision. </w:t>
            </w:r>
            <w:r w:rsidR="436DC394" w:rsidRPr="00DD5DD9">
              <w:rPr>
                <w:rFonts w:ascii="Calibri" w:eastAsia="Calibri" w:hAnsi="Calibri" w:cs="Times New Roman"/>
                <w:sz w:val="20"/>
                <w:szCs w:val="20"/>
                <w:lang w:eastAsia="en-AU"/>
              </w:rPr>
              <w:t>More</w:t>
            </w:r>
            <w:r w:rsidR="3EF30B8F" w:rsidRPr="00DD5DD9">
              <w:rPr>
                <w:rFonts w:ascii="Calibri" w:eastAsia="Calibri" w:hAnsi="Calibri" w:cs="Times New Roman"/>
                <w:sz w:val="20"/>
                <w:szCs w:val="20"/>
                <w:lang w:eastAsia="en-AU"/>
              </w:rPr>
              <w:t xml:space="preserve"> trained staff</w:t>
            </w:r>
            <w:r w:rsidRPr="00DD5DD9">
              <w:rPr>
                <w:rFonts w:ascii="Calibri" w:eastAsia="Calibri" w:hAnsi="Calibri" w:cs="Times New Roman"/>
                <w:sz w:val="20"/>
                <w:szCs w:val="20"/>
                <w:lang w:eastAsia="en-AU"/>
              </w:rPr>
              <w:t xml:space="preserve"> </w:t>
            </w:r>
            <w:r w:rsidR="436DC394" w:rsidRPr="00DD5DD9">
              <w:rPr>
                <w:rFonts w:ascii="Calibri" w:eastAsia="Calibri" w:hAnsi="Calibri" w:cs="Times New Roman"/>
                <w:sz w:val="20"/>
                <w:szCs w:val="20"/>
                <w:lang w:eastAsia="en-AU"/>
              </w:rPr>
              <w:t>are needed</w:t>
            </w:r>
            <w:r w:rsidRPr="00DD5DD9">
              <w:rPr>
                <w:rFonts w:ascii="Calibri" w:eastAsia="Calibri" w:hAnsi="Calibri" w:cs="Times New Roman"/>
                <w:sz w:val="20"/>
                <w:szCs w:val="20"/>
                <w:lang w:eastAsia="en-AU"/>
              </w:rPr>
              <w:t xml:space="preserve"> for result recording.</w:t>
            </w:r>
          </w:p>
          <w:p w14:paraId="73E20A5D" w14:textId="6852B5F8" w:rsidR="00345E66" w:rsidRPr="00C229FD" w:rsidRDefault="2DAC145B" w:rsidP="00897C45">
            <w:pPr>
              <w:numPr>
                <w:ilvl w:val="0"/>
                <w:numId w:val="17"/>
              </w:numPr>
              <w:spacing w:after="200" w:line="276" w:lineRule="auto"/>
              <w:ind w:left="239"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From 1 November 2021, </w:t>
            </w:r>
            <w:r w:rsidR="12B29147" w:rsidRPr="00DD5DD9">
              <w:rPr>
                <w:rFonts w:ascii="Calibri" w:eastAsia="Calibri" w:hAnsi="Calibri" w:cs="Times New Roman"/>
                <w:sz w:val="20"/>
                <w:szCs w:val="20"/>
                <w:lang w:eastAsia="en-AU"/>
              </w:rPr>
              <w:t xml:space="preserve">have been </w:t>
            </w:r>
            <w:r w:rsidRPr="00DD5DD9">
              <w:rPr>
                <w:rFonts w:ascii="Calibri" w:eastAsia="Calibri" w:hAnsi="Calibri" w:cs="Times New Roman"/>
                <w:sz w:val="20"/>
                <w:szCs w:val="20"/>
                <w:lang w:eastAsia="en-AU"/>
              </w:rPr>
              <w:t>available for home use.</w:t>
            </w:r>
          </w:p>
        </w:tc>
        <w:tc>
          <w:tcPr>
            <w:tcW w:w="2864" w:type="dxa"/>
            <w:tcBorders>
              <w:top w:val="single" w:sz="4" w:space="0" w:color="auto"/>
              <w:left w:val="single" w:sz="4" w:space="0" w:color="auto"/>
            </w:tcBorders>
          </w:tcPr>
          <w:p w14:paraId="61681DDD" w14:textId="6C1CBA26" w:rsidR="008972E8" w:rsidRPr="00C229FD" w:rsidRDefault="008972E8" w:rsidP="00897C45">
            <w:pPr>
              <w:numPr>
                <w:ilvl w:val="0"/>
                <w:numId w:val="17"/>
              </w:numPr>
              <w:spacing w:after="200" w:line="276" w:lineRule="auto"/>
              <w:ind w:left="313"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TGA </w:t>
            </w:r>
            <w:r w:rsidR="000F7C80" w:rsidRPr="00DD5DD9">
              <w:rPr>
                <w:rFonts w:ascii="Calibri" w:eastAsia="Calibri" w:hAnsi="Calibri" w:cs="Times New Roman"/>
                <w:sz w:val="20"/>
                <w:szCs w:val="20"/>
                <w:lang w:eastAsia="en-AU"/>
              </w:rPr>
              <w:t>sets conditions for supply and use</w:t>
            </w:r>
            <w:r w:rsidRPr="00DD5DD9">
              <w:rPr>
                <w:rFonts w:ascii="Calibri" w:eastAsia="Calibri" w:hAnsi="Calibri" w:cs="Times New Roman"/>
                <w:sz w:val="20"/>
                <w:szCs w:val="20"/>
                <w:lang w:eastAsia="en-AU"/>
              </w:rPr>
              <w:t>.</w:t>
            </w:r>
          </w:p>
          <w:p w14:paraId="432138F8" w14:textId="167E0854" w:rsidR="000F7C80" w:rsidRPr="00C229FD" w:rsidRDefault="009E07C4" w:rsidP="00897C45">
            <w:pPr>
              <w:numPr>
                <w:ilvl w:val="0"/>
                <w:numId w:val="17"/>
              </w:numPr>
              <w:spacing w:after="200" w:line="276" w:lineRule="auto"/>
              <w:ind w:left="313"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As of 1 November 2021, at home s</w:t>
            </w:r>
            <w:r w:rsidR="000F7C80" w:rsidRPr="00DD5DD9">
              <w:rPr>
                <w:rFonts w:ascii="Calibri" w:eastAsia="Calibri" w:hAnsi="Calibri" w:cs="Times New Roman"/>
                <w:sz w:val="20"/>
                <w:szCs w:val="20"/>
                <w:lang w:eastAsia="en-AU"/>
              </w:rPr>
              <w:t>elf-testing is</w:t>
            </w:r>
            <w:r w:rsidR="00086DDA" w:rsidRPr="00DD5DD9">
              <w:rPr>
                <w:rFonts w:ascii="Calibri" w:eastAsia="Calibri" w:hAnsi="Calibri" w:cs="Times New Roman"/>
                <w:sz w:val="20"/>
                <w:szCs w:val="20"/>
                <w:lang w:eastAsia="en-AU"/>
              </w:rPr>
              <w:t xml:space="preserve"> </w:t>
            </w:r>
            <w:r w:rsidRPr="00DD5DD9">
              <w:rPr>
                <w:rFonts w:ascii="Calibri" w:eastAsia="Calibri" w:hAnsi="Calibri" w:cs="Times New Roman"/>
                <w:sz w:val="20"/>
                <w:szCs w:val="20"/>
                <w:lang w:eastAsia="en-AU"/>
              </w:rPr>
              <w:t>now available</w:t>
            </w:r>
            <w:r w:rsidR="000F7C80" w:rsidRPr="00DD5DD9">
              <w:rPr>
                <w:rFonts w:ascii="Calibri" w:eastAsia="Calibri" w:hAnsi="Calibri" w:cs="Times New Roman"/>
                <w:sz w:val="20"/>
                <w:szCs w:val="20"/>
                <w:lang w:eastAsia="en-AU"/>
              </w:rPr>
              <w:t xml:space="preserve"> in Australia</w:t>
            </w:r>
            <w:r w:rsidR="00086DDA" w:rsidRPr="00DD5DD9">
              <w:rPr>
                <w:rFonts w:ascii="Calibri" w:eastAsia="Calibri" w:hAnsi="Calibri" w:cs="Times New Roman"/>
                <w:sz w:val="20"/>
                <w:szCs w:val="20"/>
                <w:lang w:eastAsia="en-AU"/>
              </w:rPr>
              <w:t>.</w:t>
            </w:r>
          </w:p>
        </w:tc>
      </w:tr>
    </w:tbl>
    <w:p w14:paraId="6EA4B5B0" w14:textId="6856FD7F" w:rsidR="008972E8" w:rsidRPr="00DD5DD9" w:rsidRDefault="008972E8" w:rsidP="00862FF4">
      <w:pPr>
        <w:spacing w:before="240"/>
        <w:rPr>
          <w:rFonts w:ascii="Calibri" w:eastAsia="Yu Mincho" w:hAnsi="Calibri" w:cs="Times New Roman"/>
        </w:rPr>
      </w:pPr>
      <w:r w:rsidRPr="00DD5DD9">
        <w:rPr>
          <w:rFonts w:ascii="Calibri" w:eastAsia="Yu Mincho" w:hAnsi="Calibri" w:cs="Times New Roman"/>
        </w:rPr>
        <w:t xml:space="preserve">The </w:t>
      </w:r>
      <w:hyperlink r:id="rId39" w:history="1">
        <w:r w:rsidRPr="00DD5DD9">
          <w:rPr>
            <w:rStyle w:val="Hyperlink"/>
            <w:rFonts w:ascii="Calibri" w:eastAsia="Yu Mincho" w:hAnsi="Calibri" w:cs="Times New Roman"/>
            <w:i/>
          </w:rPr>
          <w:t>PHLN and CDNA joint statement on SARS-CoV-2 rapid antigen tests</w:t>
        </w:r>
      </w:hyperlink>
      <w:r w:rsidRPr="00DD5DD9">
        <w:rPr>
          <w:rFonts w:ascii="Calibri" w:eastAsia="Yu Mincho" w:hAnsi="Calibri" w:cs="Times New Roman"/>
          <w:i/>
        </w:rPr>
        <w:t xml:space="preserve"> </w:t>
      </w:r>
      <w:r w:rsidRPr="00DD5DD9">
        <w:rPr>
          <w:rFonts w:ascii="Calibri" w:eastAsia="Yu Mincho" w:hAnsi="Calibri" w:cs="Times New Roman"/>
        </w:rPr>
        <w:t xml:space="preserve">includes </w:t>
      </w:r>
      <w:r w:rsidR="00737139" w:rsidRPr="00DD5DD9">
        <w:rPr>
          <w:rFonts w:ascii="Calibri" w:eastAsia="Yu Mincho" w:hAnsi="Calibri" w:cs="Times New Roman"/>
        </w:rPr>
        <w:t>more</w:t>
      </w:r>
      <w:r w:rsidRPr="00DD5DD9">
        <w:rPr>
          <w:rFonts w:ascii="Calibri" w:eastAsia="Yu Mincho" w:hAnsi="Calibri" w:cs="Times New Roman"/>
        </w:rPr>
        <w:t xml:space="preserve"> information. </w:t>
      </w:r>
    </w:p>
    <w:p w14:paraId="6C47D9E2" w14:textId="59489224" w:rsidR="00954A79" w:rsidRPr="00DD5DD9" w:rsidRDefault="00954A79">
      <w:pPr>
        <w:spacing w:after="200" w:line="276" w:lineRule="auto"/>
        <w:jc w:val="left"/>
        <w:rPr>
          <w:rFonts w:ascii="Calibri" w:eastAsia="Yu Mincho" w:hAnsi="Calibri" w:cs="Times New Roman"/>
        </w:rPr>
      </w:pPr>
    </w:p>
    <w:p w14:paraId="3FDB1D18" w14:textId="496DDDCF" w:rsidR="008972E8" w:rsidRPr="00DD5DD9" w:rsidRDefault="008972E8" w:rsidP="00862FF4">
      <w:pPr>
        <w:rPr>
          <w:b/>
          <w:bCs/>
          <w:sz w:val="28"/>
          <w:szCs w:val="28"/>
        </w:rPr>
      </w:pPr>
      <w:r w:rsidRPr="00DD5DD9">
        <w:rPr>
          <w:b/>
          <w:bCs/>
          <w:sz w:val="28"/>
          <w:szCs w:val="28"/>
        </w:rPr>
        <w:t>1.3 Antibody</w:t>
      </w:r>
    </w:p>
    <w:p w14:paraId="0A9AD36E" w14:textId="0A2D9D33" w:rsidR="00347B39" w:rsidRPr="00DD5DD9" w:rsidRDefault="00347B39" w:rsidP="008972E8">
      <w:pPr>
        <w:rPr>
          <w:rFonts w:ascii="Calibri" w:eastAsia="Yu Mincho" w:hAnsi="Calibri" w:cs="Times New Roman"/>
        </w:rPr>
      </w:pPr>
      <w:r w:rsidRPr="00DD5DD9">
        <w:rPr>
          <w:rFonts w:cstheme="minorHAnsi"/>
          <w:szCs w:val="24"/>
        </w:rPr>
        <w:t>COVID-19 antibody testing is a serological test (blood test) that uses a blood sample to identify IgM and IgG antibodies, to determine whether a person may have been infected with COVID-19 in the past. These tests can be laboratory</w:t>
      </w:r>
      <w:r w:rsidR="007A511C" w:rsidRPr="00DD5DD9">
        <w:rPr>
          <w:rFonts w:cstheme="minorHAnsi"/>
          <w:szCs w:val="24"/>
        </w:rPr>
        <w:t>-</w:t>
      </w:r>
      <w:r w:rsidRPr="00DD5DD9">
        <w:rPr>
          <w:rFonts w:cstheme="minorHAnsi"/>
          <w:szCs w:val="24"/>
        </w:rPr>
        <w:t>based or performed using rapid P</w:t>
      </w:r>
      <w:r w:rsidR="007A511C" w:rsidRPr="00DD5DD9">
        <w:rPr>
          <w:rFonts w:cstheme="minorHAnsi"/>
          <w:szCs w:val="24"/>
        </w:rPr>
        <w:t>O</w:t>
      </w:r>
      <w:r w:rsidRPr="00DD5DD9">
        <w:rPr>
          <w:rFonts w:cstheme="minorHAnsi"/>
          <w:szCs w:val="24"/>
        </w:rPr>
        <w:t>C ‘</w:t>
      </w:r>
      <w:proofErr w:type="spellStart"/>
      <w:r w:rsidRPr="00DD5DD9">
        <w:rPr>
          <w:rFonts w:cstheme="minorHAnsi"/>
          <w:szCs w:val="24"/>
        </w:rPr>
        <w:t>fingerprick</w:t>
      </w:r>
      <w:proofErr w:type="spellEnd"/>
      <w:r w:rsidRPr="00DD5DD9">
        <w:rPr>
          <w:rFonts w:cstheme="minorHAnsi"/>
          <w:szCs w:val="24"/>
        </w:rPr>
        <w:t>’ tests. This technique can be used to diagnose a previous infection but is not recommended to diagnose a current infection.</w:t>
      </w:r>
    </w:p>
    <w:p w14:paraId="53F7FACF" w14:textId="5C06C405" w:rsidR="008972E8" w:rsidRPr="00DD5DD9" w:rsidRDefault="008972E8" w:rsidP="008972E8">
      <w:pPr>
        <w:rPr>
          <w:rFonts w:ascii="Calibri" w:eastAsia="Yu Mincho" w:hAnsi="Calibri" w:cs="Times New Roman"/>
        </w:rPr>
      </w:pPr>
      <w:r w:rsidRPr="00DD5DD9">
        <w:rPr>
          <w:rFonts w:ascii="Calibri" w:eastAsia="Yu Mincho" w:hAnsi="Calibri" w:cs="Times New Roman"/>
        </w:rPr>
        <w:lastRenderedPageBreak/>
        <w:t xml:space="preserve">Serology tests can help identify individuals who have: </w:t>
      </w:r>
    </w:p>
    <w:p w14:paraId="6B5DAFE9" w14:textId="481BD8CA" w:rsidR="008972E8" w:rsidRPr="00DD5DD9" w:rsidRDefault="008972E8" w:rsidP="008972E8">
      <w:pPr>
        <w:pStyle w:val="ListParagraph"/>
        <w:numPr>
          <w:ilvl w:val="0"/>
          <w:numId w:val="39"/>
        </w:numPr>
        <w:rPr>
          <w:rFonts w:ascii="Calibri" w:eastAsia="Yu Mincho" w:hAnsi="Calibri" w:cs="Times New Roman"/>
        </w:rPr>
      </w:pPr>
      <w:r w:rsidRPr="00DD5DD9">
        <w:rPr>
          <w:rFonts w:ascii="Calibri" w:eastAsia="Yu Mincho" w:hAnsi="Calibri" w:cs="Times New Roman"/>
        </w:rPr>
        <w:t xml:space="preserve">previously had a COVID-19 infection without a RT-PCR diagnosis </w:t>
      </w:r>
    </w:p>
    <w:p w14:paraId="04328040" w14:textId="6F589439" w:rsidR="008972E8" w:rsidRPr="00DD5DD9" w:rsidRDefault="008972E8" w:rsidP="008972E8">
      <w:pPr>
        <w:pStyle w:val="ListParagraph"/>
        <w:numPr>
          <w:ilvl w:val="0"/>
          <w:numId w:val="39"/>
        </w:numPr>
        <w:rPr>
          <w:rFonts w:ascii="Calibri" w:eastAsia="Yu Mincho" w:hAnsi="Calibri" w:cs="Times New Roman"/>
        </w:rPr>
      </w:pPr>
      <w:r w:rsidRPr="00DD5DD9">
        <w:rPr>
          <w:rFonts w:ascii="Calibri" w:eastAsia="Yu Mincho" w:hAnsi="Calibri" w:cs="Times New Roman"/>
        </w:rPr>
        <w:t>have had a false negative RT-PCR result or</w:t>
      </w:r>
    </w:p>
    <w:p w14:paraId="206EBB71" w14:textId="77777777" w:rsidR="008972E8" w:rsidRPr="00DD5DD9" w:rsidRDefault="008972E8" w:rsidP="008972E8">
      <w:pPr>
        <w:pStyle w:val="ListParagraph"/>
        <w:numPr>
          <w:ilvl w:val="0"/>
          <w:numId w:val="39"/>
        </w:numPr>
        <w:rPr>
          <w:rFonts w:ascii="Calibri" w:eastAsia="Yu Mincho" w:hAnsi="Calibri" w:cs="Times New Roman"/>
        </w:rPr>
      </w:pPr>
      <w:r w:rsidRPr="00DD5DD9">
        <w:rPr>
          <w:rFonts w:ascii="Calibri" w:eastAsia="Yu Mincho" w:hAnsi="Calibri" w:cs="Times New Roman"/>
        </w:rPr>
        <w:t xml:space="preserve">have RT-PCR results that are difficult to interpret. </w:t>
      </w:r>
    </w:p>
    <w:p w14:paraId="5319ADA0" w14:textId="1E09B17E"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In addition, serology tests can be used for population-level prevalence studies. Health care professionals take a blood sample using either finger prick or from a vein, to test for antibodies to SARS-CoV-2 as part of an immune response to the virus. However, this response profile is still not completely understood. Therefore, serology results must be interpreted with caution and in conjunction with clinical presentation by a suitably qualified health care professional, who can </w:t>
      </w:r>
      <w:r w:rsidR="00737139" w:rsidRPr="00DD5DD9">
        <w:rPr>
          <w:rFonts w:ascii="Calibri" w:eastAsia="Yu Mincho" w:hAnsi="Calibri" w:cs="Times New Roman"/>
        </w:rPr>
        <w:t>give</w:t>
      </w:r>
      <w:r w:rsidRPr="00DD5DD9">
        <w:rPr>
          <w:rFonts w:ascii="Calibri" w:eastAsia="Yu Mincho" w:hAnsi="Calibri" w:cs="Times New Roman"/>
        </w:rPr>
        <w:t xml:space="preserve"> appropriate advice and treatment if required.</w:t>
      </w:r>
    </w:p>
    <w:p w14:paraId="1B26A938" w14:textId="6D2E7B3D"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In general, measurable antibody responses are not reliably detected until 14 days or more after COVID-19 disease onset. Noting this delay in </w:t>
      </w:r>
      <w:r w:rsidR="00737139" w:rsidRPr="00DD5DD9">
        <w:rPr>
          <w:rFonts w:ascii="Calibri" w:eastAsia="Yu Mincho" w:hAnsi="Calibri" w:cs="Times New Roman"/>
        </w:rPr>
        <w:t>antibody</w:t>
      </w:r>
      <w:r w:rsidRPr="00DD5DD9">
        <w:rPr>
          <w:rFonts w:ascii="Calibri" w:eastAsia="Yu Mincho" w:hAnsi="Calibri" w:cs="Times New Roman"/>
        </w:rPr>
        <w:t xml:space="preserve"> development,</w:t>
      </w:r>
      <w:r w:rsidR="00457F79" w:rsidRPr="00DD5DD9">
        <w:rPr>
          <w:rFonts w:ascii="Calibri" w:eastAsia="Yu Mincho" w:hAnsi="Calibri" w:cs="Times New Roman"/>
        </w:rPr>
        <w:t xml:space="preserve"> </w:t>
      </w:r>
      <w:r w:rsidRPr="00DD5DD9">
        <w:rPr>
          <w:rFonts w:ascii="Calibri" w:eastAsia="Yu Mincho" w:hAnsi="Calibri" w:cs="Times New Roman"/>
        </w:rPr>
        <w:t xml:space="preserve">serology tests </w:t>
      </w:r>
      <w:r w:rsidR="00AF0B1D" w:rsidRPr="00DD5DD9">
        <w:rPr>
          <w:rFonts w:ascii="Calibri" w:eastAsia="Yu Mincho" w:hAnsi="Calibri" w:cs="Times New Roman"/>
        </w:rPr>
        <w:t xml:space="preserve">are not recommended for use </w:t>
      </w:r>
      <w:r w:rsidRPr="00DD5DD9">
        <w:rPr>
          <w:rFonts w:ascii="Calibri" w:eastAsia="Yu Mincho" w:hAnsi="Calibri" w:cs="Times New Roman"/>
        </w:rPr>
        <w:t xml:space="preserve">as a diagnostic test for acute COVID-19. </w:t>
      </w:r>
    </w:p>
    <w:p w14:paraId="353697DF" w14:textId="5922B433"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The </w:t>
      </w:r>
      <w:hyperlink r:id="rId40" w:history="1">
        <w:r w:rsidR="00757723" w:rsidRPr="00DD5DD9">
          <w:rPr>
            <w:rStyle w:val="Hyperlink"/>
            <w:rFonts w:ascii="Calibri" w:eastAsia="Yu Mincho" w:hAnsi="Calibri" w:cs="Times New Roman"/>
            <w:i/>
          </w:rPr>
          <w:t>PHLN Guidance on laboratory testing for SARS-CoV-2</w:t>
        </w:r>
      </w:hyperlink>
      <w:r w:rsidR="00757723" w:rsidRPr="00DD5DD9">
        <w:rPr>
          <w:rFonts w:ascii="Calibri" w:eastAsia="Yu Mincho" w:hAnsi="Calibri" w:cs="Times New Roman"/>
          <w:i/>
        </w:rPr>
        <w:t xml:space="preserve"> </w:t>
      </w:r>
      <w:r w:rsidRPr="00DD5DD9">
        <w:rPr>
          <w:rFonts w:ascii="Calibri" w:eastAsia="Yu Mincho" w:hAnsi="Calibri" w:cs="Times New Roman"/>
        </w:rPr>
        <w:t xml:space="preserve">has </w:t>
      </w:r>
      <w:r w:rsidR="00737139" w:rsidRPr="00DD5DD9">
        <w:rPr>
          <w:rFonts w:ascii="Calibri" w:eastAsia="Yu Mincho" w:hAnsi="Calibri" w:cs="Times New Roman"/>
        </w:rPr>
        <w:t>more</w:t>
      </w:r>
      <w:r w:rsidRPr="00DD5DD9">
        <w:rPr>
          <w:rFonts w:ascii="Calibri" w:eastAsia="Yu Mincho" w:hAnsi="Calibri" w:cs="Times New Roman"/>
        </w:rPr>
        <w:t xml:space="preserve"> information on serology testing.</w:t>
      </w:r>
    </w:p>
    <w:p w14:paraId="23680091" w14:textId="77777777" w:rsidR="007D0B85" w:rsidRPr="00DD5DD9" w:rsidRDefault="007D0B85" w:rsidP="008972E8">
      <w:pPr>
        <w:rPr>
          <w:rFonts w:ascii="Calibri" w:eastAsia="Yu Mincho" w:hAnsi="Calibri" w:cs="Times New Roman"/>
        </w:rPr>
      </w:pPr>
    </w:p>
    <w:p w14:paraId="0A6D0747" w14:textId="77777777" w:rsidR="008972E8" w:rsidRPr="00DD5DD9" w:rsidRDefault="008972E8" w:rsidP="00862FF4">
      <w:pPr>
        <w:rPr>
          <w:b/>
          <w:bCs/>
          <w:i/>
          <w:iCs/>
          <w:sz w:val="28"/>
          <w:szCs w:val="28"/>
        </w:rPr>
      </w:pPr>
      <w:r w:rsidRPr="00DD5DD9">
        <w:rPr>
          <w:b/>
          <w:bCs/>
          <w:i/>
          <w:iCs/>
          <w:sz w:val="28"/>
          <w:szCs w:val="28"/>
        </w:rPr>
        <w:t>Laboratory-based serology</w:t>
      </w:r>
    </w:p>
    <w:p w14:paraId="13BCEA4A" w14:textId="77777777"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Most major diagnostic laboratories in Australia, both public and private, have automated high-throughput commercial immunoassay platforms for serological testing for infectious diseases. Serological assays for detection of anti-SARS-CoV-2 antibodies are commercially available in Australia using these platforms. PHLN has conducted a joint, multi-jurisdictional evaluation of several assays, which has been shared with relevant stakeholders, including public health authorities and public and private pathology providers. </w:t>
      </w:r>
    </w:p>
    <w:tbl>
      <w:tblPr>
        <w:tblStyle w:val="TableGrid2"/>
        <w:tblW w:w="95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402"/>
        <w:gridCol w:w="2998"/>
      </w:tblGrid>
      <w:tr w:rsidR="00E50E39" w:rsidRPr="00DD5DD9" w14:paraId="64ECD083" w14:textId="77777777" w:rsidTr="00897C45">
        <w:trPr>
          <w:trHeight w:val="184"/>
        </w:trPr>
        <w:tc>
          <w:tcPr>
            <w:tcW w:w="3124" w:type="dxa"/>
            <w:tcBorders>
              <w:bottom w:val="single" w:sz="4" w:space="0" w:color="auto"/>
            </w:tcBorders>
          </w:tcPr>
          <w:p w14:paraId="5174D4E6"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402" w:type="dxa"/>
            <w:tcBorders>
              <w:left w:val="single" w:sz="4" w:space="0" w:color="auto"/>
              <w:bottom w:val="single" w:sz="4" w:space="0" w:color="auto"/>
            </w:tcBorders>
          </w:tcPr>
          <w:p w14:paraId="0A18685B"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2998" w:type="dxa"/>
            <w:tcBorders>
              <w:left w:val="single" w:sz="4" w:space="0" w:color="auto"/>
              <w:bottom w:val="single" w:sz="4" w:space="0" w:color="auto"/>
            </w:tcBorders>
          </w:tcPr>
          <w:p w14:paraId="656814A4"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3E473F3D" w14:textId="77777777" w:rsidTr="00897C45">
        <w:trPr>
          <w:trHeight w:val="982"/>
        </w:trPr>
        <w:tc>
          <w:tcPr>
            <w:tcW w:w="3124" w:type="dxa"/>
            <w:tcBorders>
              <w:top w:val="single" w:sz="4" w:space="0" w:color="auto"/>
            </w:tcBorders>
          </w:tcPr>
          <w:p w14:paraId="6C0811DF" w14:textId="23AE7B64" w:rsidR="008972E8" w:rsidRPr="00C229FD" w:rsidRDefault="008972E8" w:rsidP="00897C45">
            <w:pPr>
              <w:numPr>
                <w:ilvl w:val="0"/>
                <w:numId w:val="17"/>
              </w:numPr>
              <w:spacing w:after="200" w:line="276" w:lineRule="auto"/>
              <w:ind w:left="186" w:hanging="142"/>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Many peer</w:t>
            </w:r>
            <w:r w:rsidR="00B37099" w:rsidRPr="00DD5DD9">
              <w:rPr>
                <w:rFonts w:ascii="Calibri" w:eastAsia="Calibri" w:hAnsi="Calibri" w:cs="Times New Roman"/>
                <w:sz w:val="20"/>
                <w:szCs w:val="20"/>
                <w:lang w:eastAsia="en-AU"/>
              </w:rPr>
              <w:t>-</w:t>
            </w:r>
            <w:r w:rsidRPr="00DD5DD9">
              <w:rPr>
                <w:rFonts w:ascii="Calibri" w:eastAsia="Calibri" w:hAnsi="Calibri" w:cs="Times New Roman"/>
                <w:sz w:val="20"/>
                <w:szCs w:val="20"/>
                <w:lang w:eastAsia="en-AU"/>
              </w:rPr>
              <w:t>reviewed papers evaluating the performance.</w:t>
            </w:r>
          </w:p>
        </w:tc>
        <w:tc>
          <w:tcPr>
            <w:tcW w:w="3402" w:type="dxa"/>
            <w:tcBorders>
              <w:top w:val="single" w:sz="4" w:space="0" w:color="auto"/>
              <w:left w:val="single" w:sz="4" w:space="0" w:color="auto"/>
            </w:tcBorders>
          </w:tcPr>
          <w:p w14:paraId="0CA28184" w14:textId="05CC4229" w:rsidR="008972E8" w:rsidRPr="00C229FD" w:rsidRDefault="008972E8" w:rsidP="00897C45">
            <w:pPr>
              <w:numPr>
                <w:ilvl w:val="0"/>
                <w:numId w:val="17"/>
              </w:numPr>
              <w:spacing w:after="200" w:line="276" w:lineRule="auto"/>
              <w:ind w:left="321" w:hanging="32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Must be </w:t>
            </w:r>
            <w:r w:rsidR="00737139" w:rsidRPr="00DD5DD9">
              <w:rPr>
                <w:rFonts w:ascii="Calibri" w:eastAsia="Calibri" w:hAnsi="Calibri" w:cs="Times New Roman"/>
                <w:sz w:val="20"/>
                <w:szCs w:val="20"/>
                <w:lang w:eastAsia="en-AU"/>
              </w:rPr>
              <w:t>done</w:t>
            </w:r>
            <w:r w:rsidRPr="00DD5DD9">
              <w:rPr>
                <w:rFonts w:ascii="Calibri" w:eastAsia="Calibri" w:hAnsi="Calibri" w:cs="Times New Roman"/>
                <w:sz w:val="20"/>
                <w:szCs w:val="20"/>
                <w:lang w:eastAsia="en-AU"/>
              </w:rPr>
              <w:t xml:space="preserve"> in a NATA/RCPA accredited laboratory by a medical scientists or pathologists.</w:t>
            </w:r>
          </w:p>
          <w:p w14:paraId="514F4ED6" w14:textId="77777777" w:rsidR="008972E8" w:rsidRPr="00C229FD" w:rsidRDefault="008972E8" w:rsidP="00897C45">
            <w:pPr>
              <w:numPr>
                <w:ilvl w:val="0"/>
                <w:numId w:val="17"/>
              </w:numPr>
              <w:spacing w:after="200" w:line="276" w:lineRule="auto"/>
              <w:ind w:left="321" w:hanging="32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Requires specialist platforms.</w:t>
            </w:r>
          </w:p>
        </w:tc>
        <w:tc>
          <w:tcPr>
            <w:tcW w:w="2998" w:type="dxa"/>
            <w:tcBorders>
              <w:top w:val="single" w:sz="4" w:space="0" w:color="auto"/>
              <w:left w:val="single" w:sz="4" w:space="0" w:color="auto"/>
            </w:tcBorders>
          </w:tcPr>
          <w:p w14:paraId="6A90562F" w14:textId="77777777" w:rsidR="008972E8" w:rsidRPr="00C229FD" w:rsidRDefault="008972E8" w:rsidP="00897C45">
            <w:pPr>
              <w:numPr>
                <w:ilvl w:val="0"/>
                <w:numId w:val="17"/>
              </w:numPr>
              <w:spacing w:after="200" w:line="276" w:lineRule="auto"/>
              <w:ind w:left="319" w:hanging="177"/>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Several assays are available on the ARTG.</w:t>
            </w:r>
          </w:p>
        </w:tc>
      </w:tr>
    </w:tbl>
    <w:p w14:paraId="277F609E" w14:textId="77777777" w:rsidR="007D0B85" w:rsidRPr="00DD5DD9" w:rsidRDefault="007D0B85"/>
    <w:p w14:paraId="4E51CBCB" w14:textId="0F98C90A" w:rsidR="008972E8" w:rsidRPr="00DD5DD9" w:rsidRDefault="008972E8" w:rsidP="00862FF4">
      <w:pPr>
        <w:rPr>
          <w:b/>
          <w:bCs/>
          <w:i/>
          <w:iCs/>
          <w:sz w:val="28"/>
          <w:szCs w:val="28"/>
        </w:rPr>
      </w:pPr>
      <w:r w:rsidRPr="00DD5DD9">
        <w:rPr>
          <w:b/>
          <w:bCs/>
          <w:i/>
          <w:iCs/>
          <w:sz w:val="28"/>
          <w:szCs w:val="28"/>
        </w:rPr>
        <w:t>POC Serology</w:t>
      </w:r>
      <w:r w:rsidR="00457F79" w:rsidRPr="00DD5DD9">
        <w:rPr>
          <w:b/>
          <w:bCs/>
          <w:i/>
          <w:iCs/>
          <w:sz w:val="28"/>
          <w:szCs w:val="28"/>
        </w:rPr>
        <w:t xml:space="preserve"> </w:t>
      </w:r>
    </w:p>
    <w:p w14:paraId="33041346" w14:textId="16F3B9CB"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Lateral flow serology devices are not recommended as first line tests for the diagnosis of acute infection. The performance of these tests is uncertain in the context of Australia’s broadly low prevalence setting. They are generally less sensitive than laboratory-based tests. </w:t>
      </w:r>
      <w:r w:rsidRPr="00C229FD">
        <w:rPr>
          <w:rFonts w:ascii="Calibri" w:eastAsia="Yu Mincho" w:hAnsi="Calibri" w:cs="Times New Roman"/>
        </w:rPr>
        <w:t>The PDI has so far evaluated 15</w:t>
      </w:r>
      <w:r w:rsidR="007D0B85" w:rsidRPr="00C229FD">
        <w:rPr>
          <w:rFonts w:ascii="Calibri" w:eastAsia="Yu Mincho" w:hAnsi="Calibri" w:cs="Times New Roman"/>
        </w:rPr>
        <w:t xml:space="preserve"> </w:t>
      </w:r>
      <w:r w:rsidRPr="00C229FD">
        <w:rPr>
          <w:rFonts w:ascii="Calibri" w:eastAsia="Yu Mincho" w:hAnsi="Calibri" w:cs="Times New Roman"/>
        </w:rPr>
        <w:t xml:space="preserve">serology-based point of care tests. </w:t>
      </w:r>
      <w:r w:rsidRPr="00DD5DD9">
        <w:rPr>
          <w:rFonts w:ascii="Calibri" w:eastAsia="Yu Mincho" w:hAnsi="Calibri" w:cs="Times New Roman"/>
        </w:rPr>
        <w:t xml:space="preserve">Please refer to most recent results on the </w:t>
      </w:r>
      <w:hyperlink r:id="rId41" w:history="1">
        <w:r w:rsidRPr="00DD5DD9">
          <w:rPr>
            <w:rFonts w:ascii="Calibri" w:eastAsia="Yu Mincho" w:hAnsi="Calibri" w:cs="Times New Roman"/>
            <w:color w:val="0000FF"/>
            <w:u w:val="single"/>
          </w:rPr>
          <w:t>TGA website</w:t>
        </w:r>
      </w:hyperlink>
      <w:r w:rsidRPr="00DD5DD9">
        <w:rPr>
          <w:rFonts w:ascii="Calibri" w:eastAsia="Yu Mincho" w:hAnsi="Calibri" w:cs="Times New Roman"/>
        </w:rPr>
        <w:t>.</w:t>
      </w:r>
    </w:p>
    <w:tbl>
      <w:tblPr>
        <w:tblStyle w:val="TableGrid2"/>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402"/>
        <w:gridCol w:w="3260"/>
      </w:tblGrid>
      <w:tr w:rsidR="00E50E39" w:rsidRPr="00DD5DD9" w14:paraId="65594B7B" w14:textId="77777777" w:rsidTr="00897C45">
        <w:trPr>
          <w:trHeight w:val="266"/>
        </w:trPr>
        <w:tc>
          <w:tcPr>
            <w:tcW w:w="3124" w:type="dxa"/>
            <w:tcBorders>
              <w:bottom w:val="single" w:sz="4" w:space="0" w:color="auto"/>
            </w:tcBorders>
          </w:tcPr>
          <w:p w14:paraId="3E6426D1"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402" w:type="dxa"/>
            <w:tcBorders>
              <w:left w:val="single" w:sz="4" w:space="0" w:color="auto"/>
              <w:bottom w:val="single" w:sz="4" w:space="0" w:color="auto"/>
            </w:tcBorders>
          </w:tcPr>
          <w:p w14:paraId="2331F738"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3260" w:type="dxa"/>
            <w:tcBorders>
              <w:left w:val="single" w:sz="4" w:space="0" w:color="auto"/>
              <w:bottom w:val="single" w:sz="4" w:space="0" w:color="auto"/>
            </w:tcBorders>
          </w:tcPr>
          <w:p w14:paraId="4EE5EA45"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77082F18" w14:textId="77777777" w:rsidTr="00897C45">
        <w:trPr>
          <w:trHeight w:val="910"/>
        </w:trPr>
        <w:tc>
          <w:tcPr>
            <w:tcW w:w="3124" w:type="dxa"/>
            <w:tcBorders>
              <w:top w:val="single" w:sz="4" w:space="0" w:color="auto"/>
            </w:tcBorders>
          </w:tcPr>
          <w:p w14:paraId="2DB19589" w14:textId="77777777" w:rsidR="008972E8" w:rsidRPr="00C229FD" w:rsidRDefault="008972E8" w:rsidP="00897C45">
            <w:pPr>
              <w:numPr>
                <w:ilvl w:val="0"/>
                <w:numId w:val="17"/>
              </w:numPr>
              <w:spacing w:after="200" w:line="276" w:lineRule="auto"/>
              <w:ind w:left="328" w:hanging="284"/>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TGA post-market evaluation is available online. </w:t>
            </w:r>
          </w:p>
        </w:tc>
        <w:tc>
          <w:tcPr>
            <w:tcW w:w="3402" w:type="dxa"/>
            <w:tcBorders>
              <w:top w:val="single" w:sz="4" w:space="0" w:color="auto"/>
              <w:left w:val="single" w:sz="4" w:space="0" w:color="auto"/>
            </w:tcBorders>
          </w:tcPr>
          <w:p w14:paraId="10C2792C" w14:textId="77777777" w:rsidR="008972E8" w:rsidRPr="00C229FD" w:rsidRDefault="008972E8" w:rsidP="00897C45">
            <w:pPr>
              <w:numPr>
                <w:ilvl w:val="0"/>
                <w:numId w:val="17"/>
              </w:numPr>
              <w:spacing w:after="200" w:line="276" w:lineRule="auto"/>
              <w:ind w:left="321" w:hanging="283"/>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Can be used at POC.</w:t>
            </w:r>
          </w:p>
        </w:tc>
        <w:tc>
          <w:tcPr>
            <w:tcW w:w="3260" w:type="dxa"/>
            <w:tcBorders>
              <w:top w:val="single" w:sz="4" w:space="0" w:color="auto"/>
              <w:left w:val="single" w:sz="4" w:space="0" w:color="auto"/>
            </w:tcBorders>
          </w:tcPr>
          <w:p w14:paraId="0FAF3CA4" w14:textId="251E3180" w:rsidR="008972E8" w:rsidRPr="00C229FD" w:rsidRDefault="008972E8" w:rsidP="00897C45">
            <w:pPr>
              <w:numPr>
                <w:ilvl w:val="0"/>
                <w:numId w:val="17"/>
              </w:numPr>
              <w:spacing w:after="200" w:line="276" w:lineRule="auto"/>
              <w:ind w:left="46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TGA </w:t>
            </w:r>
            <w:r w:rsidR="00F254DC" w:rsidRPr="00DD5DD9">
              <w:rPr>
                <w:rFonts w:ascii="Calibri" w:eastAsia="Calibri" w:hAnsi="Calibri" w:cs="Times New Roman"/>
                <w:sz w:val="20"/>
                <w:szCs w:val="20"/>
                <w:lang w:eastAsia="en-AU"/>
              </w:rPr>
              <w:t>sets conditions for supply and use.</w:t>
            </w:r>
          </w:p>
          <w:p w14:paraId="50B62722" w14:textId="77777777" w:rsidR="008972E8" w:rsidRPr="00C229FD" w:rsidRDefault="008972E8" w:rsidP="00897C45">
            <w:pPr>
              <w:numPr>
                <w:ilvl w:val="0"/>
                <w:numId w:val="17"/>
              </w:numPr>
              <w:spacing w:after="200" w:line="276" w:lineRule="auto"/>
              <w:ind w:left="46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Prohibition on use in several jurisdictions. </w:t>
            </w:r>
          </w:p>
        </w:tc>
      </w:tr>
    </w:tbl>
    <w:p w14:paraId="0E2AF926" w14:textId="77777777" w:rsidR="007D0B85" w:rsidRPr="00DD5DD9" w:rsidRDefault="007D0B85"/>
    <w:p w14:paraId="1003B391" w14:textId="5CAA5926" w:rsidR="008972E8" w:rsidRPr="00DD5DD9" w:rsidRDefault="008972E8" w:rsidP="00862FF4">
      <w:pPr>
        <w:rPr>
          <w:b/>
          <w:bCs/>
          <w:sz w:val="28"/>
          <w:szCs w:val="28"/>
        </w:rPr>
      </w:pPr>
      <w:r w:rsidRPr="00DD5DD9">
        <w:rPr>
          <w:b/>
          <w:bCs/>
          <w:sz w:val="28"/>
          <w:szCs w:val="28"/>
        </w:rPr>
        <w:t>1.4 Genomics</w:t>
      </w:r>
    </w:p>
    <w:p w14:paraId="790C8149" w14:textId="343B3C8E"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Whole genome sequencing (WGS) can be used to reveal the genetic makeup of the virus and detect mutation patterns from different samples. </w:t>
      </w:r>
      <w:r w:rsidR="00B37099" w:rsidRPr="00DD5DD9">
        <w:rPr>
          <w:rFonts w:ascii="Calibri" w:eastAsia="Yu Mincho" w:hAnsi="Calibri" w:cs="Times New Roman"/>
        </w:rPr>
        <w:t>S</w:t>
      </w:r>
      <w:r w:rsidRPr="00DD5DD9">
        <w:rPr>
          <w:rFonts w:ascii="Calibri" w:eastAsia="Yu Mincho" w:hAnsi="Calibri" w:cs="Times New Roman"/>
        </w:rPr>
        <w:t>cientists can use this information to distinguish mutations occurring between and in individuals. By tracking these mutations, viral genomics enables precise and powerful infectious disease surveillance.</w:t>
      </w:r>
      <w:r w:rsidR="00F254DC" w:rsidRPr="00DD5DD9">
        <w:rPr>
          <w:rFonts w:ascii="Calibri" w:eastAsia="Yu Mincho" w:hAnsi="Calibri" w:cs="Times New Roman"/>
        </w:rPr>
        <w:t xml:space="preserve"> It is especially critical for the detection of existing and emerging SARS-CoV-2 variants of concern, such as Alpha, Delta, Beta</w:t>
      </w:r>
      <w:r w:rsidR="007D0B85" w:rsidRPr="00DD5DD9">
        <w:rPr>
          <w:rFonts w:ascii="Calibri" w:eastAsia="Yu Mincho" w:hAnsi="Calibri" w:cs="Times New Roman"/>
        </w:rPr>
        <w:t xml:space="preserve"> and Omicron.</w:t>
      </w:r>
    </w:p>
    <w:p w14:paraId="6FC8D5E3" w14:textId="5F8ED226" w:rsidR="008972E8" w:rsidRPr="00DD5DD9" w:rsidRDefault="008972E8" w:rsidP="008972E8">
      <w:pPr>
        <w:rPr>
          <w:rFonts w:ascii="Calibri" w:eastAsia="Yu Mincho" w:hAnsi="Calibri" w:cs="Times New Roman"/>
        </w:rPr>
      </w:pPr>
      <w:r w:rsidRPr="00DD5DD9">
        <w:rPr>
          <w:rFonts w:ascii="Calibri" w:eastAsia="Yu Mincho" w:hAnsi="Calibri" w:cs="Times New Roman"/>
        </w:rPr>
        <w:lastRenderedPageBreak/>
        <w:t xml:space="preserve">By comparing SARS-CoV-2 genomes sequenced from multiple COVID-19 cases, clusters of COVID-19 and transmission of SARS-CoV-2 can be identified. The likely source of infection and routes of transmission can be monitored by the emergence of genetic variants over time and throughout communities. </w:t>
      </w:r>
      <w:r w:rsidR="007D0B85" w:rsidRPr="00DD5DD9">
        <w:rPr>
          <w:rFonts w:ascii="Calibri" w:eastAsia="Yu Mincho" w:hAnsi="Calibri" w:cs="Times New Roman"/>
        </w:rPr>
        <w:t>WGS</w:t>
      </w:r>
      <w:r w:rsidRPr="00DD5DD9">
        <w:rPr>
          <w:rFonts w:ascii="Calibri" w:eastAsia="Yu Mincho" w:hAnsi="Calibri" w:cs="Times New Roman"/>
        </w:rPr>
        <w:t xml:space="preserve"> can indicate whether the infection was acquired overseas, or locally from a known or unknown contact. It is also helpful for investigating possible re-infections.</w:t>
      </w:r>
    </w:p>
    <w:p w14:paraId="06C255C9" w14:textId="66FE1805" w:rsidR="008972E8" w:rsidRPr="00DD5DD9" w:rsidRDefault="008972E8" w:rsidP="008972E8">
      <w:pPr>
        <w:rPr>
          <w:rFonts w:ascii="Calibri" w:eastAsia="Yu Mincho" w:hAnsi="Calibri" w:cs="Times New Roman"/>
          <w:i/>
        </w:rPr>
      </w:pPr>
      <w:r w:rsidRPr="00DD5DD9">
        <w:rPr>
          <w:rFonts w:ascii="Calibri" w:eastAsia="Yu Mincho" w:hAnsi="Calibri" w:cs="Times New Roman"/>
        </w:rPr>
        <w:t xml:space="preserve">Increasingly, SARS-CoV-2 genomic sequencing is used to enhance surveillance and outbreak investigations across Australia. Currently, </w:t>
      </w:r>
      <w:r w:rsidR="00F254DC" w:rsidRPr="00DD5DD9">
        <w:rPr>
          <w:rFonts w:ascii="Calibri" w:eastAsia="Yu Mincho" w:hAnsi="Calibri" w:cs="Times New Roman"/>
        </w:rPr>
        <w:t xml:space="preserve">most </w:t>
      </w:r>
      <w:r w:rsidRPr="00DD5DD9">
        <w:rPr>
          <w:rFonts w:ascii="Calibri" w:eastAsia="Yu Mincho" w:hAnsi="Calibri" w:cs="Times New Roman"/>
        </w:rPr>
        <w:t>states and territories have the capability to conduct WGS, and support is provided to th</w:t>
      </w:r>
      <w:r w:rsidR="00F254DC" w:rsidRPr="00DD5DD9">
        <w:rPr>
          <w:rFonts w:ascii="Calibri" w:eastAsia="Yu Mincho" w:hAnsi="Calibri" w:cs="Times New Roman"/>
        </w:rPr>
        <w:t>ose developing it</w:t>
      </w:r>
      <w:r w:rsidRPr="00DD5DD9">
        <w:rPr>
          <w:rFonts w:ascii="Calibri" w:eastAsia="Yu Mincho" w:hAnsi="Calibri" w:cs="Times New Roman"/>
        </w:rPr>
        <w:t xml:space="preserve">. </w:t>
      </w:r>
      <w:r w:rsidR="00D522B0" w:rsidRPr="00DD5DD9">
        <w:rPr>
          <w:rFonts w:ascii="Calibri" w:eastAsia="Yu Mincho" w:hAnsi="Calibri" w:cs="Times New Roman"/>
        </w:rPr>
        <w:t>In Phase A, B and C of the National Plan, an</w:t>
      </w:r>
      <w:r w:rsidR="00F254DC" w:rsidRPr="00DD5DD9">
        <w:rPr>
          <w:rFonts w:ascii="Calibri" w:eastAsia="Yu Mincho" w:hAnsi="Calibri" w:cs="Times New Roman"/>
        </w:rPr>
        <w:t xml:space="preserve"> attempt to</w:t>
      </w:r>
      <w:r w:rsidRPr="00DD5DD9">
        <w:rPr>
          <w:rFonts w:ascii="Calibri" w:eastAsia="Yu Mincho" w:hAnsi="Calibri" w:cs="Times New Roman"/>
        </w:rPr>
        <w:t xml:space="preserve"> sequence </w:t>
      </w:r>
      <w:r w:rsidR="00F254DC" w:rsidRPr="00DD5DD9">
        <w:rPr>
          <w:rFonts w:ascii="Calibri" w:eastAsia="Yu Mincho" w:hAnsi="Calibri" w:cs="Times New Roman"/>
        </w:rPr>
        <w:t xml:space="preserve">every </w:t>
      </w:r>
      <w:r w:rsidRPr="00DD5DD9">
        <w:rPr>
          <w:rFonts w:ascii="Calibri" w:eastAsia="Yu Mincho" w:hAnsi="Calibri" w:cs="Times New Roman"/>
        </w:rPr>
        <w:t>positive case</w:t>
      </w:r>
      <w:r w:rsidR="00D522B0" w:rsidRPr="00DD5DD9">
        <w:rPr>
          <w:rFonts w:ascii="Calibri" w:eastAsia="Yu Mincho" w:hAnsi="Calibri" w:cs="Times New Roman"/>
        </w:rPr>
        <w:t xml:space="preserve"> was preferred</w:t>
      </w:r>
      <w:r w:rsidRPr="00DD5DD9">
        <w:rPr>
          <w:rFonts w:ascii="Calibri" w:eastAsia="Yu Mincho" w:hAnsi="Calibri" w:cs="Times New Roman"/>
        </w:rPr>
        <w:t>. However, in times of high caseload sequencing</w:t>
      </w:r>
      <w:r w:rsidR="00D522B0" w:rsidRPr="00DD5DD9">
        <w:rPr>
          <w:rFonts w:ascii="Calibri" w:eastAsia="Yu Mincho" w:hAnsi="Calibri" w:cs="Times New Roman"/>
        </w:rPr>
        <w:t xml:space="preserve">, samples were </w:t>
      </w:r>
      <w:r w:rsidRPr="00DD5DD9">
        <w:rPr>
          <w:rFonts w:ascii="Calibri" w:eastAsia="Yu Mincho" w:hAnsi="Calibri" w:cs="Times New Roman"/>
        </w:rPr>
        <w:t>prioritised</w:t>
      </w:r>
      <w:r w:rsidR="00D522B0" w:rsidRPr="00DD5DD9">
        <w:rPr>
          <w:rFonts w:ascii="Calibri" w:eastAsia="Yu Mincho" w:hAnsi="Calibri" w:cs="Times New Roman"/>
        </w:rPr>
        <w:t xml:space="preserve"> based on jurisdictional priorities</w:t>
      </w:r>
      <w:r w:rsidRPr="00DD5DD9">
        <w:rPr>
          <w:rFonts w:ascii="Calibri" w:eastAsia="Yu Mincho" w:hAnsi="Calibri" w:cs="Times New Roman"/>
        </w:rPr>
        <w:t xml:space="preserve">. In some cases, not enough virus is present in the sample to permit high quality sequencing to be undertaken. The PHLN has published advice on conducting WGS in the </w:t>
      </w:r>
      <w:bookmarkStart w:id="205" w:name="_Hlk85609601"/>
      <w:r w:rsidR="00D00E3A" w:rsidRPr="00DD5DD9">
        <w:fldChar w:fldCharType="begin"/>
      </w:r>
      <w:r w:rsidR="00D00E3A" w:rsidRPr="00DD5DD9">
        <w:instrText xml:space="preserve"> HYPERLINK "https://www.health.gov.au/resources/publications/phln-guidance-on-laboratory-testing-for-sars-cov-2-the-virus-that-causes-covid-19" </w:instrText>
      </w:r>
      <w:r w:rsidR="00D00E3A" w:rsidRPr="00DD5DD9">
        <w:fldChar w:fldCharType="separate"/>
      </w:r>
      <w:r w:rsidRPr="00DD5DD9">
        <w:rPr>
          <w:rStyle w:val="Hyperlink"/>
          <w:rFonts w:ascii="Calibri" w:eastAsia="Yu Mincho" w:hAnsi="Calibri" w:cs="Times New Roman"/>
          <w:i/>
        </w:rPr>
        <w:t>PHLN Guidance on laboratory testing for SARS-CoV-2</w:t>
      </w:r>
      <w:r w:rsidR="00D00E3A" w:rsidRPr="00DD5DD9">
        <w:rPr>
          <w:rStyle w:val="Hyperlink"/>
          <w:rFonts w:ascii="Calibri" w:eastAsia="Yu Mincho" w:hAnsi="Calibri" w:cs="Times New Roman"/>
          <w:i/>
        </w:rPr>
        <w:fldChar w:fldCharType="end"/>
      </w:r>
      <w:r w:rsidRPr="00DD5DD9">
        <w:rPr>
          <w:rFonts w:ascii="Calibri" w:eastAsia="Yu Mincho" w:hAnsi="Calibri" w:cs="Times New Roman"/>
          <w:i/>
        </w:rPr>
        <w:t xml:space="preserve">. </w:t>
      </w:r>
      <w:bookmarkEnd w:id="205"/>
    </w:p>
    <w:p w14:paraId="5765DA38" w14:textId="698789D3" w:rsidR="009E07C4" w:rsidRPr="00DD5DD9" w:rsidRDefault="00D522B0" w:rsidP="00757723">
      <w:pPr>
        <w:rPr>
          <w:rFonts w:ascii="Calibri" w:eastAsia="Yu Mincho" w:hAnsi="Calibri" w:cs="Times New Roman"/>
          <w:iCs/>
        </w:rPr>
      </w:pPr>
      <w:r w:rsidRPr="00DD5DD9">
        <w:rPr>
          <w:rFonts w:ascii="Calibri" w:eastAsia="Yu Mincho" w:hAnsi="Calibri" w:cs="Times New Roman"/>
          <w:iCs/>
        </w:rPr>
        <w:t>To support the National Plan, and as we move into a post-vaccinated society, t</w:t>
      </w:r>
      <w:r w:rsidR="00757723" w:rsidRPr="00DD5DD9">
        <w:rPr>
          <w:rFonts w:ascii="Calibri" w:eastAsia="Yu Mincho" w:hAnsi="Calibri" w:cs="Times New Roman"/>
          <w:iCs/>
        </w:rPr>
        <w:t xml:space="preserve">he CDGN has developed the </w:t>
      </w:r>
      <w:hyperlink r:id="rId42" w:history="1">
        <w:r w:rsidR="00757723" w:rsidRPr="00DD5DD9">
          <w:rPr>
            <w:rStyle w:val="Hyperlink"/>
            <w:rFonts w:ascii="Calibri" w:eastAsia="Yu Mincho" w:hAnsi="Calibri" w:cs="Times New Roman"/>
            <w:i/>
          </w:rPr>
          <w:t>Sampling strategy for SARS-CoV-2 genomic surveillance</w:t>
        </w:r>
      </w:hyperlink>
      <w:r w:rsidR="00757723" w:rsidRPr="00DD5DD9">
        <w:rPr>
          <w:rFonts w:ascii="Calibri" w:eastAsia="Yu Mincho" w:hAnsi="Calibri" w:cs="Times New Roman"/>
          <w:iCs/>
        </w:rPr>
        <w:t xml:space="preserve"> (the Strategy). The Strategy outlines an approach for genomic surveillance from comprehensive sequencing to selective and targeted sequencing, balancing the utility and cost of real-time SARS-CoV-2 genomic surveillance in the environment of the rapid spread of a dominant strain of the virus, and ability of the genomic data to show variations within</w:t>
      </w:r>
      <w:r w:rsidR="00B84D87" w:rsidRPr="00DD5DD9">
        <w:rPr>
          <w:rFonts w:ascii="Calibri" w:eastAsia="Yu Mincho" w:hAnsi="Calibri" w:cs="Times New Roman"/>
          <w:iCs/>
        </w:rPr>
        <w:t xml:space="preserve"> </w:t>
      </w:r>
      <w:r w:rsidR="00757723" w:rsidRPr="00DD5DD9">
        <w:rPr>
          <w:rFonts w:ascii="Calibri" w:eastAsia="Yu Mincho" w:hAnsi="Calibri" w:cs="Times New Roman"/>
          <w:iCs/>
        </w:rPr>
        <w:t>clusters given the relative stability of the SARS-CoV-2 genome.</w:t>
      </w:r>
    </w:p>
    <w:tbl>
      <w:tblPr>
        <w:tblStyle w:val="TableGrid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60"/>
        <w:gridCol w:w="3113"/>
      </w:tblGrid>
      <w:tr w:rsidR="00E50E39" w:rsidRPr="00DD5DD9" w14:paraId="74EB1247" w14:textId="77777777" w:rsidTr="00897C45">
        <w:trPr>
          <w:trHeight w:val="135"/>
        </w:trPr>
        <w:tc>
          <w:tcPr>
            <w:tcW w:w="3266" w:type="dxa"/>
            <w:tcBorders>
              <w:bottom w:val="single" w:sz="4" w:space="0" w:color="auto"/>
            </w:tcBorders>
          </w:tcPr>
          <w:p w14:paraId="6861BE48"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Evidence for use</w:t>
            </w:r>
          </w:p>
        </w:tc>
        <w:tc>
          <w:tcPr>
            <w:tcW w:w="3260" w:type="dxa"/>
            <w:tcBorders>
              <w:left w:val="single" w:sz="4" w:space="0" w:color="auto"/>
              <w:bottom w:val="single" w:sz="4" w:space="0" w:color="auto"/>
            </w:tcBorders>
          </w:tcPr>
          <w:p w14:paraId="08CDCE30"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Accessibility</w:t>
            </w:r>
          </w:p>
        </w:tc>
        <w:tc>
          <w:tcPr>
            <w:tcW w:w="3113" w:type="dxa"/>
            <w:tcBorders>
              <w:left w:val="single" w:sz="4" w:space="0" w:color="auto"/>
              <w:bottom w:val="single" w:sz="4" w:space="0" w:color="auto"/>
            </w:tcBorders>
          </w:tcPr>
          <w:p w14:paraId="5A6BCED8" w14:textId="77777777" w:rsidR="008972E8" w:rsidRPr="00C229FD" w:rsidRDefault="008972E8" w:rsidP="00897C45">
            <w:pPr>
              <w:spacing w:after="0"/>
              <w:jc w:val="center"/>
              <w:rPr>
                <w:rFonts w:ascii="Calibri" w:hAnsi="Calibri" w:cs="Times New Roman"/>
                <w:b/>
                <w:lang w:val="en-AU"/>
              </w:rPr>
            </w:pPr>
            <w:r w:rsidRPr="00DD5DD9">
              <w:rPr>
                <w:rFonts w:ascii="Calibri" w:hAnsi="Calibri" w:cs="Times New Roman"/>
                <w:b/>
              </w:rPr>
              <w:t>Availability</w:t>
            </w:r>
          </w:p>
        </w:tc>
      </w:tr>
      <w:tr w:rsidR="00E50E39" w:rsidRPr="00DD5DD9" w14:paraId="7AB14D75" w14:textId="77777777" w:rsidTr="00897C45">
        <w:trPr>
          <w:trHeight w:val="910"/>
        </w:trPr>
        <w:tc>
          <w:tcPr>
            <w:tcW w:w="3266" w:type="dxa"/>
            <w:tcBorders>
              <w:top w:val="single" w:sz="4" w:space="0" w:color="auto"/>
            </w:tcBorders>
          </w:tcPr>
          <w:p w14:paraId="79291783" w14:textId="77777777" w:rsidR="008972E8" w:rsidRPr="00C229FD" w:rsidRDefault="008972E8" w:rsidP="00897C45">
            <w:pPr>
              <w:numPr>
                <w:ilvl w:val="0"/>
                <w:numId w:val="17"/>
              </w:numPr>
              <w:spacing w:after="200" w:line="276" w:lineRule="auto"/>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International peer reviewed studies. </w:t>
            </w:r>
          </w:p>
          <w:p w14:paraId="3878082F" w14:textId="1B7F2C3B" w:rsidR="008972E8" w:rsidRPr="00C229FD" w:rsidRDefault="008972E8" w:rsidP="00897C45">
            <w:pPr>
              <w:numPr>
                <w:ilvl w:val="0"/>
                <w:numId w:val="17"/>
              </w:numPr>
              <w:spacing w:after="200" w:line="276" w:lineRule="auto"/>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Evidence for use to assist in contact tracing.</w:t>
            </w:r>
          </w:p>
        </w:tc>
        <w:tc>
          <w:tcPr>
            <w:tcW w:w="3260" w:type="dxa"/>
            <w:tcBorders>
              <w:top w:val="single" w:sz="4" w:space="0" w:color="auto"/>
              <w:left w:val="single" w:sz="4" w:space="0" w:color="auto"/>
            </w:tcBorders>
          </w:tcPr>
          <w:p w14:paraId="6FDEB5D5" w14:textId="77777777" w:rsidR="008972E8" w:rsidRPr="00C229FD" w:rsidRDefault="008972E8" w:rsidP="00897C45">
            <w:pPr>
              <w:numPr>
                <w:ilvl w:val="0"/>
                <w:numId w:val="17"/>
              </w:numPr>
              <w:spacing w:after="200" w:line="276" w:lineRule="auto"/>
              <w:ind w:left="457"/>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Must be conducted in a </w:t>
            </w:r>
            <w:proofErr w:type="spellStart"/>
            <w:r w:rsidRPr="00DD5DD9">
              <w:rPr>
                <w:rFonts w:ascii="Calibri" w:eastAsia="Calibri" w:hAnsi="Calibri" w:cs="Times New Roman"/>
                <w:sz w:val="20"/>
                <w:szCs w:val="20"/>
                <w:lang w:eastAsia="en-AU"/>
              </w:rPr>
              <w:t>specialised</w:t>
            </w:r>
            <w:proofErr w:type="spellEnd"/>
            <w:r w:rsidRPr="00DD5DD9">
              <w:rPr>
                <w:rFonts w:ascii="Calibri" w:eastAsia="Calibri" w:hAnsi="Calibri" w:cs="Times New Roman"/>
                <w:sz w:val="20"/>
                <w:szCs w:val="20"/>
                <w:lang w:eastAsia="en-AU"/>
              </w:rPr>
              <w:t xml:space="preserve"> laboratory.</w:t>
            </w:r>
          </w:p>
          <w:p w14:paraId="4DF2A683" w14:textId="69EC46B5" w:rsidR="008972E8" w:rsidRPr="00C229FD" w:rsidRDefault="00A9221B" w:rsidP="00897C45">
            <w:pPr>
              <w:numPr>
                <w:ilvl w:val="0"/>
                <w:numId w:val="17"/>
              </w:numPr>
              <w:spacing w:after="200" w:line="276" w:lineRule="auto"/>
              <w:ind w:left="457"/>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TAT</w:t>
            </w:r>
            <w:r w:rsidR="008972E8" w:rsidRPr="00DD5DD9">
              <w:rPr>
                <w:rFonts w:ascii="Calibri" w:eastAsia="Calibri" w:hAnsi="Calibri" w:cs="Times New Roman"/>
                <w:sz w:val="20"/>
                <w:szCs w:val="20"/>
                <w:lang w:eastAsia="en-AU"/>
              </w:rPr>
              <w:t xml:space="preserve"> between 2-5 days.</w:t>
            </w:r>
            <w:r w:rsidR="00412552" w:rsidRPr="00DD5DD9">
              <w:rPr>
                <w:rFonts w:ascii="Calibri" w:eastAsia="Calibri" w:hAnsi="Calibri" w:cs="Times New Roman"/>
                <w:sz w:val="20"/>
                <w:szCs w:val="20"/>
                <w:lang w:eastAsia="en-AU"/>
              </w:rPr>
              <w:t xml:space="preserve"> Some jurisdictions have additional capability for rapid turn-around of urgent sequencing requests.</w:t>
            </w:r>
          </w:p>
        </w:tc>
        <w:tc>
          <w:tcPr>
            <w:tcW w:w="3113" w:type="dxa"/>
            <w:tcBorders>
              <w:top w:val="single" w:sz="4" w:space="0" w:color="auto"/>
              <w:left w:val="single" w:sz="4" w:space="0" w:color="auto"/>
            </w:tcBorders>
          </w:tcPr>
          <w:p w14:paraId="70EACC6C" w14:textId="23488791" w:rsidR="008972E8" w:rsidRPr="00C229FD" w:rsidRDefault="008972E8" w:rsidP="00897C45">
            <w:pPr>
              <w:numPr>
                <w:ilvl w:val="0"/>
                <w:numId w:val="17"/>
              </w:numPr>
              <w:spacing w:after="200" w:line="276" w:lineRule="auto"/>
              <w:ind w:left="461"/>
              <w:contextualSpacing/>
              <w:jc w:val="left"/>
              <w:rPr>
                <w:rFonts w:ascii="Calibri" w:eastAsia="Calibri" w:hAnsi="Calibri" w:cs="Times New Roman"/>
                <w:sz w:val="20"/>
                <w:szCs w:val="20"/>
                <w:lang w:val="en-AU" w:eastAsia="en-AU"/>
              </w:rPr>
            </w:pPr>
            <w:r w:rsidRPr="00DD5DD9">
              <w:rPr>
                <w:rFonts w:ascii="Calibri" w:eastAsia="Calibri" w:hAnsi="Calibri" w:cs="Times New Roman"/>
                <w:sz w:val="20"/>
                <w:szCs w:val="20"/>
                <w:lang w:eastAsia="en-AU"/>
              </w:rPr>
              <w:t xml:space="preserve">Available in </w:t>
            </w:r>
            <w:r w:rsidR="00F254DC" w:rsidRPr="00DD5DD9">
              <w:rPr>
                <w:rFonts w:ascii="Calibri" w:eastAsia="Calibri" w:hAnsi="Calibri" w:cs="Times New Roman"/>
                <w:sz w:val="20"/>
                <w:szCs w:val="20"/>
                <w:lang w:eastAsia="en-AU"/>
              </w:rPr>
              <w:t xml:space="preserve">most </w:t>
            </w:r>
            <w:r w:rsidRPr="00DD5DD9">
              <w:rPr>
                <w:rFonts w:ascii="Calibri" w:eastAsia="Calibri" w:hAnsi="Calibri" w:cs="Times New Roman"/>
                <w:sz w:val="20"/>
                <w:szCs w:val="20"/>
                <w:lang w:eastAsia="en-AU"/>
              </w:rPr>
              <w:t xml:space="preserve">states and territories, with sequencing support provided </w:t>
            </w:r>
            <w:r w:rsidR="00F254DC" w:rsidRPr="00DD5DD9">
              <w:rPr>
                <w:rFonts w:ascii="Calibri" w:eastAsia="Calibri" w:hAnsi="Calibri" w:cs="Times New Roman"/>
                <w:sz w:val="20"/>
                <w:szCs w:val="20"/>
                <w:lang w:eastAsia="en-AU"/>
              </w:rPr>
              <w:t>to those developing capability</w:t>
            </w:r>
            <w:r w:rsidRPr="00DD5DD9">
              <w:rPr>
                <w:rFonts w:ascii="Calibri" w:eastAsia="Calibri" w:hAnsi="Calibri" w:cs="Times New Roman"/>
                <w:sz w:val="20"/>
                <w:szCs w:val="20"/>
                <w:lang w:eastAsia="en-AU"/>
              </w:rPr>
              <w:t xml:space="preserve">. </w:t>
            </w:r>
          </w:p>
        </w:tc>
      </w:tr>
    </w:tbl>
    <w:p w14:paraId="7EF57604" w14:textId="77777777" w:rsidR="008972E8" w:rsidRPr="00DD5DD9" w:rsidRDefault="008972E8" w:rsidP="008972E8">
      <w:pPr>
        <w:rPr>
          <w:rFonts w:ascii="Calibri" w:eastAsia="Yu Mincho" w:hAnsi="Calibri" w:cs="Times New Roman"/>
        </w:rPr>
      </w:pPr>
    </w:p>
    <w:p w14:paraId="29BD62AD" w14:textId="49D4A321"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Recently, manufacturers have designed tests that combine NAAT diagnostic platforms for SARS-CoV-2 with WGS platforms. While these tests offer the possibility of analysing thousands of samples per day on a single platform, there is limited data on their performance </w:t>
      </w:r>
      <w:r w:rsidR="00B84D87" w:rsidRPr="00DD5DD9">
        <w:rPr>
          <w:rFonts w:ascii="Calibri" w:eastAsia="Yu Mincho" w:hAnsi="Calibri" w:cs="Times New Roman"/>
        </w:rPr>
        <w:t>currently</w:t>
      </w:r>
      <w:r w:rsidRPr="00DD5DD9">
        <w:rPr>
          <w:rFonts w:ascii="Calibri" w:eastAsia="Yu Mincho" w:hAnsi="Calibri" w:cs="Times New Roman"/>
        </w:rPr>
        <w:t>.</w:t>
      </w:r>
    </w:p>
    <w:p w14:paraId="7D83060C" w14:textId="77777777" w:rsidR="00954A79" w:rsidRPr="00DD5DD9" w:rsidRDefault="00954A79" w:rsidP="008972E8">
      <w:pPr>
        <w:rPr>
          <w:rFonts w:ascii="Calibri" w:eastAsia="Yu Mincho" w:hAnsi="Calibri" w:cs="Times New Roman"/>
        </w:rPr>
      </w:pPr>
    </w:p>
    <w:p w14:paraId="617F5DFD" w14:textId="77777777" w:rsidR="008972E8" w:rsidRPr="00DD5DD9" w:rsidRDefault="008972E8" w:rsidP="00862FF4">
      <w:pPr>
        <w:rPr>
          <w:b/>
          <w:bCs/>
          <w:sz w:val="28"/>
          <w:szCs w:val="28"/>
        </w:rPr>
      </w:pPr>
      <w:r w:rsidRPr="00DD5DD9">
        <w:rPr>
          <w:b/>
          <w:bCs/>
          <w:sz w:val="28"/>
          <w:szCs w:val="28"/>
        </w:rPr>
        <w:t>Conclusion</w:t>
      </w:r>
    </w:p>
    <w:p w14:paraId="6E459643" w14:textId="0FBF4F7A" w:rsidR="008972E8" w:rsidRPr="00DD5DD9" w:rsidRDefault="008972E8" w:rsidP="008972E8">
      <w:pPr>
        <w:rPr>
          <w:rFonts w:ascii="Calibri" w:eastAsia="Yu Mincho" w:hAnsi="Calibri" w:cs="Times New Roman"/>
        </w:rPr>
      </w:pPr>
      <w:r w:rsidRPr="00DD5DD9">
        <w:rPr>
          <w:rFonts w:ascii="Calibri" w:eastAsia="Yu Mincho" w:hAnsi="Calibri" w:cs="Times New Roman"/>
        </w:rPr>
        <w:t xml:space="preserve">As the COVID-19 pandemic evolves and more tests and testing methods become available, the Australian Government will continue to update this document. Noting the limited clinical evidence available for performance of some of the COVID-19 tests outlined in this document, the Australian Government advises that where available, these tests must be used </w:t>
      </w:r>
      <w:r w:rsidR="00737139" w:rsidRPr="00DD5DD9">
        <w:rPr>
          <w:rFonts w:ascii="Calibri" w:eastAsia="Yu Mincho" w:hAnsi="Calibri" w:cs="Times New Roman"/>
        </w:rPr>
        <w:t>according to</w:t>
      </w:r>
      <w:r w:rsidRPr="00DD5DD9">
        <w:rPr>
          <w:rFonts w:ascii="Calibri" w:eastAsia="Yu Mincho" w:hAnsi="Calibri" w:cs="Times New Roman"/>
        </w:rPr>
        <w:t xml:space="preserve"> the</w:t>
      </w:r>
      <w:r w:rsidR="00737139" w:rsidRPr="00DD5DD9">
        <w:rPr>
          <w:rFonts w:ascii="Calibri" w:eastAsia="Yu Mincho" w:hAnsi="Calibri" w:cs="Times New Roman"/>
        </w:rPr>
        <w:t>se</w:t>
      </w:r>
      <w:r w:rsidRPr="00DD5DD9">
        <w:rPr>
          <w:rFonts w:ascii="Calibri" w:eastAsia="Yu Mincho" w:hAnsi="Calibri" w:cs="Times New Roman"/>
        </w:rPr>
        <w:t xml:space="preserve"> requirements: </w:t>
      </w:r>
    </w:p>
    <w:p w14:paraId="7EA282FE" w14:textId="6FC93876" w:rsidR="008972E8" w:rsidRPr="00DD5DD9" w:rsidRDefault="008972E8" w:rsidP="008972E8">
      <w:pPr>
        <w:numPr>
          <w:ilvl w:val="0"/>
          <w:numId w:val="37"/>
        </w:numPr>
        <w:spacing w:after="20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All commercially supplied tests must be registered for use on the ARTG.</w:t>
      </w:r>
    </w:p>
    <w:p w14:paraId="3B8857D0" w14:textId="62BD1D1F" w:rsidR="008972E8" w:rsidRPr="00DD5DD9" w:rsidRDefault="001C7B21" w:rsidP="008972E8">
      <w:pPr>
        <w:numPr>
          <w:ilvl w:val="0"/>
          <w:numId w:val="37"/>
        </w:numPr>
        <w:spacing w:after="200" w:line="276" w:lineRule="auto"/>
        <w:contextualSpacing/>
        <w:jc w:val="left"/>
        <w:rPr>
          <w:rFonts w:ascii="Calibri" w:eastAsia="Calibri" w:hAnsi="Calibri" w:cs="Times New Roman"/>
          <w:lang w:eastAsia="en-AU"/>
        </w:rPr>
      </w:pPr>
      <w:r w:rsidRPr="00DD5DD9">
        <w:t>Follow</w:t>
      </w:r>
      <w:r w:rsidR="008972E8" w:rsidRPr="00DD5DD9">
        <w:t xml:space="preserve"> </w:t>
      </w:r>
      <w:hyperlink r:id="rId43" w:history="1">
        <w:r w:rsidR="008972E8" w:rsidRPr="00DD5DD9">
          <w:rPr>
            <w:rFonts w:ascii="Calibri" w:eastAsia="Calibri" w:hAnsi="Calibri" w:cs="Times New Roman"/>
            <w:i/>
            <w:iCs/>
            <w:color w:val="0000FF"/>
            <w:u w:val="single"/>
            <w:lang w:eastAsia="en-AU"/>
          </w:rPr>
          <w:t>NPAAC Guidelines for Point of Care Testing</w:t>
        </w:r>
      </w:hyperlink>
      <w:r w:rsidR="008972E8" w:rsidRPr="00DD5DD9">
        <w:rPr>
          <w:rFonts w:ascii="Calibri" w:eastAsia="Calibri" w:hAnsi="Calibri" w:cs="Times New Roman"/>
          <w:lang w:eastAsia="en-AU"/>
        </w:rPr>
        <w:t>.</w:t>
      </w:r>
    </w:p>
    <w:p w14:paraId="06A0F964" w14:textId="1A43E345" w:rsidR="00551127" w:rsidRPr="00DD5DD9" w:rsidRDefault="00551127" w:rsidP="008972E8">
      <w:pPr>
        <w:numPr>
          <w:ilvl w:val="0"/>
          <w:numId w:val="37"/>
        </w:numPr>
        <w:spacing w:after="200" w:line="276" w:lineRule="auto"/>
        <w:contextualSpacing/>
        <w:jc w:val="left"/>
        <w:rPr>
          <w:rFonts w:ascii="Calibri" w:eastAsia="Calibri" w:hAnsi="Calibri" w:cs="Times New Roman"/>
          <w:lang w:eastAsia="en-AU"/>
        </w:rPr>
      </w:pPr>
      <w:r w:rsidRPr="00DD5DD9">
        <w:rPr>
          <w:rFonts w:ascii="Calibri" w:eastAsia="Calibri" w:hAnsi="Calibri" w:cs="Times New Roman"/>
          <w:lang w:eastAsia="en-AU"/>
        </w:rPr>
        <w:t>Use of the</w:t>
      </w:r>
      <w:r w:rsidR="00347B39" w:rsidRPr="00DD5DD9">
        <w:rPr>
          <w:rFonts w:ascii="Calibri" w:eastAsia="Calibri" w:hAnsi="Calibri" w:cs="Times New Roman"/>
          <w:lang w:eastAsia="en-AU"/>
        </w:rPr>
        <w:t xml:space="preserve"> POC</w:t>
      </w:r>
      <w:r w:rsidRPr="00DD5DD9">
        <w:rPr>
          <w:rFonts w:ascii="Calibri" w:eastAsia="Calibri" w:hAnsi="Calibri" w:cs="Times New Roman"/>
          <w:lang w:eastAsia="en-AU"/>
        </w:rPr>
        <w:t xml:space="preserve"> test</w:t>
      </w:r>
      <w:r w:rsidR="00347B39" w:rsidRPr="00DD5DD9">
        <w:rPr>
          <w:rFonts w:ascii="Calibri" w:eastAsia="Calibri" w:hAnsi="Calibri" w:cs="Times New Roman"/>
          <w:lang w:eastAsia="en-AU"/>
        </w:rPr>
        <w:t>s</w:t>
      </w:r>
      <w:r w:rsidRPr="00DD5DD9">
        <w:rPr>
          <w:rFonts w:ascii="Calibri" w:eastAsia="Calibri" w:hAnsi="Calibri" w:cs="Times New Roman"/>
          <w:lang w:eastAsia="en-AU"/>
        </w:rPr>
        <w:t xml:space="preserve"> must be in strict accordance with the manufacturer’s instructions for use. Using the test outside the manufacturer’s instructions may compromise the intended testing strategy and breach TGA regulations in relation to supply and use of these tests. </w:t>
      </w:r>
    </w:p>
    <w:p w14:paraId="4137675B" w14:textId="1950F8E6" w:rsidR="005244D4" w:rsidRPr="00DD5DD9" w:rsidRDefault="008972E8">
      <w:pPr>
        <w:numPr>
          <w:ilvl w:val="0"/>
          <w:numId w:val="37"/>
        </w:numPr>
        <w:spacing w:after="200" w:line="276" w:lineRule="auto"/>
        <w:contextualSpacing/>
        <w:jc w:val="left"/>
        <w:rPr>
          <w:rFonts w:ascii="Calibri" w:hAnsi="Calibri"/>
        </w:rPr>
      </w:pPr>
      <w:r w:rsidRPr="00DD5DD9">
        <w:rPr>
          <w:rFonts w:ascii="Calibri" w:eastAsia="Calibri" w:hAnsi="Calibri" w:cs="Times New Roman"/>
          <w:lang w:eastAsia="en-AU"/>
        </w:rPr>
        <w:t>Consider all negative tests in the context of clinical observation, the history of the individual and epidemiological information.</w:t>
      </w:r>
    </w:p>
    <w:sectPr w:rsidR="005244D4" w:rsidRPr="00DD5DD9" w:rsidSect="004158F0">
      <w:headerReference w:type="default" r:id="rId4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48391" w14:textId="77777777" w:rsidR="00A72784" w:rsidRDefault="00A72784" w:rsidP="00003580">
      <w:pPr>
        <w:spacing w:after="0"/>
      </w:pPr>
      <w:r>
        <w:separator/>
      </w:r>
    </w:p>
  </w:endnote>
  <w:endnote w:type="continuationSeparator" w:id="0">
    <w:p w14:paraId="530F5CC7" w14:textId="77777777" w:rsidR="00A72784" w:rsidRDefault="00A72784" w:rsidP="00003580">
      <w:pPr>
        <w:spacing w:after="0"/>
      </w:pPr>
      <w:r>
        <w:continuationSeparator/>
      </w:r>
    </w:p>
  </w:endnote>
  <w:endnote w:type="continuationNotice" w:id="1">
    <w:p w14:paraId="04881A53" w14:textId="77777777" w:rsidR="00A72784" w:rsidRDefault="00A72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082853"/>
      <w:docPartObj>
        <w:docPartGallery w:val="Page Numbers (Bottom of Page)"/>
        <w:docPartUnique/>
      </w:docPartObj>
    </w:sdtPr>
    <w:sdtEndPr/>
    <w:sdtContent>
      <w:sdt>
        <w:sdtPr>
          <w:id w:val="-1769616900"/>
          <w:docPartObj>
            <w:docPartGallery w:val="Page Numbers (Top of Page)"/>
            <w:docPartUnique/>
          </w:docPartObj>
        </w:sdtPr>
        <w:sdtEndPr/>
        <w:sdtContent>
          <w:p w14:paraId="0569ABDC" w14:textId="38A86949" w:rsidR="00A72784" w:rsidRDefault="00CA45D5">
            <w:pPr>
              <w:pStyle w:val="Footer"/>
              <w:jc w:val="right"/>
            </w:pPr>
            <w:sdt>
              <w:sdtPr>
                <w:id w:val="2059966381"/>
                <w:docPartObj>
                  <w:docPartGallery w:val="Page Numbers (Bottom of Page)"/>
                  <w:docPartUnique/>
                </w:docPartObj>
              </w:sdtPr>
              <w:sdtEndPr/>
              <w:sdtContent>
                <w:sdt>
                  <w:sdtPr>
                    <w:id w:val="817686166"/>
                    <w:docPartObj>
                      <w:docPartGallery w:val="Page Numbers (Top of Page)"/>
                      <w:docPartUnique/>
                    </w:docPartObj>
                  </w:sdtPr>
                  <w:sdtEndPr/>
                  <w:sdtContent>
                    <w:r w:rsidR="00A72784">
                      <w:t xml:space="preserve">Page </w:t>
                    </w:r>
                    <w:r w:rsidR="00A72784">
                      <w:rPr>
                        <w:b/>
                        <w:bCs/>
                        <w:szCs w:val="24"/>
                      </w:rPr>
                      <w:fldChar w:fldCharType="begin"/>
                    </w:r>
                    <w:r w:rsidR="00A72784">
                      <w:rPr>
                        <w:b/>
                        <w:bCs/>
                      </w:rPr>
                      <w:instrText xml:space="preserve"> PAGE </w:instrText>
                    </w:r>
                    <w:r w:rsidR="00A72784">
                      <w:rPr>
                        <w:b/>
                        <w:bCs/>
                        <w:szCs w:val="24"/>
                      </w:rPr>
                      <w:fldChar w:fldCharType="separate"/>
                    </w:r>
                    <w:r w:rsidR="00A72784">
                      <w:rPr>
                        <w:b/>
                        <w:bCs/>
                        <w:noProof/>
                      </w:rPr>
                      <w:t>2</w:t>
                    </w:r>
                    <w:r w:rsidR="00A72784">
                      <w:rPr>
                        <w:b/>
                        <w:bCs/>
                        <w:szCs w:val="24"/>
                      </w:rPr>
                      <w:fldChar w:fldCharType="end"/>
                    </w:r>
                    <w:r w:rsidR="00A72784">
                      <w:t xml:space="preserve"> of </w:t>
                    </w:r>
                    <w:r w:rsidR="00A72784">
                      <w:rPr>
                        <w:b/>
                        <w:bCs/>
                        <w:szCs w:val="24"/>
                      </w:rPr>
                      <w:fldChar w:fldCharType="begin"/>
                    </w:r>
                    <w:r w:rsidR="00A72784">
                      <w:rPr>
                        <w:b/>
                        <w:bCs/>
                      </w:rPr>
                      <w:instrText xml:space="preserve"> NUMPAGES  </w:instrText>
                    </w:r>
                    <w:r w:rsidR="00A72784">
                      <w:rPr>
                        <w:b/>
                        <w:bCs/>
                        <w:szCs w:val="24"/>
                      </w:rPr>
                      <w:fldChar w:fldCharType="separate"/>
                    </w:r>
                    <w:r w:rsidR="00A72784">
                      <w:rPr>
                        <w:b/>
                        <w:bCs/>
                        <w:noProof/>
                      </w:rPr>
                      <w:t>28</w:t>
                    </w:r>
                    <w:r w:rsidR="00A72784">
                      <w:rPr>
                        <w:b/>
                        <w:bCs/>
                        <w:szCs w:val="24"/>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00B4E" w14:textId="77777777" w:rsidR="00A72784" w:rsidRDefault="00A72784" w:rsidP="00003580">
      <w:pPr>
        <w:spacing w:after="0"/>
      </w:pPr>
      <w:r>
        <w:separator/>
      </w:r>
    </w:p>
  </w:footnote>
  <w:footnote w:type="continuationSeparator" w:id="0">
    <w:p w14:paraId="3FF12542" w14:textId="77777777" w:rsidR="00A72784" w:rsidRDefault="00A72784" w:rsidP="00003580">
      <w:pPr>
        <w:spacing w:after="0"/>
      </w:pPr>
      <w:r>
        <w:continuationSeparator/>
      </w:r>
    </w:p>
  </w:footnote>
  <w:footnote w:type="continuationNotice" w:id="1">
    <w:p w14:paraId="2A7735D9" w14:textId="77777777" w:rsidR="00A72784" w:rsidRDefault="00A72784">
      <w:pPr>
        <w:spacing w:after="0"/>
      </w:pPr>
    </w:p>
  </w:footnote>
  <w:footnote w:id="2">
    <w:p w14:paraId="6811602D" w14:textId="0D7CD614" w:rsidR="00A72784" w:rsidRDefault="00A72784" w:rsidP="00B75681">
      <w:r w:rsidRPr="00584732">
        <w:rPr>
          <w:rStyle w:val="FootnoteReference"/>
          <w:sz w:val="20"/>
          <w:szCs w:val="20"/>
        </w:rPr>
        <w:footnoteRef/>
      </w:r>
      <w:r w:rsidRPr="00584732">
        <w:rPr>
          <w:sz w:val="20"/>
          <w:szCs w:val="20"/>
        </w:rPr>
        <w:t xml:space="preserve"> Some states and territories have enacted public health orders requiring pre-departure nucleic acid amplification (NAA) testing or rapid antigen testing for domestic interstate travel purposes. Laboratory-based testing for this purpose is not recommended in Epidemiological Zone 3. Instead, consideration should be given to the use of rapid antigen testing for this purpose, if required. Consideration should be given to removing any requirement for interstate pre-departure travel testing in Epidemiological Zone 4 due to severe capacity constraints. </w:t>
      </w:r>
    </w:p>
  </w:footnote>
  <w:footnote w:id="3">
    <w:p w14:paraId="48FDAC39" w14:textId="77777777" w:rsidR="00224106" w:rsidRDefault="00224106" w:rsidP="00224106">
      <w:pPr>
        <w:pStyle w:val="FootnoteText"/>
      </w:pPr>
      <w:r w:rsidRPr="00224106">
        <w:rPr>
          <w:rStyle w:val="FootnoteReference"/>
        </w:rPr>
        <w:footnoteRef/>
      </w:r>
      <w:r w:rsidRPr="00224106">
        <w:t xml:space="preserve"> Availability should be defined by both an individual’s physical accessibility (both geographically or logistically) to a NAA test, as well as a tests average testing turnaround time (TAT). An appropriate TAT will be where a result can be received in time to achieve appropriate clinical management of an individual.</w:t>
      </w:r>
    </w:p>
    <w:p w14:paraId="35DC6FDF" w14:textId="7B7EC2A2" w:rsidR="00A72784" w:rsidRDefault="00A72784">
      <w:pPr>
        <w:pStyle w:val="FootnoteText"/>
      </w:pPr>
    </w:p>
  </w:footnote>
  <w:footnote w:id="4">
    <w:p w14:paraId="69739D66" w14:textId="76E5EC55" w:rsidR="00A72784" w:rsidRDefault="00A72784" w:rsidP="00B43E7E">
      <w:pPr>
        <w:pStyle w:val="FootnoteText"/>
      </w:pPr>
      <w:r>
        <w:rPr>
          <w:rStyle w:val="FootnoteReference"/>
        </w:rPr>
        <w:footnoteRef/>
      </w:r>
      <w:r>
        <w:t xml:space="preserve"> Upstream contacts are </w:t>
      </w:r>
      <w:r w:rsidRPr="000B56CA">
        <w:t xml:space="preserve">individuals who are potential sources </w:t>
      </w:r>
      <w:r>
        <w:t xml:space="preserve">of infection </w:t>
      </w:r>
      <w:r w:rsidRPr="000B56CA">
        <w:t>for a particular case</w:t>
      </w:r>
      <w:r>
        <w:t>,</w:t>
      </w:r>
      <w:r w:rsidRPr="000B56CA">
        <w:t xml:space="preserve"> with contact in the incubation period of the case and the infective period of the contact</w:t>
      </w:r>
      <w:r>
        <w:t>.</w:t>
      </w:r>
    </w:p>
  </w:footnote>
  <w:footnote w:id="5">
    <w:p w14:paraId="64D65DA8" w14:textId="77777777" w:rsidR="00224106" w:rsidRDefault="00224106" w:rsidP="00224106">
      <w:pPr>
        <w:pStyle w:val="FootnoteText"/>
      </w:pPr>
      <w:r>
        <w:rPr>
          <w:rStyle w:val="FootnoteReference"/>
        </w:rPr>
        <w:footnoteRef/>
      </w:r>
      <w:r>
        <w:t xml:space="preserve"> </w:t>
      </w:r>
      <w:r>
        <w:rPr>
          <w:rFonts w:cstheme="minorHAnsi"/>
        </w:rPr>
        <w:t>Serology (antibody)</w:t>
      </w:r>
      <w:r w:rsidRPr="00AB5770">
        <w:rPr>
          <w:rFonts w:cstheme="minorHAnsi"/>
        </w:rPr>
        <w:t xml:space="preserve"> testing is not considered appropriate </w:t>
      </w:r>
      <w:r>
        <w:rPr>
          <w:rFonts w:cstheme="minorHAnsi"/>
        </w:rPr>
        <w:t>for the diagnosis of active acute infection</w:t>
      </w:r>
      <w:r w:rsidRPr="00AB5770">
        <w:rPr>
          <w:rFonts w:cstheme="minorHAnsi"/>
        </w:rPr>
        <w:t>, as these tests detect an individual’s immune response to the virus, with maximum effectiveness at approximately 14 days post-onset.</w:t>
      </w:r>
    </w:p>
  </w:footnote>
  <w:footnote w:id="6">
    <w:p w14:paraId="09F1C8E9" w14:textId="2EC100E7" w:rsidR="00A72784" w:rsidRPr="00C87B32" w:rsidRDefault="00A72784">
      <w:pPr>
        <w:pStyle w:val="FootnoteText"/>
      </w:pPr>
      <w:r w:rsidRPr="00C87B32">
        <w:rPr>
          <w:rStyle w:val="FootnoteReference"/>
        </w:rPr>
        <w:footnoteRef/>
      </w:r>
      <w:r w:rsidRPr="00C87B32">
        <w:t xml:space="preserve"> A confirmed case requires laboratory definitive evidence (i.e., detection of SARS-CoV-2 by NAA)</w:t>
      </w:r>
    </w:p>
  </w:footnote>
  <w:footnote w:id="7">
    <w:p w14:paraId="10393D4F" w14:textId="6BE16539" w:rsidR="00A72784" w:rsidRDefault="00A72784" w:rsidP="00862FF4">
      <w:pPr>
        <w:pStyle w:val="FootnoteText"/>
        <w:jc w:val="left"/>
      </w:pPr>
      <w:r w:rsidRPr="00C87B32">
        <w:rPr>
          <w:rStyle w:val="FootnoteReference"/>
        </w:rPr>
        <w:footnoteRef/>
      </w:r>
      <w:r w:rsidRPr="00C87B32">
        <w:t xml:space="preserve"> Commonwealth of Australia. National Contact Tracing Review. 13 November 2020. https://www.health.gov.au/resources/publications/national-contact-tracing-review</w:t>
      </w:r>
    </w:p>
  </w:footnote>
  <w:footnote w:id="8">
    <w:p w14:paraId="40AD2476" w14:textId="77777777" w:rsidR="00224106" w:rsidRDefault="00224106" w:rsidP="00224106">
      <w:pPr>
        <w:pStyle w:val="FootnoteText"/>
      </w:pPr>
      <w:r w:rsidRPr="00224106">
        <w:rPr>
          <w:rStyle w:val="FootnoteReference"/>
        </w:rPr>
        <w:footnoteRef/>
      </w:r>
      <w:r w:rsidRPr="00224106">
        <w:t xml:space="preserve"> Pooling samples involves combining specimens from different patients together in a "pool", then testing the pooled sample to detect the presence of a virus. Detection of viral nucleic acid then requires individual retesting of patient specimens. This approach increases the number of specimens that can be tested and can also increase testing efficiency and reduce the overall cost of testing. However, efficiency gains of pooling strategies depend on the prevalence of infection. It is recommended that pooling strategies are adopted when the prevalence in the population is low.</w:t>
      </w:r>
    </w:p>
  </w:footnote>
  <w:footnote w:id="9">
    <w:p w14:paraId="44525D25" w14:textId="0CA3BAAE" w:rsidR="00A72784" w:rsidRPr="00C56596" w:rsidRDefault="00A72784">
      <w:pPr>
        <w:pStyle w:val="FootnoteText"/>
      </w:pPr>
      <w:r>
        <w:rPr>
          <w:rStyle w:val="FootnoteReference"/>
        </w:rPr>
        <w:footnoteRef/>
      </w:r>
      <w:r>
        <w:t xml:space="preserve"> Please refer to the </w:t>
      </w:r>
      <w:r w:rsidRPr="00F43FF6">
        <w:rPr>
          <w:i/>
          <w:iCs/>
        </w:rPr>
        <w:t>PHLN statement on using saliva as a respiratory specimen for SARS-CoV-2 testing</w:t>
      </w:r>
      <w:r>
        <w:t xml:space="preserve"> for more information.</w:t>
      </w:r>
    </w:p>
  </w:footnote>
  <w:footnote w:id="10">
    <w:p w14:paraId="5564DBB6" w14:textId="7F930824" w:rsidR="00A72784" w:rsidRDefault="00A72784">
      <w:pPr>
        <w:pStyle w:val="FootnoteText"/>
      </w:pPr>
      <w:r w:rsidRPr="002611A4">
        <w:rPr>
          <w:rStyle w:val="FootnoteReference"/>
        </w:rPr>
        <w:footnoteRef/>
      </w:r>
      <w:r w:rsidRPr="002611A4">
        <w:t xml:space="preserve"> Pooling involves </w:t>
      </w:r>
      <w:r>
        <w:t xml:space="preserve">combining </w:t>
      </w:r>
      <w:r w:rsidRPr="002611A4">
        <w:t>several samples together in a batch or pooled sample, then testing the pooled sample. This approach increases the number of individuals that can be tested using the same amount of resources. Further information can be found at Annex A.</w:t>
      </w:r>
    </w:p>
  </w:footnote>
  <w:footnote w:id="11">
    <w:p w14:paraId="15A33471" w14:textId="7E27E5C7" w:rsidR="00A72784" w:rsidRDefault="00A72784" w:rsidP="00CA1E16">
      <w:pPr>
        <w:pStyle w:val="FootnoteText"/>
      </w:pPr>
      <w:r>
        <w:rPr>
          <w:rStyle w:val="FootnoteReference"/>
        </w:rPr>
        <w:footnoteRef/>
      </w:r>
      <w:r>
        <w:t xml:space="preserve"> WHO. 7 August 2020. Status of environmental surveillance for SARS-CoV-2 virus - Scientific Brief. </w:t>
      </w:r>
      <w:hyperlink r:id="rId1" w:history="1">
        <w:r w:rsidRPr="00F7183E">
          <w:rPr>
            <w:rStyle w:val="Hyperlink"/>
          </w:rPr>
          <w:t>https://www.who.int/news-room/commentaries/detail/status-of-environmental-surveillance-for-sars-cov-2-virus</w:t>
        </w:r>
      </w:hyperlink>
      <w:r>
        <w:t xml:space="preserve"> </w:t>
      </w:r>
    </w:p>
  </w:footnote>
  <w:footnote w:id="12">
    <w:p w14:paraId="50C4EB49" w14:textId="23956DE8" w:rsidR="00A72784" w:rsidRDefault="00A72784">
      <w:pPr>
        <w:pStyle w:val="FootnoteText"/>
      </w:pPr>
      <w:r>
        <w:rPr>
          <w:rStyle w:val="FootnoteReference"/>
        </w:rPr>
        <w:footnoteRef/>
      </w:r>
      <w:r>
        <w:t xml:space="preserve"> To be made publicly available on the Department of Health website in early 2022.</w:t>
      </w:r>
    </w:p>
  </w:footnote>
  <w:footnote w:id="13">
    <w:p w14:paraId="227E4DC8" w14:textId="77777777" w:rsidR="00A72784" w:rsidRDefault="00A72784" w:rsidP="00667F03">
      <w:pPr>
        <w:pStyle w:val="FootnoteText"/>
        <w:jc w:val="left"/>
      </w:pPr>
      <w:r>
        <w:rPr>
          <w:rStyle w:val="FootnoteReference"/>
        </w:rPr>
        <w:footnoteRef/>
      </w:r>
      <w:r>
        <w:t xml:space="preserve"> AHPPC Statement on 17 November 2020. AHPPC statement on COVID-19: Routine Testing of Hotel Quarantine Workers </w:t>
      </w:r>
      <w:hyperlink r:id="rId2" w:history="1">
        <w:r w:rsidRPr="00916738">
          <w:rPr>
            <w:rStyle w:val="Hyperlink"/>
          </w:rPr>
          <w:t>https://www.health.gov.au/news/australian-health-protection-principal-committee-ahppc-statement-on-covid-19-routine-testing-of-hotel-quarantine-workers</w:t>
        </w:r>
      </w:hyperlink>
    </w:p>
  </w:footnote>
  <w:footnote w:id="14">
    <w:p w14:paraId="63EB6F17" w14:textId="3F01765E" w:rsidR="00A72784" w:rsidRPr="00862FF4" w:rsidRDefault="00A72784" w:rsidP="00862FF4">
      <w:pPr>
        <w:spacing w:after="200" w:line="276" w:lineRule="auto"/>
        <w:contextualSpacing/>
        <w:jc w:val="left"/>
        <w:rPr>
          <w:rFonts w:ascii="Calibri" w:eastAsia="Calibri" w:hAnsi="Calibri" w:cs="Times New Roman"/>
          <w:highlight w:val="yellow"/>
          <w:lang w:eastAsia="en-AU"/>
        </w:rPr>
      </w:pPr>
      <w:r w:rsidRPr="00862FF4">
        <w:rPr>
          <w:rStyle w:val="FootnoteReference"/>
          <w:sz w:val="20"/>
          <w:szCs w:val="20"/>
        </w:rPr>
        <w:footnoteRef/>
      </w:r>
      <w:r w:rsidRPr="00862FF4">
        <w:rPr>
          <w:sz w:val="20"/>
          <w:szCs w:val="20"/>
        </w:rPr>
        <w:t xml:space="preserve"> </w:t>
      </w:r>
      <w:r w:rsidRPr="00CA1F58">
        <w:rPr>
          <w:rFonts w:ascii="Calibri" w:eastAsia="Calibri" w:hAnsi="Calibri" w:cs="Times New Roman"/>
          <w:sz w:val="20"/>
          <w:szCs w:val="20"/>
          <w:lang w:eastAsia="en-AU"/>
        </w:rPr>
        <w:t>Graham M, Ballard SA</w:t>
      </w:r>
      <w:r w:rsidRPr="00857CB2">
        <w:rPr>
          <w:rFonts w:ascii="Calibri" w:eastAsia="Calibri" w:hAnsi="Calibri" w:cs="Times New Roman"/>
          <w:sz w:val="20"/>
          <w:szCs w:val="20"/>
          <w:lang w:eastAsia="en-AU"/>
        </w:rPr>
        <w:t xml:space="preserve">, Pasricha S, Lin B, Hoang T, </w:t>
      </w:r>
      <w:proofErr w:type="spellStart"/>
      <w:r w:rsidRPr="00857CB2">
        <w:rPr>
          <w:rFonts w:ascii="Calibri" w:eastAsia="Calibri" w:hAnsi="Calibri" w:cs="Times New Roman"/>
          <w:sz w:val="20"/>
          <w:szCs w:val="20"/>
          <w:lang w:eastAsia="en-AU"/>
        </w:rPr>
        <w:t>Stinear</w:t>
      </w:r>
      <w:proofErr w:type="spellEnd"/>
      <w:r w:rsidRPr="00857CB2">
        <w:rPr>
          <w:rFonts w:ascii="Calibri" w:eastAsia="Calibri" w:hAnsi="Calibri" w:cs="Times New Roman"/>
          <w:sz w:val="20"/>
          <w:szCs w:val="20"/>
          <w:lang w:eastAsia="en-AU"/>
        </w:rPr>
        <w:t xml:space="preserve"> T, </w:t>
      </w:r>
      <w:proofErr w:type="spellStart"/>
      <w:r w:rsidRPr="00857CB2">
        <w:rPr>
          <w:rFonts w:ascii="Calibri" w:eastAsia="Calibri" w:hAnsi="Calibri" w:cs="Times New Roman"/>
          <w:sz w:val="20"/>
          <w:szCs w:val="20"/>
          <w:lang w:eastAsia="en-AU"/>
        </w:rPr>
        <w:t>Druce</w:t>
      </w:r>
      <w:proofErr w:type="spellEnd"/>
      <w:r w:rsidRPr="00857CB2">
        <w:rPr>
          <w:rFonts w:ascii="Calibri" w:eastAsia="Calibri" w:hAnsi="Calibri" w:cs="Times New Roman"/>
          <w:sz w:val="20"/>
          <w:szCs w:val="20"/>
          <w:lang w:eastAsia="en-AU"/>
        </w:rPr>
        <w:t xml:space="preserve"> J, Catton M, Sherry N, Williamson D, Howden BP. Use of emerging testing technologies and approaches for SARS-CoV-2: review of literature and global experience in an Australian context. Pathology. 2021 Oct;53(6):689-699.</w:t>
      </w:r>
    </w:p>
    <w:p w14:paraId="1F3D8E09" w14:textId="5A11B1A0" w:rsidR="00A72784" w:rsidRDefault="00A72784">
      <w:pPr>
        <w:pStyle w:val="FootnoteText"/>
      </w:pPr>
    </w:p>
  </w:footnote>
  <w:footnote w:id="15">
    <w:p w14:paraId="4189D91C" w14:textId="77777777" w:rsidR="00A72784" w:rsidRPr="00F067B1" w:rsidRDefault="00A72784" w:rsidP="004158F0">
      <w:pPr>
        <w:pStyle w:val="FootnoteText"/>
      </w:pPr>
      <w:r>
        <w:rPr>
          <w:rStyle w:val="FootnoteReference"/>
        </w:rPr>
        <w:footnoteRef/>
      </w:r>
      <w:r>
        <w:t xml:space="preserve"> See below for detailed descriptions of the abbreviated assays</w:t>
      </w:r>
    </w:p>
  </w:footnote>
  <w:footnote w:id="16">
    <w:p w14:paraId="605AE98D" w14:textId="77777777" w:rsidR="00A72784" w:rsidRPr="0043077E" w:rsidRDefault="00A72784" w:rsidP="004158F0">
      <w:pPr>
        <w:pStyle w:val="FootnoteText"/>
      </w:pPr>
      <w:r>
        <w:rPr>
          <w:rStyle w:val="FootnoteReference"/>
        </w:rPr>
        <w:footnoteRef/>
      </w:r>
      <w:r>
        <w:t xml:space="preserve"> ‘Available literature’ means p</w:t>
      </w:r>
      <w:r w:rsidRPr="006063CB">
        <w:t>eer-reviewed literature or independent evaluation of clinical performance</w:t>
      </w:r>
    </w:p>
  </w:footnote>
  <w:footnote w:id="17">
    <w:p w14:paraId="1ABEB305" w14:textId="77777777" w:rsidR="00A72784" w:rsidRPr="00005B31" w:rsidRDefault="00A72784" w:rsidP="004158F0">
      <w:pPr>
        <w:pStyle w:val="FootnoteText"/>
      </w:pPr>
      <w:r>
        <w:rPr>
          <w:rStyle w:val="FootnoteReference"/>
        </w:rPr>
        <w:footnoteRef/>
      </w:r>
      <w:r>
        <w:t xml:space="preserve"> Specimen collection method may increase ease of use at POC</w:t>
      </w:r>
    </w:p>
  </w:footnote>
  <w:footnote w:id="18">
    <w:p w14:paraId="5CD99E41" w14:textId="77777777" w:rsidR="00A72784" w:rsidRPr="00DF5585" w:rsidRDefault="00A72784" w:rsidP="004158F0">
      <w:pPr>
        <w:pStyle w:val="FootnoteText"/>
      </w:pPr>
      <w:r>
        <w:rPr>
          <w:rStyle w:val="FootnoteReference"/>
        </w:rPr>
        <w:footnoteRef/>
      </w:r>
      <w:r>
        <w:t xml:space="preserve"> Adapted from </w:t>
      </w:r>
      <w:r w:rsidRPr="00B30772">
        <w:t>Graham M, Ballard S, Pasricha A, Lin B, Hoang T, Williamson D, Howden B. Peter Doherty Institute – Literature review on the use of emerging testing technologies and approaches for COVID-19</w:t>
      </w:r>
      <w:r>
        <w:t xml:space="preserve"> </w:t>
      </w:r>
    </w:p>
  </w:footnote>
  <w:footnote w:id="19">
    <w:p w14:paraId="23991B6D" w14:textId="77777777" w:rsidR="00A72784" w:rsidRPr="00205C75" w:rsidRDefault="00A72784" w:rsidP="004158F0">
      <w:pPr>
        <w:pStyle w:val="FootnoteText"/>
      </w:pPr>
      <w:r>
        <w:rPr>
          <w:rStyle w:val="FootnoteReference"/>
        </w:rPr>
        <w:footnoteRef/>
      </w:r>
      <w:r>
        <w:t xml:space="preserve"> (-) unknown/insufficient data;</w:t>
      </w:r>
      <w:r w:rsidRPr="00205C75">
        <w:t xml:space="preserve"> </w:t>
      </w:r>
      <w:r>
        <w:t>(</w:t>
      </w:r>
      <w:r w:rsidRPr="00205C75">
        <w:t>+</w:t>
      </w:r>
      <w:r>
        <w:t>) minimal;</w:t>
      </w:r>
      <w:r w:rsidRPr="00205C75">
        <w:t xml:space="preserve"> </w:t>
      </w:r>
      <w:r>
        <w:t>(</w:t>
      </w:r>
      <w:r w:rsidRPr="00205C75">
        <w:t>++</w:t>
      </w:r>
      <w:r>
        <w:t>) moderate;</w:t>
      </w:r>
      <w:r w:rsidRPr="00205C75">
        <w:t xml:space="preserve"> </w:t>
      </w:r>
      <w:r>
        <w:t>(</w:t>
      </w:r>
      <w:r w:rsidRPr="00205C75">
        <w:t>+++</w:t>
      </w:r>
      <w:r>
        <w:t>) high;</w:t>
      </w:r>
      <w:r w:rsidRPr="00205C75">
        <w:t xml:space="preserve"> </w:t>
      </w:r>
      <w:r>
        <w:t>(</w:t>
      </w:r>
      <w:r w:rsidRPr="00205C75">
        <w:t>++++</w:t>
      </w:r>
      <w:r>
        <w:t>) very high;</w:t>
      </w:r>
      <w:r w:rsidRPr="00205C75">
        <w:t xml:space="preserve"> </w:t>
      </w:r>
      <w:r>
        <w:t>(</w:t>
      </w:r>
      <w:r w:rsidRPr="00205C75">
        <w:t>n/a</w:t>
      </w:r>
      <w:r>
        <w:t>) not applicable; (TAT) turnaround time</w:t>
      </w:r>
    </w:p>
  </w:footnote>
  <w:footnote w:id="20">
    <w:p w14:paraId="458ED537" w14:textId="4AFE548B" w:rsidR="00A72784" w:rsidRPr="005315CE" w:rsidRDefault="00A72784">
      <w:pPr>
        <w:pStyle w:val="FootnoteText"/>
        <w:rPr>
          <w:rFonts w:cstheme="minorHAnsi"/>
        </w:rPr>
      </w:pPr>
      <w:r w:rsidRPr="00715B47">
        <w:rPr>
          <w:rStyle w:val="FootnoteReference"/>
          <w:rFonts w:cstheme="minorHAnsi"/>
        </w:rPr>
        <w:footnoteRef/>
      </w:r>
      <w:r w:rsidRPr="00715B47">
        <w:rPr>
          <w:rFonts w:cstheme="minorHAnsi"/>
        </w:rPr>
        <w:t xml:space="preserve"> </w:t>
      </w:r>
      <w:r w:rsidRPr="00862FF4">
        <w:rPr>
          <w:rFonts w:cstheme="minorHAnsi"/>
          <w:color w:val="222222"/>
          <w:shd w:val="clear" w:color="auto" w:fill="FFFFFF"/>
        </w:rPr>
        <w:t>Chong, Brian SW, et al. "Sample pooling is a viable strategy for SARS-CoV-2 detection in low-prevalence settings." </w:t>
      </w:r>
      <w:r w:rsidRPr="00862FF4">
        <w:rPr>
          <w:rFonts w:cstheme="minorHAnsi"/>
          <w:i/>
          <w:iCs/>
          <w:color w:val="222222"/>
          <w:shd w:val="clear" w:color="auto" w:fill="FFFFFF"/>
        </w:rPr>
        <w:t>Pathology</w:t>
      </w:r>
      <w:r w:rsidRPr="00862FF4">
        <w:rPr>
          <w:rFonts w:cstheme="minorHAnsi"/>
          <w:color w:val="222222"/>
          <w:shd w:val="clear" w:color="auto" w:fill="FFFFFF"/>
        </w:rPr>
        <w:t> 52.7 (2020): 796-800.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6374B" w14:textId="35F6883C" w:rsidR="00A72784" w:rsidRPr="003D68D8" w:rsidRDefault="00A72784" w:rsidP="003D68D8">
    <w:pPr>
      <w:pStyle w:val="Header"/>
      <w:jc w:val="center"/>
      <w:rPr>
        <w:color w:val="FF0000"/>
        <w:sz w:val="28"/>
        <w:szCs w:val="28"/>
      </w:rPr>
    </w:pPr>
    <w:r w:rsidRPr="00623AA4">
      <w:rPr>
        <w:color w:val="FF0000"/>
        <w:sz w:val="28"/>
        <w:szCs w:val="28"/>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8A23" w14:textId="0D970D4D" w:rsidR="00A72784" w:rsidRPr="004158F0" w:rsidRDefault="00A72784" w:rsidP="004158F0">
    <w:pPr>
      <w:tabs>
        <w:tab w:val="center" w:pos="4513"/>
        <w:tab w:val="right" w:pos="9026"/>
      </w:tabs>
      <w:jc w:val="right"/>
      <w:rPr>
        <w:sz w:val="22"/>
        <w:szCs w:val="28"/>
      </w:rPr>
    </w:pPr>
    <w:r w:rsidRPr="00CB3A95">
      <w:rPr>
        <w:sz w:val="22"/>
        <w:szCs w:val="28"/>
      </w:rPr>
      <w:t>Annex A</w:t>
    </w:r>
    <w:r>
      <w:rPr>
        <w:noProof/>
        <w:lang w:eastAsia="en-AU"/>
      </w:rPr>
      <mc:AlternateContent>
        <mc:Choice Requires="wps">
          <w:drawing>
            <wp:anchor distT="0" distB="0" distL="114300" distR="114300" simplePos="0" relativeHeight="251658240" behindDoc="1" locked="0" layoutInCell="0" allowOverlap="1" wp14:anchorId="46DA3396" wp14:editId="07E9667B">
              <wp:simplePos x="0" y="0"/>
              <wp:positionH relativeFrom="margin">
                <wp:align>center</wp:align>
              </wp:positionH>
              <wp:positionV relativeFrom="margin">
                <wp:align>center</wp:align>
              </wp:positionV>
              <wp:extent cx="5050790" cy="3030220"/>
              <wp:effectExtent l="0" t="1104900" r="0" b="636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9A9CC4" w14:textId="77777777" w:rsidR="00A72784" w:rsidRDefault="00A72784" w:rsidP="00CB3A9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DA3396" id="_x0000_t202" coordsize="21600,21600" o:spt="202" path="m,l,21600r21600,l21600,xe">
              <v:stroke joinstyle="miter"/>
              <v:path gradientshapeok="t" o:connecttype="rect"/>
            </v:shapetype>
            <v:shape id="Text Box 21" o:spid="_x0000_s1029" type="#_x0000_t202" style="position:absolute;left:0;text-align:left;margin-left:0;margin-top:0;width:397.7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" o:allowincell="f" filled="f" stroked="f">
              <v:stroke joinstyle="round"/>
              <o:lock v:ext="edit" shapetype="t"/>
              <v:textbox style="mso-fit-shape-to-text:t">
                <w:txbxContent>
                  <w:p w14:paraId="309A9CC4" w14:textId="77777777" w:rsidR="00A72784" w:rsidRDefault="00A72784" w:rsidP="00CB3A9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5ED3"/>
    <w:multiLevelType w:val="hybridMultilevel"/>
    <w:tmpl w:val="2DC673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17880"/>
    <w:multiLevelType w:val="hybridMultilevel"/>
    <w:tmpl w:val="8CAE7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D73DD"/>
    <w:multiLevelType w:val="hybridMultilevel"/>
    <w:tmpl w:val="CDBC6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367D9"/>
    <w:multiLevelType w:val="hybridMultilevel"/>
    <w:tmpl w:val="49AE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10732"/>
    <w:multiLevelType w:val="hybridMultilevel"/>
    <w:tmpl w:val="6316D20A"/>
    <w:lvl w:ilvl="0" w:tplc="178CD96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9323C"/>
    <w:multiLevelType w:val="hybridMultilevel"/>
    <w:tmpl w:val="B0B81374"/>
    <w:lvl w:ilvl="0" w:tplc="B75AB0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D0AB3"/>
    <w:multiLevelType w:val="hybridMultilevel"/>
    <w:tmpl w:val="2938A3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BE177A"/>
    <w:multiLevelType w:val="hybridMultilevel"/>
    <w:tmpl w:val="B57C0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372BE6"/>
    <w:multiLevelType w:val="hybridMultilevel"/>
    <w:tmpl w:val="B158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91580"/>
    <w:multiLevelType w:val="hybridMultilevel"/>
    <w:tmpl w:val="8A5210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A423EF"/>
    <w:multiLevelType w:val="multilevel"/>
    <w:tmpl w:val="A73E7CE8"/>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257A7C"/>
    <w:multiLevelType w:val="hybridMultilevel"/>
    <w:tmpl w:val="5732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B0E16"/>
    <w:multiLevelType w:val="hybridMultilevel"/>
    <w:tmpl w:val="0910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76486"/>
    <w:multiLevelType w:val="hybridMultilevel"/>
    <w:tmpl w:val="4A1699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66AD7"/>
    <w:multiLevelType w:val="hybridMultilevel"/>
    <w:tmpl w:val="329E38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0A2515"/>
    <w:multiLevelType w:val="hybridMultilevel"/>
    <w:tmpl w:val="807EC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C320A"/>
    <w:multiLevelType w:val="hybridMultilevel"/>
    <w:tmpl w:val="C0449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D2F06"/>
    <w:multiLevelType w:val="multilevel"/>
    <w:tmpl w:val="64C2F70C"/>
    <w:lvl w:ilvl="0">
      <w:start w:val="1"/>
      <w:numFmt w:val="decimal"/>
      <w:lvlText w:val="%1."/>
      <w:lvlJc w:val="left"/>
      <w:pPr>
        <w:ind w:left="0" w:firstLine="0"/>
      </w:pPr>
      <w:rPr>
        <w:rFonts w:hint="default"/>
        <w:b/>
      </w:rPr>
    </w:lvl>
    <w:lvl w:ilvl="1">
      <w:start w:val="1"/>
      <w:numFmt w:val="decimal"/>
      <w:lvlText w:val="%1.%2"/>
      <w:lvlJc w:val="left"/>
      <w:pPr>
        <w:ind w:left="720" w:firstLine="0"/>
      </w:pPr>
      <w:rPr>
        <w:rFonts w:hint="default"/>
        <w:b/>
      </w:rPr>
    </w:lvl>
    <w:lvl w:ilvl="2">
      <w:start w:val="1"/>
      <w:numFmt w:val="decimal"/>
      <w:lvlText w:val="%1.%2.%3"/>
      <w:lvlJc w:val="left"/>
      <w:pPr>
        <w:ind w:left="1740" w:hanging="300"/>
      </w:pPr>
      <w:rPr>
        <w:rFonts w:hint="default"/>
        <w:b/>
      </w:rPr>
    </w:lvl>
    <w:lvl w:ilvl="3">
      <w:start w:val="1"/>
      <w:numFmt w:val="decimal"/>
      <w:lvlText w:val="%1.%2.%3.%4"/>
      <w:lvlJc w:val="left"/>
      <w:pPr>
        <w:ind w:left="2820" w:hanging="660"/>
      </w:pPr>
      <w:rPr>
        <w:rFonts w:hint="default"/>
        <w:b/>
      </w:rPr>
    </w:lvl>
    <w:lvl w:ilvl="4">
      <w:start w:val="1"/>
      <w:numFmt w:val="decimal"/>
      <w:lvlText w:val="%1.%2.%3.%4.%5"/>
      <w:lvlJc w:val="left"/>
      <w:pPr>
        <w:ind w:left="3540" w:hanging="660"/>
      </w:pPr>
      <w:rPr>
        <w:rFonts w:hint="default"/>
        <w:b/>
      </w:rPr>
    </w:lvl>
    <w:lvl w:ilvl="5">
      <w:start w:val="1"/>
      <w:numFmt w:val="decimal"/>
      <w:lvlText w:val="%1.%2.%3.%4.%5.%6"/>
      <w:lvlJc w:val="left"/>
      <w:pPr>
        <w:ind w:left="4620" w:hanging="1020"/>
      </w:pPr>
      <w:rPr>
        <w:rFonts w:hint="default"/>
        <w:b/>
      </w:rPr>
    </w:lvl>
    <w:lvl w:ilvl="6">
      <w:start w:val="1"/>
      <w:numFmt w:val="decimal"/>
      <w:lvlText w:val="%1.%2.%3.%4.%5.%6.%7"/>
      <w:lvlJc w:val="left"/>
      <w:pPr>
        <w:ind w:left="5340" w:hanging="1020"/>
      </w:pPr>
      <w:rPr>
        <w:rFonts w:hint="default"/>
        <w:b/>
      </w:rPr>
    </w:lvl>
    <w:lvl w:ilvl="7">
      <w:start w:val="1"/>
      <w:numFmt w:val="decimal"/>
      <w:lvlText w:val="%1.%2.%3.%4.%5.%6.%7.%8"/>
      <w:lvlJc w:val="left"/>
      <w:pPr>
        <w:ind w:left="6420" w:hanging="1380"/>
      </w:pPr>
      <w:rPr>
        <w:rFonts w:hint="default"/>
        <w:b/>
      </w:rPr>
    </w:lvl>
    <w:lvl w:ilvl="8">
      <w:start w:val="1"/>
      <w:numFmt w:val="decimal"/>
      <w:lvlText w:val="%1.%2.%3.%4.%5.%6.%7.%8.%9"/>
      <w:lvlJc w:val="left"/>
      <w:pPr>
        <w:ind w:left="7500" w:hanging="1740"/>
      </w:pPr>
      <w:rPr>
        <w:rFonts w:hint="default"/>
        <w:b/>
      </w:rPr>
    </w:lvl>
  </w:abstractNum>
  <w:abstractNum w:abstractNumId="18" w15:restartNumberingAfterBreak="0">
    <w:nsid w:val="35FD6483"/>
    <w:multiLevelType w:val="hybridMultilevel"/>
    <w:tmpl w:val="95C40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14B18"/>
    <w:multiLevelType w:val="hybridMultilevel"/>
    <w:tmpl w:val="2746F10E"/>
    <w:lvl w:ilvl="0" w:tplc="178CD96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F06EE7"/>
    <w:multiLevelType w:val="hybridMultilevel"/>
    <w:tmpl w:val="E29E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0C05B8"/>
    <w:multiLevelType w:val="hybridMultilevel"/>
    <w:tmpl w:val="48287EDA"/>
    <w:lvl w:ilvl="0" w:tplc="B75AB0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643766"/>
    <w:multiLevelType w:val="hybridMultilevel"/>
    <w:tmpl w:val="39D40C00"/>
    <w:lvl w:ilvl="0" w:tplc="E7A8DE5E">
      <w:start w:val="1"/>
      <w:numFmt w:val="decimal"/>
      <w:lvlText w:val="Priority Group %1."/>
      <w:lvlJc w:val="left"/>
      <w:pPr>
        <w:ind w:left="4614" w:hanging="360"/>
      </w:pPr>
      <w:rPr>
        <w:rFonts w:hint="default"/>
      </w:rPr>
    </w:lvl>
    <w:lvl w:ilvl="1" w:tplc="9E72F6E0">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E74685"/>
    <w:multiLevelType w:val="hybridMultilevel"/>
    <w:tmpl w:val="2EFE27EA"/>
    <w:lvl w:ilvl="0" w:tplc="B75AB0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F26844"/>
    <w:multiLevelType w:val="hybridMultilevel"/>
    <w:tmpl w:val="B85E9E90"/>
    <w:lvl w:ilvl="0" w:tplc="B3FA2D56">
      <w:numFmt w:val="bullet"/>
      <w:lvlText w:val=""/>
      <w:lvlJc w:val="left"/>
      <w:pPr>
        <w:ind w:left="720" w:hanging="360"/>
      </w:pPr>
      <w:rPr>
        <w:rFonts w:ascii="Symbol" w:eastAsiaTheme="minorHAnsi" w:hAnsi="Symbol" w:cs="Aria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9517C"/>
    <w:multiLevelType w:val="hybridMultilevel"/>
    <w:tmpl w:val="79AE9B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4AB65AAD"/>
    <w:multiLevelType w:val="multilevel"/>
    <w:tmpl w:val="83F28422"/>
    <w:styleLink w:val="PriorityGroup"/>
    <w:lvl w:ilvl="0">
      <w:start w:val="1"/>
      <w:numFmt w:val="decimal"/>
      <w:lvlText w:val="Priority Group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3E3767"/>
    <w:multiLevelType w:val="hybridMultilevel"/>
    <w:tmpl w:val="2F5C657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D9D40C4"/>
    <w:multiLevelType w:val="hybridMultilevel"/>
    <w:tmpl w:val="9DEC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C3199A"/>
    <w:multiLevelType w:val="hybridMultilevel"/>
    <w:tmpl w:val="AA50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B56A61"/>
    <w:multiLevelType w:val="hybridMultilevel"/>
    <w:tmpl w:val="FFFFFFFF"/>
    <w:lvl w:ilvl="0" w:tplc="9AB20E84">
      <w:start w:val="1"/>
      <w:numFmt w:val="bullet"/>
      <w:lvlText w:val=""/>
      <w:lvlJc w:val="left"/>
      <w:pPr>
        <w:ind w:left="720" w:hanging="360"/>
      </w:pPr>
      <w:rPr>
        <w:rFonts w:ascii="Symbol" w:hAnsi="Symbol" w:hint="default"/>
      </w:rPr>
    </w:lvl>
    <w:lvl w:ilvl="1" w:tplc="410CF914">
      <w:start w:val="1"/>
      <w:numFmt w:val="bullet"/>
      <w:lvlText w:val="o"/>
      <w:lvlJc w:val="left"/>
      <w:pPr>
        <w:ind w:left="1440" w:hanging="360"/>
      </w:pPr>
      <w:rPr>
        <w:rFonts w:ascii="Courier New" w:hAnsi="Courier New" w:hint="default"/>
      </w:rPr>
    </w:lvl>
    <w:lvl w:ilvl="2" w:tplc="3782CC96">
      <w:start w:val="1"/>
      <w:numFmt w:val="bullet"/>
      <w:lvlText w:val=""/>
      <w:lvlJc w:val="left"/>
      <w:pPr>
        <w:ind w:left="2160" w:hanging="360"/>
      </w:pPr>
      <w:rPr>
        <w:rFonts w:ascii="Wingdings" w:hAnsi="Wingdings" w:hint="default"/>
      </w:rPr>
    </w:lvl>
    <w:lvl w:ilvl="3" w:tplc="1D9C5212">
      <w:start w:val="1"/>
      <w:numFmt w:val="bullet"/>
      <w:lvlText w:val=""/>
      <w:lvlJc w:val="left"/>
      <w:pPr>
        <w:ind w:left="2880" w:hanging="360"/>
      </w:pPr>
      <w:rPr>
        <w:rFonts w:ascii="Symbol" w:hAnsi="Symbol" w:hint="default"/>
      </w:rPr>
    </w:lvl>
    <w:lvl w:ilvl="4" w:tplc="020A78DA">
      <w:start w:val="1"/>
      <w:numFmt w:val="bullet"/>
      <w:lvlText w:val="o"/>
      <w:lvlJc w:val="left"/>
      <w:pPr>
        <w:ind w:left="3600" w:hanging="360"/>
      </w:pPr>
      <w:rPr>
        <w:rFonts w:ascii="Courier New" w:hAnsi="Courier New" w:hint="default"/>
      </w:rPr>
    </w:lvl>
    <w:lvl w:ilvl="5" w:tplc="C56A2942">
      <w:start w:val="1"/>
      <w:numFmt w:val="bullet"/>
      <w:lvlText w:val=""/>
      <w:lvlJc w:val="left"/>
      <w:pPr>
        <w:ind w:left="4320" w:hanging="360"/>
      </w:pPr>
      <w:rPr>
        <w:rFonts w:ascii="Wingdings" w:hAnsi="Wingdings" w:hint="default"/>
      </w:rPr>
    </w:lvl>
    <w:lvl w:ilvl="6" w:tplc="4EC40A96">
      <w:start w:val="1"/>
      <w:numFmt w:val="bullet"/>
      <w:lvlText w:val=""/>
      <w:lvlJc w:val="left"/>
      <w:pPr>
        <w:ind w:left="5040" w:hanging="360"/>
      </w:pPr>
      <w:rPr>
        <w:rFonts w:ascii="Symbol" w:hAnsi="Symbol" w:hint="default"/>
      </w:rPr>
    </w:lvl>
    <w:lvl w:ilvl="7" w:tplc="797AD19C">
      <w:start w:val="1"/>
      <w:numFmt w:val="bullet"/>
      <w:lvlText w:val="o"/>
      <w:lvlJc w:val="left"/>
      <w:pPr>
        <w:ind w:left="5760" w:hanging="360"/>
      </w:pPr>
      <w:rPr>
        <w:rFonts w:ascii="Courier New" w:hAnsi="Courier New" w:hint="default"/>
      </w:rPr>
    </w:lvl>
    <w:lvl w:ilvl="8" w:tplc="075EE4E6">
      <w:start w:val="1"/>
      <w:numFmt w:val="bullet"/>
      <w:lvlText w:val=""/>
      <w:lvlJc w:val="left"/>
      <w:pPr>
        <w:ind w:left="6480" w:hanging="360"/>
      </w:pPr>
      <w:rPr>
        <w:rFonts w:ascii="Wingdings" w:hAnsi="Wingdings" w:hint="default"/>
      </w:rPr>
    </w:lvl>
  </w:abstractNum>
  <w:abstractNum w:abstractNumId="32" w15:restartNumberingAfterBreak="0">
    <w:nsid w:val="58417C09"/>
    <w:multiLevelType w:val="hybridMultilevel"/>
    <w:tmpl w:val="736E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584F5F"/>
    <w:multiLevelType w:val="hybridMultilevel"/>
    <w:tmpl w:val="48CC37F4"/>
    <w:lvl w:ilvl="0" w:tplc="0616FD9A">
      <w:start w:val="1"/>
      <w:numFmt w:val="bullet"/>
      <w:lvlText w:val=""/>
      <w:lvlJc w:val="left"/>
      <w:pPr>
        <w:ind w:left="720" w:hanging="360"/>
      </w:pPr>
      <w:rPr>
        <w:rFonts w:ascii="Symbol" w:hAnsi="Symbol" w:hint="default"/>
      </w:rPr>
    </w:lvl>
    <w:lvl w:ilvl="1" w:tplc="91F4DD7A">
      <w:start w:val="1"/>
      <w:numFmt w:val="bullet"/>
      <w:lvlText w:val="o"/>
      <w:lvlJc w:val="left"/>
      <w:pPr>
        <w:ind w:left="1440" w:hanging="360"/>
      </w:pPr>
      <w:rPr>
        <w:rFonts w:ascii="Courier New" w:hAnsi="Courier New" w:hint="default"/>
      </w:rPr>
    </w:lvl>
    <w:lvl w:ilvl="2" w:tplc="189C9508">
      <w:start w:val="1"/>
      <w:numFmt w:val="bullet"/>
      <w:lvlText w:val=""/>
      <w:lvlJc w:val="left"/>
      <w:pPr>
        <w:ind w:left="2160" w:hanging="360"/>
      </w:pPr>
      <w:rPr>
        <w:rFonts w:ascii="Wingdings" w:hAnsi="Wingdings" w:hint="default"/>
      </w:rPr>
    </w:lvl>
    <w:lvl w:ilvl="3" w:tplc="CC48A234">
      <w:start w:val="1"/>
      <w:numFmt w:val="bullet"/>
      <w:lvlText w:val=""/>
      <w:lvlJc w:val="left"/>
      <w:pPr>
        <w:ind w:left="2880" w:hanging="360"/>
      </w:pPr>
      <w:rPr>
        <w:rFonts w:ascii="Symbol" w:hAnsi="Symbol" w:hint="default"/>
      </w:rPr>
    </w:lvl>
    <w:lvl w:ilvl="4" w:tplc="2FDEC858">
      <w:start w:val="1"/>
      <w:numFmt w:val="bullet"/>
      <w:lvlText w:val="o"/>
      <w:lvlJc w:val="left"/>
      <w:pPr>
        <w:ind w:left="3600" w:hanging="360"/>
      </w:pPr>
      <w:rPr>
        <w:rFonts w:ascii="Courier New" w:hAnsi="Courier New" w:hint="default"/>
      </w:rPr>
    </w:lvl>
    <w:lvl w:ilvl="5" w:tplc="57747FBC">
      <w:start w:val="1"/>
      <w:numFmt w:val="bullet"/>
      <w:lvlText w:val=""/>
      <w:lvlJc w:val="left"/>
      <w:pPr>
        <w:ind w:left="4320" w:hanging="360"/>
      </w:pPr>
      <w:rPr>
        <w:rFonts w:ascii="Wingdings" w:hAnsi="Wingdings" w:hint="default"/>
      </w:rPr>
    </w:lvl>
    <w:lvl w:ilvl="6" w:tplc="E4C2691A">
      <w:start w:val="1"/>
      <w:numFmt w:val="bullet"/>
      <w:lvlText w:val=""/>
      <w:lvlJc w:val="left"/>
      <w:pPr>
        <w:ind w:left="5040" w:hanging="360"/>
      </w:pPr>
      <w:rPr>
        <w:rFonts w:ascii="Symbol" w:hAnsi="Symbol" w:hint="default"/>
      </w:rPr>
    </w:lvl>
    <w:lvl w:ilvl="7" w:tplc="7B6E9408">
      <w:start w:val="1"/>
      <w:numFmt w:val="bullet"/>
      <w:lvlText w:val="o"/>
      <w:lvlJc w:val="left"/>
      <w:pPr>
        <w:ind w:left="5760" w:hanging="360"/>
      </w:pPr>
      <w:rPr>
        <w:rFonts w:ascii="Courier New" w:hAnsi="Courier New" w:hint="default"/>
      </w:rPr>
    </w:lvl>
    <w:lvl w:ilvl="8" w:tplc="5E124776">
      <w:start w:val="1"/>
      <w:numFmt w:val="bullet"/>
      <w:lvlText w:val=""/>
      <w:lvlJc w:val="left"/>
      <w:pPr>
        <w:ind w:left="6480" w:hanging="360"/>
      </w:pPr>
      <w:rPr>
        <w:rFonts w:ascii="Wingdings" w:hAnsi="Wingdings" w:hint="default"/>
      </w:rPr>
    </w:lvl>
  </w:abstractNum>
  <w:abstractNum w:abstractNumId="34" w15:restartNumberingAfterBreak="0">
    <w:nsid w:val="5A890BB4"/>
    <w:multiLevelType w:val="hybridMultilevel"/>
    <w:tmpl w:val="C3562F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687CA9"/>
    <w:multiLevelType w:val="multilevel"/>
    <w:tmpl w:val="660A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807D15"/>
    <w:multiLevelType w:val="hybridMultilevel"/>
    <w:tmpl w:val="A1EE939C"/>
    <w:lvl w:ilvl="0" w:tplc="DA72FD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AA3E07"/>
    <w:multiLevelType w:val="hybridMultilevel"/>
    <w:tmpl w:val="A2BE0504"/>
    <w:lvl w:ilvl="0" w:tplc="FFFFFFFF">
      <w:start w:val="1"/>
      <w:numFmt w:val="bullet"/>
      <w:lvlText w:val=""/>
      <w:lvlJc w:val="left"/>
      <w:pPr>
        <w:ind w:left="720" w:hanging="360"/>
      </w:pPr>
      <w:rPr>
        <w:rFonts w:ascii="Symbol" w:hAnsi="Symbol" w:hint="default"/>
      </w:rPr>
    </w:lvl>
    <w:lvl w:ilvl="1" w:tplc="B4A6BC2C">
      <w:start w:val="1"/>
      <w:numFmt w:val="bullet"/>
      <w:lvlText w:val="o"/>
      <w:lvlJc w:val="left"/>
      <w:pPr>
        <w:ind w:left="1440" w:hanging="360"/>
      </w:pPr>
      <w:rPr>
        <w:rFonts w:ascii="Courier New" w:hAnsi="Courier New" w:hint="default"/>
      </w:rPr>
    </w:lvl>
    <w:lvl w:ilvl="2" w:tplc="60CCD5BE">
      <w:start w:val="1"/>
      <w:numFmt w:val="bullet"/>
      <w:lvlText w:val=""/>
      <w:lvlJc w:val="left"/>
      <w:pPr>
        <w:ind w:left="2160" w:hanging="360"/>
      </w:pPr>
      <w:rPr>
        <w:rFonts w:ascii="Wingdings" w:hAnsi="Wingdings" w:hint="default"/>
      </w:rPr>
    </w:lvl>
    <w:lvl w:ilvl="3" w:tplc="6E7ACBD8">
      <w:start w:val="1"/>
      <w:numFmt w:val="bullet"/>
      <w:lvlText w:val=""/>
      <w:lvlJc w:val="left"/>
      <w:pPr>
        <w:ind w:left="2880" w:hanging="360"/>
      </w:pPr>
      <w:rPr>
        <w:rFonts w:ascii="Symbol" w:hAnsi="Symbol" w:hint="default"/>
      </w:rPr>
    </w:lvl>
    <w:lvl w:ilvl="4" w:tplc="ADC4CA12">
      <w:start w:val="1"/>
      <w:numFmt w:val="bullet"/>
      <w:lvlText w:val="o"/>
      <w:lvlJc w:val="left"/>
      <w:pPr>
        <w:ind w:left="3600" w:hanging="360"/>
      </w:pPr>
      <w:rPr>
        <w:rFonts w:ascii="Courier New" w:hAnsi="Courier New" w:hint="default"/>
      </w:rPr>
    </w:lvl>
    <w:lvl w:ilvl="5" w:tplc="9BC45722">
      <w:start w:val="1"/>
      <w:numFmt w:val="bullet"/>
      <w:lvlText w:val=""/>
      <w:lvlJc w:val="left"/>
      <w:pPr>
        <w:ind w:left="4320" w:hanging="360"/>
      </w:pPr>
      <w:rPr>
        <w:rFonts w:ascii="Wingdings" w:hAnsi="Wingdings" w:hint="default"/>
      </w:rPr>
    </w:lvl>
    <w:lvl w:ilvl="6" w:tplc="4328D1E0">
      <w:start w:val="1"/>
      <w:numFmt w:val="bullet"/>
      <w:lvlText w:val=""/>
      <w:lvlJc w:val="left"/>
      <w:pPr>
        <w:ind w:left="5040" w:hanging="360"/>
      </w:pPr>
      <w:rPr>
        <w:rFonts w:ascii="Symbol" w:hAnsi="Symbol" w:hint="default"/>
      </w:rPr>
    </w:lvl>
    <w:lvl w:ilvl="7" w:tplc="3CFC0840">
      <w:start w:val="1"/>
      <w:numFmt w:val="bullet"/>
      <w:lvlText w:val="o"/>
      <w:lvlJc w:val="left"/>
      <w:pPr>
        <w:ind w:left="5760" w:hanging="360"/>
      </w:pPr>
      <w:rPr>
        <w:rFonts w:ascii="Courier New" w:hAnsi="Courier New" w:hint="default"/>
      </w:rPr>
    </w:lvl>
    <w:lvl w:ilvl="8" w:tplc="C2A6131A">
      <w:start w:val="1"/>
      <w:numFmt w:val="bullet"/>
      <w:lvlText w:val=""/>
      <w:lvlJc w:val="left"/>
      <w:pPr>
        <w:ind w:left="6480" w:hanging="360"/>
      </w:pPr>
      <w:rPr>
        <w:rFonts w:ascii="Wingdings" w:hAnsi="Wingdings" w:hint="default"/>
      </w:rPr>
    </w:lvl>
  </w:abstractNum>
  <w:abstractNum w:abstractNumId="38" w15:restartNumberingAfterBreak="0">
    <w:nsid w:val="62C33012"/>
    <w:multiLevelType w:val="multilevel"/>
    <w:tmpl w:val="6D663B8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2F81A05"/>
    <w:multiLevelType w:val="hybridMultilevel"/>
    <w:tmpl w:val="B1B645A6"/>
    <w:lvl w:ilvl="0" w:tplc="B75AB0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3AC76C8"/>
    <w:multiLevelType w:val="hybridMultilevel"/>
    <w:tmpl w:val="38A8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933F9E"/>
    <w:multiLevelType w:val="hybridMultilevel"/>
    <w:tmpl w:val="9C92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CB2314"/>
    <w:multiLevelType w:val="hybridMultilevel"/>
    <w:tmpl w:val="2938A3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C7B66C6"/>
    <w:multiLevelType w:val="hybridMultilevel"/>
    <w:tmpl w:val="F6EEB4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6CB771DF"/>
    <w:multiLevelType w:val="hybridMultilevel"/>
    <w:tmpl w:val="A182A976"/>
    <w:lvl w:ilvl="0" w:tplc="B75AB0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FB5C7E"/>
    <w:multiLevelType w:val="hybridMultilevel"/>
    <w:tmpl w:val="39F617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6FF301F6"/>
    <w:multiLevelType w:val="hybridMultilevel"/>
    <w:tmpl w:val="E4D0A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9A7E22"/>
    <w:multiLevelType w:val="hybridMultilevel"/>
    <w:tmpl w:val="864C8A76"/>
    <w:lvl w:ilvl="0" w:tplc="217AC74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F1557C"/>
    <w:multiLevelType w:val="hybridMultilevel"/>
    <w:tmpl w:val="9AF4EEF8"/>
    <w:lvl w:ilvl="0" w:tplc="178CD966">
      <w:numFmt w:val="bullet"/>
      <w:lvlText w:val=""/>
      <w:lvlJc w:val="left"/>
      <w:pPr>
        <w:ind w:left="770" w:hanging="360"/>
      </w:pPr>
      <w:rPr>
        <w:rFonts w:ascii="Symbol" w:eastAsiaTheme="minorHAnsi" w:hAnsi="Symbol" w:cs="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0" w15:restartNumberingAfterBreak="0">
    <w:nsid w:val="74094FB9"/>
    <w:multiLevelType w:val="multilevel"/>
    <w:tmpl w:val="9CB09B2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asciiTheme="minorHAnsi" w:eastAsiaTheme="minorHAnsi" w:hAnsiTheme="minorHAnsi" w:hint="default"/>
      </w:rPr>
    </w:lvl>
    <w:lvl w:ilvl="2">
      <w:start w:val="1"/>
      <w:numFmt w:val="decimal"/>
      <w:isLgl/>
      <w:lvlText w:val="%1.%2.%3"/>
      <w:lvlJc w:val="left"/>
      <w:pPr>
        <w:ind w:left="720" w:hanging="720"/>
      </w:pPr>
      <w:rPr>
        <w:rFonts w:asciiTheme="minorHAnsi" w:eastAsiaTheme="minorHAnsi" w:hAnsiTheme="minorHAnsi" w:hint="default"/>
      </w:rPr>
    </w:lvl>
    <w:lvl w:ilvl="3">
      <w:start w:val="1"/>
      <w:numFmt w:val="decimal"/>
      <w:isLgl/>
      <w:lvlText w:val="%1.%2.%3.%4"/>
      <w:lvlJc w:val="left"/>
      <w:pPr>
        <w:ind w:left="1080" w:hanging="1080"/>
      </w:pPr>
      <w:rPr>
        <w:rFonts w:asciiTheme="minorHAnsi" w:eastAsiaTheme="minorHAnsi" w:hAnsiTheme="minorHAnsi" w:hint="default"/>
      </w:rPr>
    </w:lvl>
    <w:lvl w:ilvl="4">
      <w:start w:val="1"/>
      <w:numFmt w:val="decimal"/>
      <w:isLgl/>
      <w:lvlText w:val="%1.%2.%3.%4.%5"/>
      <w:lvlJc w:val="left"/>
      <w:pPr>
        <w:ind w:left="1080" w:hanging="1080"/>
      </w:pPr>
      <w:rPr>
        <w:rFonts w:asciiTheme="minorHAnsi" w:eastAsiaTheme="minorHAnsi" w:hAnsiTheme="minorHAnsi" w:hint="default"/>
      </w:rPr>
    </w:lvl>
    <w:lvl w:ilvl="5">
      <w:start w:val="1"/>
      <w:numFmt w:val="decimal"/>
      <w:isLgl/>
      <w:lvlText w:val="%1.%2.%3.%4.%5.%6"/>
      <w:lvlJc w:val="left"/>
      <w:pPr>
        <w:ind w:left="1440" w:hanging="1440"/>
      </w:pPr>
      <w:rPr>
        <w:rFonts w:asciiTheme="minorHAnsi" w:eastAsiaTheme="minorHAnsi" w:hAnsiTheme="minorHAnsi" w:hint="default"/>
      </w:rPr>
    </w:lvl>
    <w:lvl w:ilvl="6">
      <w:start w:val="1"/>
      <w:numFmt w:val="decimal"/>
      <w:isLgl/>
      <w:lvlText w:val="%1.%2.%3.%4.%5.%6.%7"/>
      <w:lvlJc w:val="left"/>
      <w:pPr>
        <w:ind w:left="1440" w:hanging="1440"/>
      </w:pPr>
      <w:rPr>
        <w:rFonts w:asciiTheme="minorHAnsi" w:eastAsiaTheme="minorHAnsi" w:hAnsiTheme="minorHAnsi" w:hint="default"/>
      </w:rPr>
    </w:lvl>
    <w:lvl w:ilvl="7">
      <w:start w:val="1"/>
      <w:numFmt w:val="decimal"/>
      <w:isLgl/>
      <w:lvlText w:val="%1.%2.%3.%4.%5.%6.%7.%8"/>
      <w:lvlJc w:val="left"/>
      <w:pPr>
        <w:ind w:left="1800" w:hanging="1800"/>
      </w:pPr>
      <w:rPr>
        <w:rFonts w:asciiTheme="minorHAnsi" w:eastAsiaTheme="minorHAnsi" w:hAnsiTheme="minorHAnsi" w:hint="default"/>
      </w:rPr>
    </w:lvl>
    <w:lvl w:ilvl="8">
      <w:start w:val="1"/>
      <w:numFmt w:val="decimal"/>
      <w:isLgl/>
      <w:lvlText w:val="%1.%2.%3.%4.%5.%6.%7.%8.%9"/>
      <w:lvlJc w:val="left"/>
      <w:pPr>
        <w:ind w:left="2160" w:hanging="2160"/>
      </w:pPr>
      <w:rPr>
        <w:rFonts w:asciiTheme="minorHAnsi" w:eastAsiaTheme="minorHAnsi" w:hAnsiTheme="minorHAnsi" w:hint="default"/>
      </w:rPr>
    </w:lvl>
  </w:abstractNum>
  <w:abstractNum w:abstractNumId="51" w15:restartNumberingAfterBreak="0">
    <w:nsid w:val="75AF140A"/>
    <w:multiLevelType w:val="hybridMultilevel"/>
    <w:tmpl w:val="EE7A6592"/>
    <w:lvl w:ilvl="0" w:tplc="178CD966">
      <w:numFmt w:val="bullet"/>
      <w:lvlText w:val=""/>
      <w:lvlJc w:val="left"/>
      <w:pPr>
        <w:ind w:left="360" w:hanging="360"/>
      </w:pPr>
      <w:rPr>
        <w:rFonts w:ascii="Symbol" w:eastAsiaTheme="minorHAnsi" w:hAnsi="Symbo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7194C2B"/>
    <w:multiLevelType w:val="hybridMultilevel"/>
    <w:tmpl w:val="AAF4D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F95B9E"/>
    <w:multiLevelType w:val="hybridMultilevel"/>
    <w:tmpl w:val="25A20F56"/>
    <w:lvl w:ilvl="0" w:tplc="9A8A0F0A">
      <w:start w:val="1"/>
      <w:numFmt w:val="decimal"/>
      <w:lvlText w:val="%1."/>
      <w:lvlJc w:val="left"/>
      <w:pPr>
        <w:ind w:left="720" w:hanging="360"/>
      </w:pPr>
    </w:lvl>
    <w:lvl w:ilvl="1" w:tplc="71BA534C">
      <w:start w:val="1"/>
      <w:numFmt w:val="lowerLetter"/>
      <w:lvlText w:val="%2."/>
      <w:lvlJc w:val="left"/>
      <w:pPr>
        <w:ind w:left="1440" w:hanging="360"/>
      </w:pPr>
    </w:lvl>
    <w:lvl w:ilvl="2" w:tplc="10DC181C">
      <w:start w:val="1"/>
      <w:numFmt w:val="lowerRoman"/>
      <w:lvlText w:val="%3."/>
      <w:lvlJc w:val="right"/>
      <w:pPr>
        <w:ind w:left="2160" w:hanging="180"/>
      </w:pPr>
    </w:lvl>
    <w:lvl w:ilvl="3" w:tplc="36862CFA">
      <w:start w:val="1"/>
      <w:numFmt w:val="decimal"/>
      <w:lvlText w:val="%4."/>
      <w:lvlJc w:val="left"/>
      <w:pPr>
        <w:ind w:left="2880" w:hanging="360"/>
      </w:pPr>
    </w:lvl>
    <w:lvl w:ilvl="4" w:tplc="CAFCBC30">
      <w:start w:val="1"/>
      <w:numFmt w:val="lowerLetter"/>
      <w:lvlText w:val="%5."/>
      <w:lvlJc w:val="left"/>
      <w:pPr>
        <w:ind w:left="3600" w:hanging="360"/>
      </w:pPr>
    </w:lvl>
    <w:lvl w:ilvl="5" w:tplc="F4DC3CFC">
      <w:start w:val="1"/>
      <w:numFmt w:val="lowerRoman"/>
      <w:lvlText w:val="%6."/>
      <w:lvlJc w:val="right"/>
      <w:pPr>
        <w:ind w:left="4320" w:hanging="180"/>
      </w:pPr>
    </w:lvl>
    <w:lvl w:ilvl="6" w:tplc="F844CB5A">
      <w:start w:val="1"/>
      <w:numFmt w:val="decimal"/>
      <w:lvlText w:val="%7."/>
      <w:lvlJc w:val="left"/>
      <w:pPr>
        <w:ind w:left="5040" w:hanging="360"/>
      </w:pPr>
    </w:lvl>
    <w:lvl w:ilvl="7" w:tplc="CB561F14">
      <w:start w:val="1"/>
      <w:numFmt w:val="lowerLetter"/>
      <w:lvlText w:val="%8."/>
      <w:lvlJc w:val="left"/>
      <w:pPr>
        <w:ind w:left="5760" w:hanging="360"/>
      </w:pPr>
    </w:lvl>
    <w:lvl w:ilvl="8" w:tplc="BC964C80">
      <w:start w:val="1"/>
      <w:numFmt w:val="lowerRoman"/>
      <w:lvlText w:val="%9."/>
      <w:lvlJc w:val="right"/>
      <w:pPr>
        <w:ind w:left="6480" w:hanging="180"/>
      </w:pPr>
    </w:lvl>
  </w:abstractNum>
  <w:abstractNum w:abstractNumId="54" w15:restartNumberingAfterBreak="0">
    <w:nsid w:val="7F302B61"/>
    <w:multiLevelType w:val="hybridMultilevel"/>
    <w:tmpl w:val="B6F2E9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37"/>
  </w:num>
  <w:num w:numId="3">
    <w:abstractNumId w:val="40"/>
  </w:num>
  <w:num w:numId="4">
    <w:abstractNumId w:val="20"/>
  </w:num>
  <w:num w:numId="5">
    <w:abstractNumId w:val="1"/>
  </w:num>
  <w:num w:numId="6">
    <w:abstractNumId w:val="36"/>
  </w:num>
  <w:num w:numId="7">
    <w:abstractNumId w:val="27"/>
  </w:num>
  <w:num w:numId="8">
    <w:abstractNumId w:val="17"/>
  </w:num>
  <w:num w:numId="9">
    <w:abstractNumId w:val="19"/>
  </w:num>
  <w:num w:numId="10">
    <w:abstractNumId w:val="4"/>
  </w:num>
  <w:num w:numId="11">
    <w:abstractNumId w:val="24"/>
  </w:num>
  <w:num w:numId="12">
    <w:abstractNumId w:val="38"/>
  </w:num>
  <w:num w:numId="13">
    <w:abstractNumId w:val="2"/>
  </w:num>
  <w:num w:numId="14">
    <w:abstractNumId w:val="23"/>
  </w:num>
  <w:num w:numId="15">
    <w:abstractNumId w:val="35"/>
  </w:num>
  <w:num w:numId="16">
    <w:abstractNumId w:val="48"/>
  </w:num>
  <w:num w:numId="17">
    <w:abstractNumId w:val="3"/>
  </w:num>
  <w:num w:numId="18">
    <w:abstractNumId w:val="13"/>
  </w:num>
  <w:num w:numId="19">
    <w:abstractNumId w:val="14"/>
  </w:num>
  <w:num w:numId="20">
    <w:abstractNumId w:val="43"/>
  </w:num>
  <w:num w:numId="21">
    <w:abstractNumId w:val="34"/>
  </w:num>
  <w:num w:numId="22">
    <w:abstractNumId w:val="9"/>
  </w:num>
  <w:num w:numId="23">
    <w:abstractNumId w:val="28"/>
  </w:num>
  <w:num w:numId="24">
    <w:abstractNumId w:val="0"/>
  </w:num>
  <w:num w:numId="25">
    <w:abstractNumId w:val="44"/>
  </w:num>
  <w:num w:numId="26">
    <w:abstractNumId w:val="52"/>
  </w:num>
  <w:num w:numId="27">
    <w:abstractNumId w:val="38"/>
  </w:num>
  <w:num w:numId="28">
    <w:abstractNumId w:val="38"/>
  </w:num>
  <w:num w:numId="29">
    <w:abstractNumId w:val="54"/>
  </w:num>
  <w:num w:numId="30">
    <w:abstractNumId w:val="25"/>
  </w:num>
  <w:num w:numId="31">
    <w:abstractNumId w:val="22"/>
  </w:num>
  <w:num w:numId="32">
    <w:abstractNumId w:val="11"/>
  </w:num>
  <w:num w:numId="33">
    <w:abstractNumId w:val="21"/>
  </w:num>
  <w:num w:numId="34">
    <w:abstractNumId w:val="42"/>
  </w:num>
  <w:num w:numId="35">
    <w:abstractNumId w:val="32"/>
  </w:num>
  <w:num w:numId="36">
    <w:abstractNumId w:val="38"/>
  </w:num>
  <w:num w:numId="37">
    <w:abstractNumId w:val="6"/>
  </w:num>
  <w:num w:numId="38">
    <w:abstractNumId w:val="15"/>
  </w:num>
  <w:num w:numId="39">
    <w:abstractNumId w:val="16"/>
  </w:num>
  <w:num w:numId="40">
    <w:abstractNumId w:val="20"/>
  </w:num>
  <w:num w:numId="41">
    <w:abstractNumId w:val="47"/>
  </w:num>
  <w:num w:numId="42">
    <w:abstractNumId w:val="8"/>
  </w:num>
  <w:num w:numId="43">
    <w:abstractNumId w:val="41"/>
  </w:num>
  <w:num w:numId="44">
    <w:abstractNumId w:val="7"/>
  </w:num>
  <w:num w:numId="45">
    <w:abstractNumId w:val="50"/>
  </w:num>
  <w:num w:numId="46">
    <w:abstractNumId w:val="29"/>
  </w:num>
  <w:num w:numId="47">
    <w:abstractNumId w:val="5"/>
  </w:num>
  <w:num w:numId="48">
    <w:abstractNumId w:val="39"/>
  </w:num>
  <w:num w:numId="49">
    <w:abstractNumId w:val="18"/>
  </w:num>
  <w:num w:numId="50">
    <w:abstractNumId w:val="30"/>
  </w:num>
  <w:num w:numId="51">
    <w:abstractNumId w:val="46"/>
  </w:num>
  <w:num w:numId="52">
    <w:abstractNumId w:val="26"/>
  </w:num>
  <w:num w:numId="53">
    <w:abstractNumId w:val="10"/>
  </w:num>
  <w:num w:numId="54">
    <w:abstractNumId w:val="33"/>
  </w:num>
  <w:num w:numId="55">
    <w:abstractNumId w:val="53"/>
  </w:num>
  <w:num w:numId="56">
    <w:abstractNumId w:val="12"/>
  </w:num>
  <w:num w:numId="57">
    <w:abstractNumId w:val="45"/>
  </w:num>
  <w:num w:numId="58">
    <w:abstractNumId w:val="49"/>
  </w:num>
  <w:num w:numId="59">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06FC"/>
    <w:rsid w:val="000018B0"/>
    <w:rsid w:val="000018D7"/>
    <w:rsid w:val="00001BA5"/>
    <w:rsid w:val="00002348"/>
    <w:rsid w:val="00003580"/>
    <w:rsid w:val="00003987"/>
    <w:rsid w:val="00012542"/>
    <w:rsid w:val="000154D5"/>
    <w:rsid w:val="0001618B"/>
    <w:rsid w:val="000166AC"/>
    <w:rsid w:val="00017B59"/>
    <w:rsid w:val="000200E6"/>
    <w:rsid w:val="00020B7B"/>
    <w:rsid w:val="0002408E"/>
    <w:rsid w:val="000241CF"/>
    <w:rsid w:val="00024341"/>
    <w:rsid w:val="00024EB1"/>
    <w:rsid w:val="000256B1"/>
    <w:rsid w:val="00027C66"/>
    <w:rsid w:val="0003065E"/>
    <w:rsid w:val="00031CA8"/>
    <w:rsid w:val="000326DD"/>
    <w:rsid w:val="00032A00"/>
    <w:rsid w:val="000340CF"/>
    <w:rsid w:val="00034128"/>
    <w:rsid w:val="00034D5B"/>
    <w:rsid w:val="000355E0"/>
    <w:rsid w:val="00035B80"/>
    <w:rsid w:val="00036682"/>
    <w:rsid w:val="000368DB"/>
    <w:rsid w:val="00036CB0"/>
    <w:rsid w:val="00036D7C"/>
    <w:rsid w:val="00037148"/>
    <w:rsid w:val="000413C4"/>
    <w:rsid w:val="00041E68"/>
    <w:rsid w:val="00044760"/>
    <w:rsid w:val="000448BE"/>
    <w:rsid w:val="00044B26"/>
    <w:rsid w:val="00044BCB"/>
    <w:rsid w:val="00044C94"/>
    <w:rsid w:val="00045333"/>
    <w:rsid w:val="00045CB9"/>
    <w:rsid w:val="00046684"/>
    <w:rsid w:val="00051004"/>
    <w:rsid w:val="0005158F"/>
    <w:rsid w:val="00051DA3"/>
    <w:rsid w:val="0005299B"/>
    <w:rsid w:val="00052AB5"/>
    <w:rsid w:val="000536A6"/>
    <w:rsid w:val="00054B66"/>
    <w:rsid w:val="000558A8"/>
    <w:rsid w:val="00056BAD"/>
    <w:rsid w:val="00056CB2"/>
    <w:rsid w:val="00061225"/>
    <w:rsid w:val="00061396"/>
    <w:rsid w:val="0006260D"/>
    <w:rsid w:val="00062947"/>
    <w:rsid w:val="00063FDE"/>
    <w:rsid w:val="00064A56"/>
    <w:rsid w:val="00065431"/>
    <w:rsid w:val="00065843"/>
    <w:rsid w:val="0006603E"/>
    <w:rsid w:val="000706A9"/>
    <w:rsid w:val="000722B1"/>
    <w:rsid w:val="000734AB"/>
    <w:rsid w:val="00073564"/>
    <w:rsid w:val="00073643"/>
    <w:rsid w:val="000737DD"/>
    <w:rsid w:val="00076FCA"/>
    <w:rsid w:val="00077B14"/>
    <w:rsid w:val="00080DDC"/>
    <w:rsid w:val="00080F17"/>
    <w:rsid w:val="0008180D"/>
    <w:rsid w:val="00082AAE"/>
    <w:rsid w:val="00083105"/>
    <w:rsid w:val="0008314E"/>
    <w:rsid w:val="000839DC"/>
    <w:rsid w:val="00084B84"/>
    <w:rsid w:val="00085AE8"/>
    <w:rsid w:val="00085DB8"/>
    <w:rsid w:val="00086B6B"/>
    <w:rsid w:val="00086DDA"/>
    <w:rsid w:val="00091B54"/>
    <w:rsid w:val="000925BF"/>
    <w:rsid w:val="000929BF"/>
    <w:rsid w:val="00092D94"/>
    <w:rsid w:val="00095026"/>
    <w:rsid w:val="0009524A"/>
    <w:rsid w:val="00095F37"/>
    <w:rsid w:val="000A0846"/>
    <w:rsid w:val="000A0DAD"/>
    <w:rsid w:val="000A1811"/>
    <w:rsid w:val="000A20FA"/>
    <w:rsid w:val="000A2B14"/>
    <w:rsid w:val="000A2E47"/>
    <w:rsid w:val="000A66E0"/>
    <w:rsid w:val="000A6976"/>
    <w:rsid w:val="000A6C44"/>
    <w:rsid w:val="000A77EB"/>
    <w:rsid w:val="000B03CC"/>
    <w:rsid w:val="000B4847"/>
    <w:rsid w:val="000B5692"/>
    <w:rsid w:val="000B581D"/>
    <w:rsid w:val="000B6815"/>
    <w:rsid w:val="000C0763"/>
    <w:rsid w:val="000C189C"/>
    <w:rsid w:val="000C3907"/>
    <w:rsid w:val="000C4FB1"/>
    <w:rsid w:val="000C5E4B"/>
    <w:rsid w:val="000C6EA6"/>
    <w:rsid w:val="000D0661"/>
    <w:rsid w:val="000D0861"/>
    <w:rsid w:val="000D24B4"/>
    <w:rsid w:val="000D2F3B"/>
    <w:rsid w:val="000D33EF"/>
    <w:rsid w:val="000D42F9"/>
    <w:rsid w:val="000D45B1"/>
    <w:rsid w:val="000D5019"/>
    <w:rsid w:val="000D64D1"/>
    <w:rsid w:val="000E2275"/>
    <w:rsid w:val="000E302B"/>
    <w:rsid w:val="000E4950"/>
    <w:rsid w:val="000E59AC"/>
    <w:rsid w:val="000E70DC"/>
    <w:rsid w:val="000E71E5"/>
    <w:rsid w:val="000E7712"/>
    <w:rsid w:val="000F0815"/>
    <w:rsid w:val="000F08D0"/>
    <w:rsid w:val="000F31CC"/>
    <w:rsid w:val="000F3D54"/>
    <w:rsid w:val="000F43C5"/>
    <w:rsid w:val="000F513A"/>
    <w:rsid w:val="000F78DB"/>
    <w:rsid w:val="000F7929"/>
    <w:rsid w:val="000F7C80"/>
    <w:rsid w:val="00101EDB"/>
    <w:rsid w:val="00102DB2"/>
    <w:rsid w:val="00103412"/>
    <w:rsid w:val="001049EB"/>
    <w:rsid w:val="0010606D"/>
    <w:rsid w:val="001063D5"/>
    <w:rsid w:val="00106FAD"/>
    <w:rsid w:val="00107DA9"/>
    <w:rsid w:val="00110A9A"/>
    <w:rsid w:val="00111854"/>
    <w:rsid w:val="00112A62"/>
    <w:rsid w:val="0011326B"/>
    <w:rsid w:val="00113333"/>
    <w:rsid w:val="00114A5F"/>
    <w:rsid w:val="00114E43"/>
    <w:rsid w:val="001165B3"/>
    <w:rsid w:val="0012111D"/>
    <w:rsid w:val="001212A9"/>
    <w:rsid w:val="001240EF"/>
    <w:rsid w:val="001248B7"/>
    <w:rsid w:val="0012628A"/>
    <w:rsid w:val="0012668F"/>
    <w:rsid w:val="00127576"/>
    <w:rsid w:val="0013096A"/>
    <w:rsid w:val="00130BC7"/>
    <w:rsid w:val="0013194F"/>
    <w:rsid w:val="001322E1"/>
    <w:rsid w:val="00132CA0"/>
    <w:rsid w:val="001336B1"/>
    <w:rsid w:val="001358E4"/>
    <w:rsid w:val="00135B53"/>
    <w:rsid w:val="0013626D"/>
    <w:rsid w:val="0013669C"/>
    <w:rsid w:val="00137371"/>
    <w:rsid w:val="00141294"/>
    <w:rsid w:val="001430D3"/>
    <w:rsid w:val="001455C5"/>
    <w:rsid w:val="00145BDC"/>
    <w:rsid w:val="001474C4"/>
    <w:rsid w:val="00150A66"/>
    <w:rsid w:val="00152CCF"/>
    <w:rsid w:val="00153104"/>
    <w:rsid w:val="00154223"/>
    <w:rsid w:val="00160224"/>
    <w:rsid w:val="00162165"/>
    <w:rsid w:val="00162F83"/>
    <w:rsid w:val="001638D4"/>
    <w:rsid w:val="00165446"/>
    <w:rsid w:val="00165750"/>
    <w:rsid w:val="001666BA"/>
    <w:rsid w:val="00167174"/>
    <w:rsid w:val="0016767C"/>
    <w:rsid w:val="00170551"/>
    <w:rsid w:val="00170BB8"/>
    <w:rsid w:val="00171147"/>
    <w:rsid w:val="00171D05"/>
    <w:rsid w:val="00173F09"/>
    <w:rsid w:val="00173F36"/>
    <w:rsid w:val="00173F64"/>
    <w:rsid w:val="001744B2"/>
    <w:rsid w:val="0017504B"/>
    <w:rsid w:val="001755FB"/>
    <w:rsid w:val="00175F0B"/>
    <w:rsid w:val="00177A8F"/>
    <w:rsid w:val="00180112"/>
    <w:rsid w:val="00180143"/>
    <w:rsid w:val="0018238C"/>
    <w:rsid w:val="0018386B"/>
    <w:rsid w:val="00183894"/>
    <w:rsid w:val="00183BDE"/>
    <w:rsid w:val="001853CC"/>
    <w:rsid w:val="0018566C"/>
    <w:rsid w:val="00187AF7"/>
    <w:rsid w:val="00190304"/>
    <w:rsid w:val="00190A2C"/>
    <w:rsid w:val="00191892"/>
    <w:rsid w:val="00191B14"/>
    <w:rsid w:val="00191E44"/>
    <w:rsid w:val="00195DCA"/>
    <w:rsid w:val="00196C86"/>
    <w:rsid w:val="001A3288"/>
    <w:rsid w:val="001A3D85"/>
    <w:rsid w:val="001A569B"/>
    <w:rsid w:val="001A6728"/>
    <w:rsid w:val="001A6F8F"/>
    <w:rsid w:val="001A73FF"/>
    <w:rsid w:val="001A7777"/>
    <w:rsid w:val="001B0C1C"/>
    <w:rsid w:val="001B14FC"/>
    <w:rsid w:val="001B1CF7"/>
    <w:rsid w:val="001B3F79"/>
    <w:rsid w:val="001B5193"/>
    <w:rsid w:val="001B64FA"/>
    <w:rsid w:val="001B6F7E"/>
    <w:rsid w:val="001C11C8"/>
    <w:rsid w:val="001C14C1"/>
    <w:rsid w:val="001C1BBB"/>
    <w:rsid w:val="001C209A"/>
    <w:rsid w:val="001C2245"/>
    <w:rsid w:val="001C2682"/>
    <w:rsid w:val="001C3AA7"/>
    <w:rsid w:val="001C4B82"/>
    <w:rsid w:val="001C5B04"/>
    <w:rsid w:val="001C5D40"/>
    <w:rsid w:val="001C7B21"/>
    <w:rsid w:val="001C7DCD"/>
    <w:rsid w:val="001D1DF5"/>
    <w:rsid w:val="001D6123"/>
    <w:rsid w:val="001D7CD8"/>
    <w:rsid w:val="001D7EB2"/>
    <w:rsid w:val="001E3345"/>
    <w:rsid w:val="001E358A"/>
    <w:rsid w:val="001E3E11"/>
    <w:rsid w:val="001E4CD5"/>
    <w:rsid w:val="001E4E0A"/>
    <w:rsid w:val="001E6095"/>
    <w:rsid w:val="001E6D76"/>
    <w:rsid w:val="001E7285"/>
    <w:rsid w:val="001F0DE6"/>
    <w:rsid w:val="001F23A9"/>
    <w:rsid w:val="001F2C36"/>
    <w:rsid w:val="001F3AAF"/>
    <w:rsid w:val="001F487E"/>
    <w:rsid w:val="001F498B"/>
    <w:rsid w:val="001F5523"/>
    <w:rsid w:val="001F5D17"/>
    <w:rsid w:val="001F5F08"/>
    <w:rsid w:val="001F6CDF"/>
    <w:rsid w:val="00200742"/>
    <w:rsid w:val="00201A1D"/>
    <w:rsid w:val="0020420F"/>
    <w:rsid w:val="00204F1E"/>
    <w:rsid w:val="00205545"/>
    <w:rsid w:val="0020601D"/>
    <w:rsid w:val="00206F01"/>
    <w:rsid w:val="00206FF3"/>
    <w:rsid w:val="002076C9"/>
    <w:rsid w:val="002125CF"/>
    <w:rsid w:val="00213CE1"/>
    <w:rsid w:val="002151B1"/>
    <w:rsid w:val="00216AB4"/>
    <w:rsid w:val="0022008D"/>
    <w:rsid w:val="00221156"/>
    <w:rsid w:val="00221ADC"/>
    <w:rsid w:val="00223A31"/>
    <w:rsid w:val="00223ADD"/>
    <w:rsid w:val="00224106"/>
    <w:rsid w:val="0022457C"/>
    <w:rsid w:val="00224755"/>
    <w:rsid w:val="002252A8"/>
    <w:rsid w:val="002267EC"/>
    <w:rsid w:val="00230106"/>
    <w:rsid w:val="00230782"/>
    <w:rsid w:val="00230E11"/>
    <w:rsid w:val="00232553"/>
    <w:rsid w:val="0023378A"/>
    <w:rsid w:val="00234EB9"/>
    <w:rsid w:val="00237086"/>
    <w:rsid w:val="00237929"/>
    <w:rsid w:val="00237F2E"/>
    <w:rsid w:val="00240436"/>
    <w:rsid w:val="0024250A"/>
    <w:rsid w:val="00243105"/>
    <w:rsid w:val="002438AA"/>
    <w:rsid w:val="00244494"/>
    <w:rsid w:val="00244A37"/>
    <w:rsid w:val="00244EF6"/>
    <w:rsid w:val="00245A9A"/>
    <w:rsid w:val="002464B8"/>
    <w:rsid w:val="00246980"/>
    <w:rsid w:val="002479FC"/>
    <w:rsid w:val="0025049E"/>
    <w:rsid w:val="00254508"/>
    <w:rsid w:val="00254D5C"/>
    <w:rsid w:val="00255119"/>
    <w:rsid w:val="002579E0"/>
    <w:rsid w:val="002611A4"/>
    <w:rsid w:val="00261683"/>
    <w:rsid w:val="002618C0"/>
    <w:rsid w:val="00261B05"/>
    <w:rsid w:val="00262E8C"/>
    <w:rsid w:val="0026425D"/>
    <w:rsid w:val="002645A4"/>
    <w:rsid w:val="00265723"/>
    <w:rsid w:val="002658A5"/>
    <w:rsid w:val="00266816"/>
    <w:rsid w:val="00266DAB"/>
    <w:rsid w:val="0027032D"/>
    <w:rsid w:val="002707F0"/>
    <w:rsid w:val="0027119F"/>
    <w:rsid w:val="00271CA8"/>
    <w:rsid w:val="00272408"/>
    <w:rsid w:val="002732A2"/>
    <w:rsid w:val="00274287"/>
    <w:rsid w:val="00274390"/>
    <w:rsid w:val="00275C62"/>
    <w:rsid w:val="00275C7A"/>
    <w:rsid w:val="00276505"/>
    <w:rsid w:val="00280F36"/>
    <w:rsid w:val="00282254"/>
    <w:rsid w:val="0028255C"/>
    <w:rsid w:val="00282C0D"/>
    <w:rsid w:val="002840E0"/>
    <w:rsid w:val="00285F19"/>
    <w:rsid w:val="0028655A"/>
    <w:rsid w:val="0028691C"/>
    <w:rsid w:val="002871F3"/>
    <w:rsid w:val="00287208"/>
    <w:rsid w:val="002874EE"/>
    <w:rsid w:val="00287EBB"/>
    <w:rsid w:val="00290099"/>
    <w:rsid w:val="00292A85"/>
    <w:rsid w:val="0029329E"/>
    <w:rsid w:val="00293E35"/>
    <w:rsid w:val="002941C8"/>
    <w:rsid w:val="00294798"/>
    <w:rsid w:val="00296D9C"/>
    <w:rsid w:val="002A0E2F"/>
    <w:rsid w:val="002A1BF7"/>
    <w:rsid w:val="002A425B"/>
    <w:rsid w:val="002A4FD2"/>
    <w:rsid w:val="002A50CE"/>
    <w:rsid w:val="002A58E5"/>
    <w:rsid w:val="002A6140"/>
    <w:rsid w:val="002A7138"/>
    <w:rsid w:val="002B25A5"/>
    <w:rsid w:val="002B2E4E"/>
    <w:rsid w:val="002B424F"/>
    <w:rsid w:val="002B6F7A"/>
    <w:rsid w:val="002B7842"/>
    <w:rsid w:val="002C0012"/>
    <w:rsid w:val="002C1A04"/>
    <w:rsid w:val="002C3CEA"/>
    <w:rsid w:val="002C4E85"/>
    <w:rsid w:val="002C58F7"/>
    <w:rsid w:val="002C683D"/>
    <w:rsid w:val="002C7FC2"/>
    <w:rsid w:val="002D03B0"/>
    <w:rsid w:val="002D06A7"/>
    <w:rsid w:val="002D1131"/>
    <w:rsid w:val="002D15BF"/>
    <w:rsid w:val="002D19BA"/>
    <w:rsid w:val="002D2FA2"/>
    <w:rsid w:val="002D423B"/>
    <w:rsid w:val="002D4A2F"/>
    <w:rsid w:val="002D5DA5"/>
    <w:rsid w:val="002D6847"/>
    <w:rsid w:val="002D6886"/>
    <w:rsid w:val="002D74B8"/>
    <w:rsid w:val="002E1F68"/>
    <w:rsid w:val="002E32C0"/>
    <w:rsid w:val="002E4741"/>
    <w:rsid w:val="002E5089"/>
    <w:rsid w:val="002F2AC1"/>
    <w:rsid w:val="002F2E68"/>
    <w:rsid w:val="002F3AF7"/>
    <w:rsid w:val="002F3B4D"/>
    <w:rsid w:val="002F3F86"/>
    <w:rsid w:val="002F44E2"/>
    <w:rsid w:val="002F4C6B"/>
    <w:rsid w:val="002F5F88"/>
    <w:rsid w:val="002F7AC5"/>
    <w:rsid w:val="0030058A"/>
    <w:rsid w:val="00300614"/>
    <w:rsid w:val="0030065C"/>
    <w:rsid w:val="00300CCD"/>
    <w:rsid w:val="003024DF"/>
    <w:rsid w:val="00303369"/>
    <w:rsid w:val="00303742"/>
    <w:rsid w:val="00304B26"/>
    <w:rsid w:val="00310AD8"/>
    <w:rsid w:val="00311023"/>
    <w:rsid w:val="00311178"/>
    <w:rsid w:val="00312394"/>
    <w:rsid w:val="003124ED"/>
    <w:rsid w:val="00313C80"/>
    <w:rsid w:val="00314761"/>
    <w:rsid w:val="00317C9D"/>
    <w:rsid w:val="00320AB5"/>
    <w:rsid w:val="00320CF5"/>
    <w:rsid w:val="00322CE1"/>
    <w:rsid w:val="003231D8"/>
    <w:rsid w:val="00323396"/>
    <w:rsid w:val="00324E9E"/>
    <w:rsid w:val="003251D9"/>
    <w:rsid w:val="0032BC8C"/>
    <w:rsid w:val="003305A5"/>
    <w:rsid w:val="003330F6"/>
    <w:rsid w:val="00333186"/>
    <w:rsid w:val="00333618"/>
    <w:rsid w:val="00334E43"/>
    <w:rsid w:val="003355CE"/>
    <w:rsid w:val="00335B3E"/>
    <w:rsid w:val="00340561"/>
    <w:rsid w:val="00343BC3"/>
    <w:rsid w:val="00343FDA"/>
    <w:rsid w:val="0034541F"/>
    <w:rsid w:val="00345E66"/>
    <w:rsid w:val="0034651C"/>
    <w:rsid w:val="00346C04"/>
    <w:rsid w:val="00347B39"/>
    <w:rsid w:val="00347CAE"/>
    <w:rsid w:val="00350DD4"/>
    <w:rsid w:val="00351FE1"/>
    <w:rsid w:val="00352269"/>
    <w:rsid w:val="00352EAB"/>
    <w:rsid w:val="0035417A"/>
    <w:rsid w:val="00354371"/>
    <w:rsid w:val="00355A7F"/>
    <w:rsid w:val="00356C38"/>
    <w:rsid w:val="00356E0E"/>
    <w:rsid w:val="00357205"/>
    <w:rsid w:val="00357F69"/>
    <w:rsid w:val="003601F6"/>
    <w:rsid w:val="003618D6"/>
    <w:rsid w:val="0036250F"/>
    <w:rsid w:val="00362825"/>
    <w:rsid w:val="0036314E"/>
    <w:rsid w:val="0036419D"/>
    <w:rsid w:val="003645DC"/>
    <w:rsid w:val="00364BB5"/>
    <w:rsid w:val="00364F86"/>
    <w:rsid w:val="00366A5E"/>
    <w:rsid w:val="00367046"/>
    <w:rsid w:val="003700B7"/>
    <w:rsid w:val="00370159"/>
    <w:rsid w:val="003711A7"/>
    <w:rsid w:val="00371970"/>
    <w:rsid w:val="003721CF"/>
    <w:rsid w:val="003722C9"/>
    <w:rsid w:val="003722E7"/>
    <w:rsid w:val="0037339E"/>
    <w:rsid w:val="003744B3"/>
    <w:rsid w:val="003750BA"/>
    <w:rsid w:val="00375E8F"/>
    <w:rsid w:val="00377A68"/>
    <w:rsid w:val="00377ED3"/>
    <w:rsid w:val="0038014B"/>
    <w:rsid w:val="00380D69"/>
    <w:rsid w:val="00381868"/>
    <w:rsid w:val="00382100"/>
    <w:rsid w:val="00383342"/>
    <w:rsid w:val="00383971"/>
    <w:rsid w:val="00385178"/>
    <w:rsid w:val="003854B1"/>
    <w:rsid w:val="003877B8"/>
    <w:rsid w:val="00387B4B"/>
    <w:rsid w:val="003901F0"/>
    <w:rsid w:val="0039217F"/>
    <w:rsid w:val="00392301"/>
    <w:rsid w:val="00392D3D"/>
    <w:rsid w:val="00392D4A"/>
    <w:rsid w:val="00393576"/>
    <w:rsid w:val="003952D2"/>
    <w:rsid w:val="00395C33"/>
    <w:rsid w:val="00395EF6"/>
    <w:rsid w:val="0039641A"/>
    <w:rsid w:val="00396BF4"/>
    <w:rsid w:val="0039795E"/>
    <w:rsid w:val="00397A12"/>
    <w:rsid w:val="003A06C9"/>
    <w:rsid w:val="003A1B80"/>
    <w:rsid w:val="003A28EA"/>
    <w:rsid w:val="003A2929"/>
    <w:rsid w:val="003A2C69"/>
    <w:rsid w:val="003A3932"/>
    <w:rsid w:val="003A53F4"/>
    <w:rsid w:val="003A54BA"/>
    <w:rsid w:val="003A594A"/>
    <w:rsid w:val="003A75DC"/>
    <w:rsid w:val="003A7CAC"/>
    <w:rsid w:val="003B1818"/>
    <w:rsid w:val="003B249D"/>
    <w:rsid w:val="003B25F9"/>
    <w:rsid w:val="003B4AFA"/>
    <w:rsid w:val="003B60D3"/>
    <w:rsid w:val="003B794C"/>
    <w:rsid w:val="003C00F9"/>
    <w:rsid w:val="003C14C1"/>
    <w:rsid w:val="003C1BC1"/>
    <w:rsid w:val="003C1BF8"/>
    <w:rsid w:val="003C1C54"/>
    <w:rsid w:val="003C2F87"/>
    <w:rsid w:val="003C3E19"/>
    <w:rsid w:val="003C44D1"/>
    <w:rsid w:val="003C4729"/>
    <w:rsid w:val="003C49B1"/>
    <w:rsid w:val="003C5340"/>
    <w:rsid w:val="003C649C"/>
    <w:rsid w:val="003C6F00"/>
    <w:rsid w:val="003C73F7"/>
    <w:rsid w:val="003C7BFB"/>
    <w:rsid w:val="003D0639"/>
    <w:rsid w:val="003D079D"/>
    <w:rsid w:val="003D0D67"/>
    <w:rsid w:val="003D33F1"/>
    <w:rsid w:val="003D4C30"/>
    <w:rsid w:val="003D590B"/>
    <w:rsid w:val="003D68D8"/>
    <w:rsid w:val="003E1212"/>
    <w:rsid w:val="003E13C3"/>
    <w:rsid w:val="003E16DF"/>
    <w:rsid w:val="003E2BFF"/>
    <w:rsid w:val="003E3A52"/>
    <w:rsid w:val="003E5714"/>
    <w:rsid w:val="003F33B2"/>
    <w:rsid w:val="003F4F7A"/>
    <w:rsid w:val="003F4FCE"/>
    <w:rsid w:val="003F54AA"/>
    <w:rsid w:val="003F6C53"/>
    <w:rsid w:val="003F77D2"/>
    <w:rsid w:val="00400535"/>
    <w:rsid w:val="00400CBC"/>
    <w:rsid w:val="00403161"/>
    <w:rsid w:val="00403AD5"/>
    <w:rsid w:val="004041DE"/>
    <w:rsid w:val="00404561"/>
    <w:rsid w:val="0040526B"/>
    <w:rsid w:val="00406346"/>
    <w:rsid w:val="0041056B"/>
    <w:rsid w:val="0041090B"/>
    <w:rsid w:val="00411896"/>
    <w:rsid w:val="00412552"/>
    <w:rsid w:val="004125F3"/>
    <w:rsid w:val="00414D39"/>
    <w:rsid w:val="004158F0"/>
    <w:rsid w:val="00417C4C"/>
    <w:rsid w:val="00422C70"/>
    <w:rsid w:val="004255A5"/>
    <w:rsid w:val="004255C1"/>
    <w:rsid w:val="00426A13"/>
    <w:rsid w:val="00430179"/>
    <w:rsid w:val="004302EF"/>
    <w:rsid w:val="004316CC"/>
    <w:rsid w:val="00431A08"/>
    <w:rsid w:val="0043353D"/>
    <w:rsid w:val="00433B16"/>
    <w:rsid w:val="004342BF"/>
    <w:rsid w:val="00434EBD"/>
    <w:rsid w:val="004350DC"/>
    <w:rsid w:val="00435C69"/>
    <w:rsid w:val="004368BF"/>
    <w:rsid w:val="00440144"/>
    <w:rsid w:val="0044032C"/>
    <w:rsid w:val="00441557"/>
    <w:rsid w:val="00442358"/>
    <w:rsid w:val="00445852"/>
    <w:rsid w:val="00446723"/>
    <w:rsid w:val="004470DA"/>
    <w:rsid w:val="00451594"/>
    <w:rsid w:val="00453B55"/>
    <w:rsid w:val="004542DB"/>
    <w:rsid w:val="004544F5"/>
    <w:rsid w:val="004551A5"/>
    <w:rsid w:val="00456507"/>
    <w:rsid w:val="00457F79"/>
    <w:rsid w:val="00462087"/>
    <w:rsid w:val="004629CD"/>
    <w:rsid w:val="00463C69"/>
    <w:rsid w:val="00463D40"/>
    <w:rsid w:val="00464A1C"/>
    <w:rsid w:val="00465034"/>
    <w:rsid w:val="004668DB"/>
    <w:rsid w:val="00467300"/>
    <w:rsid w:val="00467DE0"/>
    <w:rsid w:val="004705C5"/>
    <w:rsid w:val="00470AA8"/>
    <w:rsid w:val="00471F9E"/>
    <w:rsid w:val="0047299C"/>
    <w:rsid w:val="00472BF4"/>
    <w:rsid w:val="00472F1F"/>
    <w:rsid w:val="0047307C"/>
    <w:rsid w:val="00473815"/>
    <w:rsid w:val="0047511F"/>
    <w:rsid w:val="004754E6"/>
    <w:rsid w:val="00476FCB"/>
    <w:rsid w:val="004805AF"/>
    <w:rsid w:val="004808ED"/>
    <w:rsid w:val="00480F74"/>
    <w:rsid w:val="00481350"/>
    <w:rsid w:val="00481BC0"/>
    <w:rsid w:val="00483B36"/>
    <w:rsid w:val="00484224"/>
    <w:rsid w:val="00484ED3"/>
    <w:rsid w:val="004852FF"/>
    <w:rsid w:val="004855F3"/>
    <w:rsid w:val="0048574C"/>
    <w:rsid w:val="0048574D"/>
    <w:rsid w:val="00486149"/>
    <w:rsid w:val="00486430"/>
    <w:rsid w:val="004868EC"/>
    <w:rsid w:val="00487589"/>
    <w:rsid w:val="00487710"/>
    <w:rsid w:val="00490A37"/>
    <w:rsid w:val="00490F20"/>
    <w:rsid w:val="004920B0"/>
    <w:rsid w:val="00492F66"/>
    <w:rsid w:val="00493EAA"/>
    <w:rsid w:val="00494EE8"/>
    <w:rsid w:val="00495AAF"/>
    <w:rsid w:val="00495C34"/>
    <w:rsid w:val="00496324"/>
    <w:rsid w:val="00496D07"/>
    <w:rsid w:val="00496ED5"/>
    <w:rsid w:val="00497785"/>
    <w:rsid w:val="004A13C3"/>
    <w:rsid w:val="004A19AE"/>
    <w:rsid w:val="004A24C8"/>
    <w:rsid w:val="004A2EC1"/>
    <w:rsid w:val="004A40FE"/>
    <w:rsid w:val="004A630F"/>
    <w:rsid w:val="004A6549"/>
    <w:rsid w:val="004B077E"/>
    <w:rsid w:val="004B0F3F"/>
    <w:rsid w:val="004B1091"/>
    <w:rsid w:val="004B1FBE"/>
    <w:rsid w:val="004B22EB"/>
    <w:rsid w:val="004B3EFD"/>
    <w:rsid w:val="004B4EC6"/>
    <w:rsid w:val="004B62F1"/>
    <w:rsid w:val="004B69CF"/>
    <w:rsid w:val="004C28F3"/>
    <w:rsid w:val="004C2AC0"/>
    <w:rsid w:val="004C3404"/>
    <w:rsid w:val="004C4341"/>
    <w:rsid w:val="004C4DA1"/>
    <w:rsid w:val="004C5E50"/>
    <w:rsid w:val="004C657F"/>
    <w:rsid w:val="004C7155"/>
    <w:rsid w:val="004D19F0"/>
    <w:rsid w:val="004D1CBB"/>
    <w:rsid w:val="004D323F"/>
    <w:rsid w:val="004D3353"/>
    <w:rsid w:val="004D3CA9"/>
    <w:rsid w:val="004D4382"/>
    <w:rsid w:val="004D5DCD"/>
    <w:rsid w:val="004D6C39"/>
    <w:rsid w:val="004D7731"/>
    <w:rsid w:val="004E133F"/>
    <w:rsid w:val="004E1AA3"/>
    <w:rsid w:val="004E1EC7"/>
    <w:rsid w:val="004E24FB"/>
    <w:rsid w:val="004E2786"/>
    <w:rsid w:val="004E27A7"/>
    <w:rsid w:val="004E2C3F"/>
    <w:rsid w:val="004E306C"/>
    <w:rsid w:val="004E3AC3"/>
    <w:rsid w:val="004E3B25"/>
    <w:rsid w:val="004E58DE"/>
    <w:rsid w:val="004E6182"/>
    <w:rsid w:val="004E6E54"/>
    <w:rsid w:val="004E777A"/>
    <w:rsid w:val="004E7FEA"/>
    <w:rsid w:val="004F058A"/>
    <w:rsid w:val="004F1A59"/>
    <w:rsid w:val="004F2AB5"/>
    <w:rsid w:val="004F31A3"/>
    <w:rsid w:val="004F3B8C"/>
    <w:rsid w:val="004F3CA2"/>
    <w:rsid w:val="004F4725"/>
    <w:rsid w:val="004F75E7"/>
    <w:rsid w:val="004F7B1C"/>
    <w:rsid w:val="00500A5B"/>
    <w:rsid w:val="005015C7"/>
    <w:rsid w:val="00501AAB"/>
    <w:rsid w:val="00501D5F"/>
    <w:rsid w:val="0050260D"/>
    <w:rsid w:val="00502FAC"/>
    <w:rsid w:val="00504088"/>
    <w:rsid w:val="00505038"/>
    <w:rsid w:val="0050674C"/>
    <w:rsid w:val="005067D5"/>
    <w:rsid w:val="00506BF2"/>
    <w:rsid w:val="00506EF1"/>
    <w:rsid w:val="005076BC"/>
    <w:rsid w:val="00510888"/>
    <w:rsid w:val="00511443"/>
    <w:rsid w:val="00511571"/>
    <w:rsid w:val="00511917"/>
    <w:rsid w:val="00513BB6"/>
    <w:rsid w:val="00513DB4"/>
    <w:rsid w:val="00514C89"/>
    <w:rsid w:val="00516D4E"/>
    <w:rsid w:val="00517A36"/>
    <w:rsid w:val="00517B1C"/>
    <w:rsid w:val="00520032"/>
    <w:rsid w:val="00520706"/>
    <w:rsid w:val="005217EB"/>
    <w:rsid w:val="0052364B"/>
    <w:rsid w:val="00524153"/>
    <w:rsid w:val="005244D4"/>
    <w:rsid w:val="00524F4D"/>
    <w:rsid w:val="00524F5C"/>
    <w:rsid w:val="00525314"/>
    <w:rsid w:val="00525E56"/>
    <w:rsid w:val="00526FAD"/>
    <w:rsid w:val="00527AFA"/>
    <w:rsid w:val="00530D4F"/>
    <w:rsid w:val="005315CE"/>
    <w:rsid w:val="0053176E"/>
    <w:rsid w:val="0053182B"/>
    <w:rsid w:val="00531F85"/>
    <w:rsid w:val="005323C6"/>
    <w:rsid w:val="00532C41"/>
    <w:rsid w:val="00533619"/>
    <w:rsid w:val="00533649"/>
    <w:rsid w:val="00533841"/>
    <w:rsid w:val="00533AA4"/>
    <w:rsid w:val="00534D2A"/>
    <w:rsid w:val="005356C4"/>
    <w:rsid w:val="00535793"/>
    <w:rsid w:val="00535D77"/>
    <w:rsid w:val="00536D20"/>
    <w:rsid w:val="0053734B"/>
    <w:rsid w:val="00541E6F"/>
    <w:rsid w:val="00542229"/>
    <w:rsid w:val="005428BB"/>
    <w:rsid w:val="0054300A"/>
    <w:rsid w:val="00544D82"/>
    <w:rsid w:val="0054533C"/>
    <w:rsid w:val="00546814"/>
    <w:rsid w:val="00546C4B"/>
    <w:rsid w:val="00547C87"/>
    <w:rsid w:val="00551127"/>
    <w:rsid w:val="00553DC3"/>
    <w:rsid w:val="0055519D"/>
    <w:rsid w:val="005562B3"/>
    <w:rsid w:val="00556C3E"/>
    <w:rsid w:val="00557B81"/>
    <w:rsid w:val="005606EB"/>
    <w:rsid w:val="00560B1E"/>
    <w:rsid w:val="00563277"/>
    <w:rsid w:val="005643BD"/>
    <w:rsid w:val="00566989"/>
    <w:rsid w:val="00567630"/>
    <w:rsid w:val="005705A5"/>
    <w:rsid w:val="00570632"/>
    <w:rsid w:val="00570ECA"/>
    <w:rsid w:val="005711CF"/>
    <w:rsid w:val="00571B4E"/>
    <w:rsid w:val="00571FB5"/>
    <w:rsid w:val="00572D7C"/>
    <w:rsid w:val="0057510D"/>
    <w:rsid w:val="00576E02"/>
    <w:rsid w:val="005804B7"/>
    <w:rsid w:val="0058141A"/>
    <w:rsid w:val="00581606"/>
    <w:rsid w:val="00582B3D"/>
    <w:rsid w:val="0058318A"/>
    <w:rsid w:val="0058422B"/>
    <w:rsid w:val="00584732"/>
    <w:rsid w:val="00586B43"/>
    <w:rsid w:val="00586D64"/>
    <w:rsid w:val="00587378"/>
    <w:rsid w:val="0058739B"/>
    <w:rsid w:val="005878B9"/>
    <w:rsid w:val="00587D92"/>
    <w:rsid w:val="005928E9"/>
    <w:rsid w:val="00593592"/>
    <w:rsid w:val="0059485A"/>
    <w:rsid w:val="0059522C"/>
    <w:rsid w:val="005957CF"/>
    <w:rsid w:val="0059600F"/>
    <w:rsid w:val="005963EF"/>
    <w:rsid w:val="005968CE"/>
    <w:rsid w:val="005A0B03"/>
    <w:rsid w:val="005A124B"/>
    <w:rsid w:val="005A3D38"/>
    <w:rsid w:val="005A3EE2"/>
    <w:rsid w:val="005A3F7E"/>
    <w:rsid w:val="005A4F89"/>
    <w:rsid w:val="005A55C5"/>
    <w:rsid w:val="005A5CC9"/>
    <w:rsid w:val="005A6E78"/>
    <w:rsid w:val="005A7694"/>
    <w:rsid w:val="005B1F92"/>
    <w:rsid w:val="005B249C"/>
    <w:rsid w:val="005B263F"/>
    <w:rsid w:val="005B475A"/>
    <w:rsid w:val="005B5C6B"/>
    <w:rsid w:val="005B7128"/>
    <w:rsid w:val="005B7E76"/>
    <w:rsid w:val="005C12E0"/>
    <w:rsid w:val="005C1DCA"/>
    <w:rsid w:val="005C232E"/>
    <w:rsid w:val="005C281F"/>
    <w:rsid w:val="005C48DC"/>
    <w:rsid w:val="005C7CE6"/>
    <w:rsid w:val="005D1BC8"/>
    <w:rsid w:val="005D2A45"/>
    <w:rsid w:val="005D2A7B"/>
    <w:rsid w:val="005D3ECE"/>
    <w:rsid w:val="005D45D9"/>
    <w:rsid w:val="005D5061"/>
    <w:rsid w:val="005D5CF9"/>
    <w:rsid w:val="005D5DCB"/>
    <w:rsid w:val="005E3ED4"/>
    <w:rsid w:val="005E6027"/>
    <w:rsid w:val="005E62F6"/>
    <w:rsid w:val="005F0591"/>
    <w:rsid w:val="005F25C6"/>
    <w:rsid w:val="005F2651"/>
    <w:rsid w:val="005F403F"/>
    <w:rsid w:val="005F564A"/>
    <w:rsid w:val="005F695A"/>
    <w:rsid w:val="005F713A"/>
    <w:rsid w:val="005F7935"/>
    <w:rsid w:val="005F7AA7"/>
    <w:rsid w:val="00600E32"/>
    <w:rsid w:val="0060240E"/>
    <w:rsid w:val="00603624"/>
    <w:rsid w:val="00604080"/>
    <w:rsid w:val="006049E8"/>
    <w:rsid w:val="006060E8"/>
    <w:rsid w:val="006061A2"/>
    <w:rsid w:val="00606465"/>
    <w:rsid w:val="00606E56"/>
    <w:rsid w:val="00607517"/>
    <w:rsid w:val="00607D5C"/>
    <w:rsid w:val="00607FEF"/>
    <w:rsid w:val="006103E4"/>
    <w:rsid w:val="00610D6D"/>
    <w:rsid w:val="006123F9"/>
    <w:rsid w:val="00613280"/>
    <w:rsid w:val="00613935"/>
    <w:rsid w:val="00613C0A"/>
    <w:rsid w:val="00614F93"/>
    <w:rsid w:val="00615583"/>
    <w:rsid w:val="00616E17"/>
    <w:rsid w:val="00616EC6"/>
    <w:rsid w:val="006175FF"/>
    <w:rsid w:val="006200CF"/>
    <w:rsid w:val="00621405"/>
    <w:rsid w:val="00622466"/>
    <w:rsid w:val="00622F7A"/>
    <w:rsid w:val="006235C7"/>
    <w:rsid w:val="00623AA4"/>
    <w:rsid w:val="0062443C"/>
    <w:rsid w:val="0062512D"/>
    <w:rsid w:val="00626767"/>
    <w:rsid w:val="0063069A"/>
    <w:rsid w:val="006315CD"/>
    <w:rsid w:val="006338E5"/>
    <w:rsid w:val="00633913"/>
    <w:rsid w:val="006352C6"/>
    <w:rsid w:val="0063535B"/>
    <w:rsid w:val="006359F2"/>
    <w:rsid w:val="00635E64"/>
    <w:rsid w:val="006360A6"/>
    <w:rsid w:val="00637B85"/>
    <w:rsid w:val="00642685"/>
    <w:rsid w:val="00642D1B"/>
    <w:rsid w:val="00645697"/>
    <w:rsid w:val="0064619B"/>
    <w:rsid w:val="00646B39"/>
    <w:rsid w:val="006471BC"/>
    <w:rsid w:val="0064755F"/>
    <w:rsid w:val="0065011C"/>
    <w:rsid w:val="006503E8"/>
    <w:rsid w:val="00651F00"/>
    <w:rsid w:val="00652044"/>
    <w:rsid w:val="006557C4"/>
    <w:rsid w:val="006572FF"/>
    <w:rsid w:val="006609D6"/>
    <w:rsid w:val="00661374"/>
    <w:rsid w:val="00661C95"/>
    <w:rsid w:val="00661E79"/>
    <w:rsid w:val="00663C15"/>
    <w:rsid w:val="00663D06"/>
    <w:rsid w:val="00664397"/>
    <w:rsid w:val="00664A1B"/>
    <w:rsid w:val="006652E9"/>
    <w:rsid w:val="00667F03"/>
    <w:rsid w:val="0067074D"/>
    <w:rsid w:val="00671343"/>
    <w:rsid w:val="00672FA7"/>
    <w:rsid w:val="00674C09"/>
    <w:rsid w:val="00674DFD"/>
    <w:rsid w:val="00675628"/>
    <w:rsid w:val="00675737"/>
    <w:rsid w:val="0067677A"/>
    <w:rsid w:val="00676C23"/>
    <w:rsid w:val="006807D0"/>
    <w:rsid w:val="00681B21"/>
    <w:rsid w:val="0068231F"/>
    <w:rsid w:val="006824D3"/>
    <w:rsid w:val="00684093"/>
    <w:rsid w:val="00684902"/>
    <w:rsid w:val="00684AEA"/>
    <w:rsid w:val="00686551"/>
    <w:rsid w:val="00687ADD"/>
    <w:rsid w:val="00687AF8"/>
    <w:rsid w:val="006903E4"/>
    <w:rsid w:val="00690E1B"/>
    <w:rsid w:val="00690F33"/>
    <w:rsid w:val="0069128D"/>
    <w:rsid w:val="00691307"/>
    <w:rsid w:val="00692113"/>
    <w:rsid w:val="006922F6"/>
    <w:rsid w:val="00692715"/>
    <w:rsid w:val="00693F49"/>
    <w:rsid w:val="0069463B"/>
    <w:rsid w:val="0069486A"/>
    <w:rsid w:val="00695294"/>
    <w:rsid w:val="00695D51"/>
    <w:rsid w:val="006960B7"/>
    <w:rsid w:val="006963B5"/>
    <w:rsid w:val="00696FF8"/>
    <w:rsid w:val="006A2B14"/>
    <w:rsid w:val="006A2ED7"/>
    <w:rsid w:val="006A31C1"/>
    <w:rsid w:val="006A53C9"/>
    <w:rsid w:val="006A56D7"/>
    <w:rsid w:val="006A7CA6"/>
    <w:rsid w:val="006B03CC"/>
    <w:rsid w:val="006B05FF"/>
    <w:rsid w:val="006B3A37"/>
    <w:rsid w:val="006B42E6"/>
    <w:rsid w:val="006B50CD"/>
    <w:rsid w:val="006B558B"/>
    <w:rsid w:val="006B5658"/>
    <w:rsid w:val="006B58CB"/>
    <w:rsid w:val="006B69AF"/>
    <w:rsid w:val="006B6C20"/>
    <w:rsid w:val="006B6D3B"/>
    <w:rsid w:val="006B6E53"/>
    <w:rsid w:val="006C009E"/>
    <w:rsid w:val="006C07EB"/>
    <w:rsid w:val="006C193D"/>
    <w:rsid w:val="006C1D07"/>
    <w:rsid w:val="006C1D62"/>
    <w:rsid w:val="006C210A"/>
    <w:rsid w:val="006C2A69"/>
    <w:rsid w:val="006C3334"/>
    <w:rsid w:val="006C4182"/>
    <w:rsid w:val="006C5604"/>
    <w:rsid w:val="006C5873"/>
    <w:rsid w:val="006C58A2"/>
    <w:rsid w:val="006C613D"/>
    <w:rsid w:val="006C7130"/>
    <w:rsid w:val="006C7CD3"/>
    <w:rsid w:val="006C7E7A"/>
    <w:rsid w:val="006D0E14"/>
    <w:rsid w:val="006D29D8"/>
    <w:rsid w:val="006D3CC6"/>
    <w:rsid w:val="006D4439"/>
    <w:rsid w:val="006D6B05"/>
    <w:rsid w:val="006E0833"/>
    <w:rsid w:val="006E165C"/>
    <w:rsid w:val="006E3B65"/>
    <w:rsid w:val="006E5515"/>
    <w:rsid w:val="006E5ACB"/>
    <w:rsid w:val="006E5D01"/>
    <w:rsid w:val="006E5D49"/>
    <w:rsid w:val="006E5E82"/>
    <w:rsid w:val="006E66ED"/>
    <w:rsid w:val="006E7AED"/>
    <w:rsid w:val="006E7AFD"/>
    <w:rsid w:val="006F09AF"/>
    <w:rsid w:val="006F16B5"/>
    <w:rsid w:val="006F22C2"/>
    <w:rsid w:val="006F3037"/>
    <w:rsid w:val="006F51C3"/>
    <w:rsid w:val="006F54A5"/>
    <w:rsid w:val="006F5C8D"/>
    <w:rsid w:val="006F641A"/>
    <w:rsid w:val="006F7706"/>
    <w:rsid w:val="006F7B86"/>
    <w:rsid w:val="0070096F"/>
    <w:rsid w:val="0070098F"/>
    <w:rsid w:val="00700E84"/>
    <w:rsid w:val="00703004"/>
    <w:rsid w:val="007039E4"/>
    <w:rsid w:val="00703FED"/>
    <w:rsid w:val="00704DF6"/>
    <w:rsid w:val="00705EF8"/>
    <w:rsid w:val="00706516"/>
    <w:rsid w:val="00707C19"/>
    <w:rsid w:val="007100DC"/>
    <w:rsid w:val="007116D8"/>
    <w:rsid w:val="0071190B"/>
    <w:rsid w:val="00711EFA"/>
    <w:rsid w:val="00713F67"/>
    <w:rsid w:val="00715B47"/>
    <w:rsid w:val="00715BAF"/>
    <w:rsid w:val="00715C2A"/>
    <w:rsid w:val="00715C72"/>
    <w:rsid w:val="00716631"/>
    <w:rsid w:val="00716C32"/>
    <w:rsid w:val="00721316"/>
    <w:rsid w:val="0072196F"/>
    <w:rsid w:val="00722A64"/>
    <w:rsid w:val="007232D6"/>
    <w:rsid w:val="00723B9A"/>
    <w:rsid w:val="007240D2"/>
    <w:rsid w:val="00724793"/>
    <w:rsid w:val="0072506C"/>
    <w:rsid w:val="00725455"/>
    <w:rsid w:val="00725C21"/>
    <w:rsid w:val="00725D92"/>
    <w:rsid w:val="00726356"/>
    <w:rsid w:val="007305FB"/>
    <w:rsid w:val="0073283D"/>
    <w:rsid w:val="00732D7D"/>
    <w:rsid w:val="0073324D"/>
    <w:rsid w:val="007337D6"/>
    <w:rsid w:val="007357C7"/>
    <w:rsid w:val="00735820"/>
    <w:rsid w:val="00735EB1"/>
    <w:rsid w:val="00735F50"/>
    <w:rsid w:val="00737139"/>
    <w:rsid w:val="00737167"/>
    <w:rsid w:val="00737EE9"/>
    <w:rsid w:val="007425A3"/>
    <w:rsid w:val="00743E01"/>
    <w:rsid w:val="00744330"/>
    <w:rsid w:val="00745596"/>
    <w:rsid w:val="00745809"/>
    <w:rsid w:val="00746C87"/>
    <w:rsid w:val="00746EB4"/>
    <w:rsid w:val="007501F2"/>
    <w:rsid w:val="00751714"/>
    <w:rsid w:val="00751D98"/>
    <w:rsid w:val="00752889"/>
    <w:rsid w:val="00754058"/>
    <w:rsid w:val="00754330"/>
    <w:rsid w:val="007543A4"/>
    <w:rsid w:val="0075489D"/>
    <w:rsid w:val="00755364"/>
    <w:rsid w:val="007554B7"/>
    <w:rsid w:val="00756DB5"/>
    <w:rsid w:val="00757723"/>
    <w:rsid w:val="00757C9A"/>
    <w:rsid w:val="00761674"/>
    <w:rsid w:val="00763538"/>
    <w:rsid w:val="00765BFA"/>
    <w:rsid w:val="00766C2D"/>
    <w:rsid w:val="00766FE8"/>
    <w:rsid w:val="007671F9"/>
    <w:rsid w:val="00767ACA"/>
    <w:rsid w:val="00771696"/>
    <w:rsid w:val="007718F0"/>
    <w:rsid w:val="007728B2"/>
    <w:rsid w:val="00772E54"/>
    <w:rsid w:val="0077323A"/>
    <w:rsid w:val="00774252"/>
    <w:rsid w:val="00774610"/>
    <w:rsid w:val="00774D6E"/>
    <w:rsid w:val="00774E15"/>
    <w:rsid w:val="00775BB5"/>
    <w:rsid w:val="007761CE"/>
    <w:rsid w:val="007767C8"/>
    <w:rsid w:val="0078135D"/>
    <w:rsid w:val="0078176C"/>
    <w:rsid w:val="00784B09"/>
    <w:rsid w:val="00784E06"/>
    <w:rsid w:val="00785551"/>
    <w:rsid w:val="00786884"/>
    <w:rsid w:val="00787F8F"/>
    <w:rsid w:val="00791440"/>
    <w:rsid w:val="00792FA0"/>
    <w:rsid w:val="007937FA"/>
    <w:rsid w:val="00793FAF"/>
    <w:rsid w:val="00794EB1"/>
    <w:rsid w:val="00796050"/>
    <w:rsid w:val="00797A67"/>
    <w:rsid w:val="007A0381"/>
    <w:rsid w:val="007A3A86"/>
    <w:rsid w:val="007A4A50"/>
    <w:rsid w:val="007A511C"/>
    <w:rsid w:val="007A6416"/>
    <w:rsid w:val="007A64CC"/>
    <w:rsid w:val="007A698A"/>
    <w:rsid w:val="007B0998"/>
    <w:rsid w:val="007B1482"/>
    <w:rsid w:val="007B2D94"/>
    <w:rsid w:val="007B72DF"/>
    <w:rsid w:val="007C1144"/>
    <w:rsid w:val="007C1CE6"/>
    <w:rsid w:val="007C317B"/>
    <w:rsid w:val="007C4C27"/>
    <w:rsid w:val="007C6A69"/>
    <w:rsid w:val="007C7729"/>
    <w:rsid w:val="007C7AF4"/>
    <w:rsid w:val="007D0B85"/>
    <w:rsid w:val="007D18C0"/>
    <w:rsid w:val="007D1B37"/>
    <w:rsid w:val="007D442E"/>
    <w:rsid w:val="007D6101"/>
    <w:rsid w:val="007D6120"/>
    <w:rsid w:val="007D61B0"/>
    <w:rsid w:val="007E1016"/>
    <w:rsid w:val="007E1BA7"/>
    <w:rsid w:val="007E2086"/>
    <w:rsid w:val="007E212A"/>
    <w:rsid w:val="007E2301"/>
    <w:rsid w:val="007E2BD4"/>
    <w:rsid w:val="007E3451"/>
    <w:rsid w:val="007E42B5"/>
    <w:rsid w:val="007E490E"/>
    <w:rsid w:val="007E7F7E"/>
    <w:rsid w:val="007F0304"/>
    <w:rsid w:val="007F2351"/>
    <w:rsid w:val="007F2D64"/>
    <w:rsid w:val="007F38B8"/>
    <w:rsid w:val="007F50C5"/>
    <w:rsid w:val="007F51A4"/>
    <w:rsid w:val="007F5C5D"/>
    <w:rsid w:val="007F75BC"/>
    <w:rsid w:val="007F7B58"/>
    <w:rsid w:val="00803A20"/>
    <w:rsid w:val="00803F5C"/>
    <w:rsid w:val="00804E34"/>
    <w:rsid w:val="0080603F"/>
    <w:rsid w:val="00806635"/>
    <w:rsid w:val="00807BDE"/>
    <w:rsid w:val="00807CB4"/>
    <w:rsid w:val="00807FF0"/>
    <w:rsid w:val="0081234A"/>
    <w:rsid w:val="00812AE6"/>
    <w:rsid w:val="00812D20"/>
    <w:rsid w:val="00814C8D"/>
    <w:rsid w:val="00815184"/>
    <w:rsid w:val="00815968"/>
    <w:rsid w:val="00820B7C"/>
    <w:rsid w:val="00820CC9"/>
    <w:rsid w:val="00820E3E"/>
    <w:rsid w:val="00822CDD"/>
    <w:rsid w:val="00824369"/>
    <w:rsid w:val="008253FA"/>
    <w:rsid w:val="00826A90"/>
    <w:rsid w:val="00827049"/>
    <w:rsid w:val="00830BD8"/>
    <w:rsid w:val="00830CF4"/>
    <w:rsid w:val="008319F4"/>
    <w:rsid w:val="0083344A"/>
    <w:rsid w:val="00833638"/>
    <w:rsid w:val="008342C4"/>
    <w:rsid w:val="008375BE"/>
    <w:rsid w:val="00837C87"/>
    <w:rsid w:val="00841AB5"/>
    <w:rsid w:val="00841EA8"/>
    <w:rsid w:val="008437F1"/>
    <w:rsid w:val="008450E6"/>
    <w:rsid w:val="00845752"/>
    <w:rsid w:val="00846958"/>
    <w:rsid w:val="0084747D"/>
    <w:rsid w:val="00850082"/>
    <w:rsid w:val="008511D8"/>
    <w:rsid w:val="00851873"/>
    <w:rsid w:val="00852170"/>
    <w:rsid w:val="00852503"/>
    <w:rsid w:val="00853553"/>
    <w:rsid w:val="00853AEE"/>
    <w:rsid w:val="00853D0C"/>
    <w:rsid w:val="00854964"/>
    <w:rsid w:val="00854BE4"/>
    <w:rsid w:val="00855E1F"/>
    <w:rsid w:val="00856B9E"/>
    <w:rsid w:val="00856F0D"/>
    <w:rsid w:val="00857CB2"/>
    <w:rsid w:val="0086019B"/>
    <w:rsid w:val="0086037D"/>
    <w:rsid w:val="00861D65"/>
    <w:rsid w:val="00862371"/>
    <w:rsid w:val="00862AE0"/>
    <w:rsid w:val="00862FF4"/>
    <w:rsid w:val="0086303C"/>
    <w:rsid w:val="0086346C"/>
    <w:rsid w:val="008642DC"/>
    <w:rsid w:val="00864F8F"/>
    <w:rsid w:val="00866F67"/>
    <w:rsid w:val="00872885"/>
    <w:rsid w:val="008729A8"/>
    <w:rsid w:val="00873E37"/>
    <w:rsid w:val="00874889"/>
    <w:rsid w:val="008748B3"/>
    <w:rsid w:val="008748C8"/>
    <w:rsid w:val="00874C73"/>
    <w:rsid w:val="0087554F"/>
    <w:rsid w:val="008764B1"/>
    <w:rsid w:val="008777B3"/>
    <w:rsid w:val="00880198"/>
    <w:rsid w:val="00880243"/>
    <w:rsid w:val="0088039C"/>
    <w:rsid w:val="0088226D"/>
    <w:rsid w:val="0088359E"/>
    <w:rsid w:val="00883966"/>
    <w:rsid w:val="0088473C"/>
    <w:rsid w:val="00885C2B"/>
    <w:rsid w:val="008865AA"/>
    <w:rsid w:val="00887682"/>
    <w:rsid w:val="00890818"/>
    <w:rsid w:val="00890E89"/>
    <w:rsid w:val="00891A49"/>
    <w:rsid w:val="00891BA6"/>
    <w:rsid w:val="008937BA"/>
    <w:rsid w:val="0089453D"/>
    <w:rsid w:val="0089499B"/>
    <w:rsid w:val="0089550A"/>
    <w:rsid w:val="00895523"/>
    <w:rsid w:val="00896D0F"/>
    <w:rsid w:val="00896E25"/>
    <w:rsid w:val="008972E8"/>
    <w:rsid w:val="008973CA"/>
    <w:rsid w:val="00897C45"/>
    <w:rsid w:val="008A0FB0"/>
    <w:rsid w:val="008A2ED2"/>
    <w:rsid w:val="008A4CBA"/>
    <w:rsid w:val="008A524D"/>
    <w:rsid w:val="008A5B87"/>
    <w:rsid w:val="008A627A"/>
    <w:rsid w:val="008A6724"/>
    <w:rsid w:val="008A7124"/>
    <w:rsid w:val="008B1672"/>
    <w:rsid w:val="008B364A"/>
    <w:rsid w:val="008B4903"/>
    <w:rsid w:val="008B5D0A"/>
    <w:rsid w:val="008B5E6C"/>
    <w:rsid w:val="008B7230"/>
    <w:rsid w:val="008B7861"/>
    <w:rsid w:val="008C0FAD"/>
    <w:rsid w:val="008D1DC6"/>
    <w:rsid w:val="008D24EB"/>
    <w:rsid w:val="008D5738"/>
    <w:rsid w:val="008D5862"/>
    <w:rsid w:val="008D5D7C"/>
    <w:rsid w:val="008D7C76"/>
    <w:rsid w:val="008E1875"/>
    <w:rsid w:val="008E188E"/>
    <w:rsid w:val="008E18C9"/>
    <w:rsid w:val="008E19A8"/>
    <w:rsid w:val="008E2EFE"/>
    <w:rsid w:val="008E2F07"/>
    <w:rsid w:val="008E3FD8"/>
    <w:rsid w:val="008E48C2"/>
    <w:rsid w:val="008E4A2E"/>
    <w:rsid w:val="008E4BB0"/>
    <w:rsid w:val="008E5DE9"/>
    <w:rsid w:val="008E7139"/>
    <w:rsid w:val="008E74A1"/>
    <w:rsid w:val="008F0450"/>
    <w:rsid w:val="008F071B"/>
    <w:rsid w:val="008F0A83"/>
    <w:rsid w:val="008F1C11"/>
    <w:rsid w:val="008F2A6C"/>
    <w:rsid w:val="008F36A3"/>
    <w:rsid w:val="008F657E"/>
    <w:rsid w:val="008F6D8D"/>
    <w:rsid w:val="008F77B4"/>
    <w:rsid w:val="008F7E53"/>
    <w:rsid w:val="009015DA"/>
    <w:rsid w:val="00904A9F"/>
    <w:rsid w:val="00904EC1"/>
    <w:rsid w:val="00905CD6"/>
    <w:rsid w:val="00907786"/>
    <w:rsid w:val="00910DC6"/>
    <w:rsid w:val="00912178"/>
    <w:rsid w:val="00912D65"/>
    <w:rsid w:val="0091349A"/>
    <w:rsid w:val="009148B9"/>
    <w:rsid w:val="009156BD"/>
    <w:rsid w:val="009202F2"/>
    <w:rsid w:val="009223D4"/>
    <w:rsid w:val="009227CE"/>
    <w:rsid w:val="009240CA"/>
    <w:rsid w:val="00925112"/>
    <w:rsid w:val="00925C7A"/>
    <w:rsid w:val="009272C8"/>
    <w:rsid w:val="00927E9F"/>
    <w:rsid w:val="009329AD"/>
    <w:rsid w:val="0093323D"/>
    <w:rsid w:val="0093367F"/>
    <w:rsid w:val="00934EAE"/>
    <w:rsid w:val="009351E7"/>
    <w:rsid w:val="00936329"/>
    <w:rsid w:val="009366AF"/>
    <w:rsid w:val="009367DB"/>
    <w:rsid w:val="00937712"/>
    <w:rsid w:val="00937E06"/>
    <w:rsid w:val="009410B4"/>
    <w:rsid w:val="00941CBF"/>
    <w:rsid w:val="009438B6"/>
    <w:rsid w:val="00947D50"/>
    <w:rsid w:val="009506DE"/>
    <w:rsid w:val="00950FE7"/>
    <w:rsid w:val="009519D6"/>
    <w:rsid w:val="0095218C"/>
    <w:rsid w:val="00952756"/>
    <w:rsid w:val="00952928"/>
    <w:rsid w:val="00953C57"/>
    <w:rsid w:val="00953F81"/>
    <w:rsid w:val="0095444D"/>
    <w:rsid w:val="00954A79"/>
    <w:rsid w:val="00954CD7"/>
    <w:rsid w:val="00954DF9"/>
    <w:rsid w:val="009568A6"/>
    <w:rsid w:val="00961026"/>
    <w:rsid w:val="00965660"/>
    <w:rsid w:val="00967549"/>
    <w:rsid w:val="00971958"/>
    <w:rsid w:val="00972AD1"/>
    <w:rsid w:val="00973017"/>
    <w:rsid w:val="00973C98"/>
    <w:rsid w:val="00973CA1"/>
    <w:rsid w:val="00973F83"/>
    <w:rsid w:val="00973FCB"/>
    <w:rsid w:val="00974599"/>
    <w:rsid w:val="00974C99"/>
    <w:rsid w:val="00977006"/>
    <w:rsid w:val="009774DB"/>
    <w:rsid w:val="00977B41"/>
    <w:rsid w:val="009824C3"/>
    <w:rsid w:val="00982B9B"/>
    <w:rsid w:val="0098300A"/>
    <w:rsid w:val="0098365E"/>
    <w:rsid w:val="0098527A"/>
    <w:rsid w:val="00985D19"/>
    <w:rsid w:val="00986E61"/>
    <w:rsid w:val="009911B4"/>
    <w:rsid w:val="009913F7"/>
    <w:rsid w:val="009922C0"/>
    <w:rsid w:val="0099727C"/>
    <w:rsid w:val="009977C3"/>
    <w:rsid w:val="00997FA7"/>
    <w:rsid w:val="009A0D55"/>
    <w:rsid w:val="009A238F"/>
    <w:rsid w:val="009A273B"/>
    <w:rsid w:val="009A2CE3"/>
    <w:rsid w:val="009A30BC"/>
    <w:rsid w:val="009A3D6F"/>
    <w:rsid w:val="009A50DF"/>
    <w:rsid w:val="009A5866"/>
    <w:rsid w:val="009A5FA1"/>
    <w:rsid w:val="009A65C3"/>
    <w:rsid w:val="009A6901"/>
    <w:rsid w:val="009A783D"/>
    <w:rsid w:val="009B01C3"/>
    <w:rsid w:val="009B01FC"/>
    <w:rsid w:val="009B16B8"/>
    <w:rsid w:val="009B219D"/>
    <w:rsid w:val="009B447F"/>
    <w:rsid w:val="009B4BA4"/>
    <w:rsid w:val="009B589C"/>
    <w:rsid w:val="009B591D"/>
    <w:rsid w:val="009B5F1F"/>
    <w:rsid w:val="009B70C9"/>
    <w:rsid w:val="009C2D45"/>
    <w:rsid w:val="009C3ADE"/>
    <w:rsid w:val="009C3C33"/>
    <w:rsid w:val="009C3F6E"/>
    <w:rsid w:val="009C7C10"/>
    <w:rsid w:val="009D05AD"/>
    <w:rsid w:val="009D389B"/>
    <w:rsid w:val="009D467F"/>
    <w:rsid w:val="009D5090"/>
    <w:rsid w:val="009D63F5"/>
    <w:rsid w:val="009E006B"/>
    <w:rsid w:val="009E07C4"/>
    <w:rsid w:val="009E1B85"/>
    <w:rsid w:val="009E28FF"/>
    <w:rsid w:val="009E2C14"/>
    <w:rsid w:val="009E40F6"/>
    <w:rsid w:val="009E4B7E"/>
    <w:rsid w:val="009E6213"/>
    <w:rsid w:val="009E6F4B"/>
    <w:rsid w:val="009E71AE"/>
    <w:rsid w:val="009E71E8"/>
    <w:rsid w:val="009E7F89"/>
    <w:rsid w:val="009E7F8F"/>
    <w:rsid w:val="009F27CD"/>
    <w:rsid w:val="009F568E"/>
    <w:rsid w:val="009F6C16"/>
    <w:rsid w:val="009F7AE8"/>
    <w:rsid w:val="00A000AE"/>
    <w:rsid w:val="00A01794"/>
    <w:rsid w:val="00A0354C"/>
    <w:rsid w:val="00A04CED"/>
    <w:rsid w:val="00A06970"/>
    <w:rsid w:val="00A10F22"/>
    <w:rsid w:val="00A119C4"/>
    <w:rsid w:val="00A11AC5"/>
    <w:rsid w:val="00A12C81"/>
    <w:rsid w:val="00A12DB1"/>
    <w:rsid w:val="00A12FAC"/>
    <w:rsid w:val="00A139FA"/>
    <w:rsid w:val="00A14FA7"/>
    <w:rsid w:val="00A17198"/>
    <w:rsid w:val="00A17561"/>
    <w:rsid w:val="00A17BB2"/>
    <w:rsid w:val="00A21EB9"/>
    <w:rsid w:val="00A22DBD"/>
    <w:rsid w:val="00A2370F"/>
    <w:rsid w:val="00A24F2F"/>
    <w:rsid w:val="00A24FC7"/>
    <w:rsid w:val="00A269B1"/>
    <w:rsid w:val="00A30354"/>
    <w:rsid w:val="00A30A7D"/>
    <w:rsid w:val="00A30FBC"/>
    <w:rsid w:val="00A31346"/>
    <w:rsid w:val="00A319F8"/>
    <w:rsid w:val="00A323F1"/>
    <w:rsid w:val="00A32A46"/>
    <w:rsid w:val="00A32DA9"/>
    <w:rsid w:val="00A34856"/>
    <w:rsid w:val="00A35AE5"/>
    <w:rsid w:val="00A35F68"/>
    <w:rsid w:val="00A362AB"/>
    <w:rsid w:val="00A36E56"/>
    <w:rsid w:val="00A3770F"/>
    <w:rsid w:val="00A37865"/>
    <w:rsid w:val="00A40331"/>
    <w:rsid w:val="00A41039"/>
    <w:rsid w:val="00A410B1"/>
    <w:rsid w:val="00A41DC1"/>
    <w:rsid w:val="00A41F35"/>
    <w:rsid w:val="00A42B68"/>
    <w:rsid w:val="00A42B72"/>
    <w:rsid w:val="00A43064"/>
    <w:rsid w:val="00A4326E"/>
    <w:rsid w:val="00A45388"/>
    <w:rsid w:val="00A457C1"/>
    <w:rsid w:val="00A464A3"/>
    <w:rsid w:val="00A50632"/>
    <w:rsid w:val="00A50C04"/>
    <w:rsid w:val="00A5172A"/>
    <w:rsid w:val="00A5264C"/>
    <w:rsid w:val="00A52CB7"/>
    <w:rsid w:val="00A530E5"/>
    <w:rsid w:val="00A55252"/>
    <w:rsid w:val="00A5789A"/>
    <w:rsid w:val="00A60BD4"/>
    <w:rsid w:val="00A6119D"/>
    <w:rsid w:val="00A6146E"/>
    <w:rsid w:val="00A61EDF"/>
    <w:rsid w:val="00A6270A"/>
    <w:rsid w:val="00A6297B"/>
    <w:rsid w:val="00A63BEC"/>
    <w:rsid w:val="00A63C6E"/>
    <w:rsid w:val="00A63DDA"/>
    <w:rsid w:val="00A70700"/>
    <w:rsid w:val="00A713D5"/>
    <w:rsid w:val="00A71C41"/>
    <w:rsid w:val="00A72784"/>
    <w:rsid w:val="00A728CA"/>
    <w:rsid w:val="00A72FCD"/>
    <w:rsid w:val="00A746E4"/>
    <w:rsid w:val="00A7477E"/>
    <w:rsid w:val="00A76F54"/>
    <w:rsid w:val="00A77919"/>
    <w:rsid w:val="00A77F85"/>
    <w:rsid w:val="00A80707"/>
    <w:rsid w:val="00A818B1"/>
    <w:rsid w:val="00A819F4"/>
    <w:rsid w:val="00A834C2"/>
    <w:rsid w:val="00A840CC"/>
    <w:rsid w:val="00A846C4"/>
    <w:rsid w:val="00A87027"/>
    <w:rsid w:val="00A8727C"/>
    <w:rsid w:val="00A9081D"/>
    <w:rsid w:val="00A90EAE"/>
    <w:rsid w:val="00A91FC3"/>
    <w:rsid w:val="00A9221B"/>
    <w:rsid w:val="00A930DC"/>
    <w:rsid w:val="00A949D9"/>
    <w:rsid w:val="00A95C70"/>
    <w:rsid w:val="00A96961"/>
    <w:rsid w:val="00AA08E7"/>
    <w:rsid w:val="00AA185B"/>
    <w:rsid w:val="00AA3DFE"/>
    <w:rsid w:val="00AA41FF"/>
    <w:rsid w:val="00AA4D2A"/>
    <w:rsid w:val="00AA5DF1"/>
    <w:rsid w:val="00AA6542"/>
    <w:rsid w:val="00AB13EB"/>
    <w:rsid w:val="00AB1942"/>
    <w:rsid w:val="00AB40DC"/>
    <w:rsid w:val="00AB45A8"/>
    <w:rsid w:val="00AB525B"/>
    <w:rsid w:val="00AB70B6"/>
    <w:rsid w:val="00AC0296"/>
    <w:rsid w:val="00AC21EA"/>
    <w:rsid w:val="00AC2368"/>
    <w:rsid w:val="00AC3B5E"/>
    <w:rsid w:val="00AC3C3B"/>
    <w:rsid w:val="00AD01A3"/>
    <w:rsid w:val="00AD043C"/>
    <w:rsid w:val="00AD12C6"/>
    <w:rsid w:val="00AD230B"/>
    <w:rsid w:val="00AD2898"/>
    <w:rsid w:val="00AD3EB5"/>
    <w:rsid w:val="00AD403A"/>
    <w:rsid w:val="00AD566C"/>
    <w:rsid w:val="00AD6167"/>
    <w:rsid w:val="00AD6C58"/>
    <w:rsid w:val="00AD6DEB"/>
    <w:rsid w:val="00AD7EDA"/>
    <w:rsid w:val="00AE031A"/>
    <w:rsid w:val="00AE0E2F"/>
    <w:rsid w:val="00AE285A"/>
    <w:rsid w:val="00AE2A56"/>
    <w:rsid w:val="00AE2DEB"/>
    <w:rsid w:val="00AE4E4C"/>
    <w:rsid w:val="00AE6098"/>
    <w:rsid w:val="00AE6C73"/>
    <w:rsid w:val="00AF0B1D"/>
    <w:rsid w:val="00AF1737"/>
    <w:rsid w:val="00AF1E3D"/>
    <w:rsid w:val="00AF2C57"/>
    <w:rsid w:val="00AF2EF9"/>
    <w:rsid w:val="00AF3893"/>
    <w:rsid w:val="00B00929"/>
    <w:rsid w:val="00B017FA"/>
    <w:rsid w:val="00B0248C"/>
    <w:rsid w:val="00B0565E"/>
    <w:rsid w:val="00B05DE5"/>
    <w:rsid w:val="00B0617B"/>
    <w:rsid w:val="00B06D43"/>
    <w:rsid w:val="00B1057D"/>
    <w:rsid w:val="00B1089D"/>
    <w:rsid w:val="00B10ADA"/>
    <w:rsid w:val="00B125C8"/>
    <w:rsid w:val="00B138F7"/>
    <w:rsid w:val="00B14566"/>
    <w:rsid w:val="00B157F5"/>
    <w:rsid w:val="00B15DFE"/>
    <w:rsid w:val="00B16067"/>
    <w:rsid w:val="00B165A5"/>
    <w:rsid w:val="00B16CE8"/>
    <w:rsid w:val="00B16E72"/>
    <w:rsid w:val="00B16FA8"/>
    <w:rsid w:val="00B20026"/>
    <w:rsid w:val="00B20200"/>
    <w:rsid w:val="00B2112F"/>
    <w:rsid w:val="00B21DF8"/>
    <w:rsid w:val="00B244C7"/>
    <w:rsid w:val="00B24FC5"/>
    <w:rsid w:val="00B2682B"/>
    <w:rsid w:val="00B27805"/>
    <w:rsid w:val="00B2794A"/>
    <w:rsid w:val="00B32076"/>
    <w:rsid w:val="00B32FD9"/>
    <w:rsid w:val="00B3650D"/>
    <w:rsid w:val="00B37099"/>
    <w:rsid w:val="00B37C7C"/>
    <w:rsid w:val="00B4004F"/>
    <w:rsid w:val="00B403A2"/>
    <w:rsid w:val="00B409B0"/>
    <w:rsid w:val="00B4248A"/>
    <w:rsid w:val="00B43409"/>
    <w:rsid w:val="00B434CA"/>
    <w:rsid w:val="00B43566"/>
    <w:rsid w:val="00B43E7E"/>
    <w:rsid w:val="00B4409B"/>
    <w:rsid w:val="00B4463D"/>
    <w:rsid w:val="00B45C36"/>
    <w:rsid w:val="00B50080"/>
    <w:rsid w:val="00B514B7"/>
    <w:rsid w:val="00B51D04"/>
    <w:rsid w:val="00B5208D"/>
    <w:rsid w:val="00B52FFF"/>
    <w:rsid w:val="00B56C90"/>
    <w:rsid w:val="00B579D5"/>
    <w:rsid w:val="00B6091C"/>
    <w:rsid w:val="00B61C17"/>
    <w:rsid w:val="00B6356B"/>
    <w:rsid w:val="00B63EF2"/>
    <w:rsid w:val="00B63F0D"/>
    <w:rsid w:val="00B647E9"/>
    <w:rsid w:val="00B65156"/>
    <w:rsid w:val="00B6525C"/>
    <w:rsid w:val="00B66B95"/>
    <w:rsid w:val="00B66F78"/>
    <w:rsid w:val="00B67203"/>
    <w:rsid w:val="00B7011B"/>
    <w:rsid w:val="00B727F3"/>
    <w:rsid w:val="00B750BF"/>
    <w:rsid w:val="00B75681"/>
    <w:rsid w:val="00B75CEA"/>
    <w:rsid w:val="00B75E0C"/>
    <w:rsid w:val="00B76690"/>
    <w:rsid w:val="00B76BAF"/>
    <w:rsid w:val="00B77E53"/>
    <w:rsid w:val="00B801AF"/>
    <w:rsid w:val="00B80979"/>
    <w:rsid w:val="00B81D76"/>
    <w:rsid w:val="00B82371"/>
    <w:rsid w:val="00B82C08"/>
    <w:rsid w:val="00B82F39"/>
    <w:rsid w:val="00B8426B"/>
    <w:rsid w:val="00B84D87"/>
    <w:rsid w:val="00B860EC"/>
    <w:rsid w:val="00B86D22"/>
    <w:rsid w:val="00B87C88"/>
    <w:rsid w:val="00B905CD"/>
    <w:rsid w:val="00B908CA"/>
    <w:rsid w:val="00B9128F"/>
    <w:rsid w:val="00B914C6"/>
    <w:rsid w:val="00B9162E"/>
    <w:rsid w:val="00B92047"/>
    <w:rsid w:val="00B92286"/>
    <w:rsid w:val="00B9271E"/>
    <w:rsid w:val="00B9503A"/>
    <w:rsid w:val="00B9511B"/>
    <w:rsid w:val="00B958C5"/>
    <w:rsid w:val="00BA02C8"/>
    <w:rsid w:val="00BA1BBC"/>
    <w:rsid w:val="00BA1D33"/>
    <w:rsid w:val="00BA2EB3"/>
    <w:rsid w:val="00BA364C"/>
    <w:rsid w:val="00BA37C1"/>
    <w:rsid w:val="00BA382A"/>
    <w:rsid w:val="00BA3F7C"/>
    <w:rsid w:val="00BA5630"/>
    <w:rsid w:val="00BA64EC"/>
    <w:rsid w:val="00BA6DF5"/>
    <w:rsid w:val="00BA6FA3"/>
    <w:rsid w:val="00BA7207"/>
    <w:rsid w:val="00BA7601"/>
    <w:rsid w:val="00BB0A96"/>
    <w:rsid w:val="00BB1448"/>
    <w:rsid w:val="00BB22B8"/>
    <w:rsid w:val="00BB2A33"/>
    <w:rsid w:val="00BB3FB0"/>
    <w:rsid w:val="00BB49EE"/>
    <w:rsid w:val="00BB592C"/>
    <w:rsid w:val="00BB5B16"/>
    <w:rsid w:val="00BB6692"/>
    <w:rsid w:val="00BB750D"/>
    <w:rsid w:val="00BBCB13"/>
    <w:rsid w:val="00BC13D9"/>
    <w:rsid w:val="00BC1517"/>
    <w:rsid w:val="00BC1F25"/>
    <w:rsid w:val="00BC3055"/>
    <w:rsid w:val="00BC34FB"/>
    <w:rsid w:val="00BC3853"/>
    <w:rsid w:val="00BC59AF"/>
    <w:rsid w:val="00BC5F1F"/>
    <w:rsid w:val="00BC7114"/>
    <w:rsid w:val="00BD07A8"/>
    <w:rsid w:val="00BD35C2"/>
    <w:rsid w:val="00BD404D"/>
    <w:rsid w:val="00BD4F42"/>
    <w:rsid w:val="00BD5872"/>
    <w:rsid w:val="00BD6A44"/>
    <w:rsid w:val="00BD6B26"/>
    <w:rsid w:val="00BD7B74"/>
    <w:rsid w:val="00BE084D"/>
    <w:rsid w:val="00BE0B31"/>
    <w:rsid w:val="00BE0CFD"/>
    <w:rsid w:val="00BE1486"/>
    <w:rsid w:val="00BE1C15"/>
    <w:rsid w:val="00BE2214"/>
    <w:rsid w:val="00BE25E5"/>
    <w:rsid w:val="00BE2764"/>
    <w:rsid w:val="00BE2981"/>
    <w:rsid w:val="00BE3807"/>
    <w:rsid w:val="00BE38ED"/>
    <w:rsid w:val="00BE3B47"/>
    <w:rsid w:val="00BE42CE"/>
    <w:rsid w:val="00BE44AC"/>
    <w:rsid w:val="00BE47DA"/>
    <w:rsid w:val="00BE6037"/>
    <w:rsid w:val="00BE67D5"/>
    <w:rsid w:val="00BE7907"/>
    <w:rsid w:val="00BF03C6"/>
    <w:rsid w:val="00BF0D1A"/>
    <w:rsid w:val="00BF0D23"/>
    <w:rsid w:val="00BF0D69"/>
    <w:rsid w:val="00BF0E99"/>
    <w:rsid w:val="00BF2639"/>
    <w:rsid w:val="00BF302D"/>
    <w:rsid w:val="00BF3AD8"/>
    <w:rsid w:val="00BF4D01"/>
    <w:rsid w:val="00BF4ED2"/>
    <w:rsid w:val="00BF5CF1"/>
    <w:rsid w:val="00BF5E11"/>
    <w:rsid w:val="00BF6D63"/>
    <w:rsid w:val="00BF7CE7"/>
    <w:rsid w:val="00BF7EF9"/>
    <w:rsid w:val="00C00FEE"/>
    <w:rsid w:val="00C0323B"/>
    <w:rsid w:val="00C0347C"/>
    <w:rsid w:val="00C03EAF"/>
    <w:rsid w:val="00C03F97"/>
    <w:rsid w:val="00C04470"/>
    <w:rsid w:val="00C04B35"/>
    <w:rsid w:val="00C073BF"/>
    <w:rsid w:val="00C106C8"/>
    <w:rsid w:val="00C10951"/>
    <w:rsid w:val="00C10E9E"/>
    <w:rsid w:val="00C116B1"/>
    <w:rsid w:val="00C11809"/>
    <w:rsid w:val="00C1516F"/>
    <w:rsid w:val="00C16B17"/>
    <w:rsid w:val="00C2161E"/>
    <w:rsid w:val="00C222B3"/>
    <w:rsid w:val="00C229FD"/>
    <w:rsid w:val="00C22A93"/>
    <w:rsid w:val="00C22BA7"/>
    <w:rsid w:val="00C22CC3"/>
    <w:rsid w:val="00C24032"/>
    <w:rsid w:val="00C243CF"/>
    <w:rsid w:val="00C250A8"/>
    <w:rsid w:val="00C25A80"/>
    <w:rsid w:val="00C25C30"/>
    <w:rsid w:val="00C262C6"/>
    <w:rsid w:val="00C26625"/>
    <w:rsid w:val="00C26B90"/>
    <w:rsid w:val="00C27A7E"/>
    <w:rsid w:val="00C3047C"/>
    <w:rsid w:val="00C305AB"/>
    <w:rsid w:val="00C319F7"/>
    <w:rsid w:val="00C31A6C"/>
    <w:rsid w:val="00C3256A"/>
    <w:rsid w:val="00C329B7"/>
    <w:rsid w:val="00C33FDF"/>
    <w:rsid w:val="00C3442B"/>
    <w:rsid w:val="00C34756"/>
    <w:rsid w:val="00C348C0"/>
    <w:rsid w:val="00C3615E"/>
    <w:rsid w:val="00C3765F"/>
    <w:rsid w:val="00C40F91"/>
    <w:rsid w:val="00C428AD"/>
    <w:rsid w:val="00C43ABC"/>
    <w:rsid w:val="00C449F6"/>
    <w:rsid w:val="00C44C20"/>
    <w:rsid w:val="00C45F24"/>
    <w:rsid w:val="00C51169"/>
    <w:rsid w:val="00C51EC8"/>
    <w:rsid w:val="00C53986"/>
    <w:rsid w:val="00C541EA"/>
    <w:rsid w:val="00C543AF"/>
    <w:rsid w:val="00C5503F"/>
    <w:rsid w:val="00C56363"/>
    <w:rsid w:val="00C56398"/>
    <w:rsid w:val="00C56596"/>
    <w:rsid w:val="00C57A16"/>
    <w:rsid w:val="00C57AAA"/>
    <w:rsid w:val="00C61320"/>
    <w:rsid w:val="00C62539"/>
    <w:rsid w:val="00C63B66"/>
    <w:rsid w:val="00C63ED5"/>
    <w:rsid w:val="00C64940"/>
    <w:rsid w:val="00C64FE0"/>
    <w:rsid w:val="00C66FE9"/>
    <w:rsid w:val="00C7064B"/>
    <w:rsid w:val="00C717B4"/>
    <w:rsid w:val="00C7238C"/>
    <w:rsid w:val="00C724C2"/>
    <w:rsid w:val="00C72A14"/>
    <w:rsid w:val="00C73ADC"/>
    <w:rsid w:val="00C744EC"/>
    <w:rsid w:val="00C746DF"/>
    <w:rsid w:val="00C74C53"/>
    <w:rsid w:val="00C74E68"/>
    <w:rsid w:val="00C757BD"/>
    <w:rsid w:val="00C75920"/>
    <w:rsid w:val="00C75B7D"/>
    <w:rsid w:val="00C76867"/>
    <w:rsid w:val="00C80AC3"/>
    <w:rsid w:val="00C81E54"/>
    <w:rsid w:val="00C834F6"/>
    <w:rsid w:val="00C836EC"/>
    <w:rsid w:val="00C838E1"/>
    <w:rsid w:val="00C84C2D"/>
    <w:rsid w:val="00C85850"/>
    <w:rsid w:val="00C8749A"/>
    <w:rsid w:val="00C87AEE"/>
    <w:rsid w:val="00C87B32"/>
    <w:rsid w:val="00C90C1F"/>
    <w:rsid w:val="00C9205D"/>
    <w:rsid w:val="00C9383A"/>
    <w:rsid w:val="00C94B2B"/>
    <w:rsid w:val="00C95E16"/>
    <w:rsid w:val="00C97266"/>
    <w:rsid w:val="00C974A3"/>
    <w:rsid w:val="00CA0E1F"/>
    <w:rsid w:val="00CA114C"/>
    <w:rsid w:val="00CA1E16"/>
    <w:rsid w:val="00CA1F58"/>
    <w:rsid w:val="00CA2759"/>
    <w:rsid w:val="00CA2AB0"/>
    <w:rsid w:val="00CA45D5"/>
    <w:rsid w:val="00CA4F09"/>
    <w:rsid w:val="00CA6636"/>
    <w:rsid w:val="00CA66A4"/>
    <w:rsid w:val="00CA74D5"/>
    <w:rsid w:val="00CA7B4F"/>
    <w:rsid w:val="00CA7C28"/>
    <w:rsid w:val="00CB07A0"/>
    <w:rsid w:val="00CB15BD"/>
    <w:rsid w:val="00CB21F0"/>
    <w:rsid w:val="00CB36E9"/>
    <w:rsid w:val="00CB386F"/>
    <w:rsid w:val="00CB3A95"/>
    <w:rsid w:val="00CB3BD2"/>
    <w:rsid w:val="00CB3C46"/>
    <w:rsid w:val="00CB571E"/>
    <w:rsid w:val="00CB68FA"/>
    <w:rsid w:val="00CB6AE0"/>
    <w:rsid w:val="00CB6BD5"/>
    <w:rsid w:val="00CC07B2"/>
    <w:rsid w:val="00CC0C1E"/>
    <w:rsid w:val="00CC1105"/>
    <w:rsid w:val="00CC1DA2"/>
    <w:rsid w:val="00CC55C7"/>
    <w:rsid w:val="00CC69AC"/>
    <w:rsid w:val="00CC7230"/>
    <w:rsid w:val="00CC7863"/>
    <w:rsid w:val="00CC7E5F"/>
    <w:rsid w:val="00CD095D"/>
    <w:rsid w:val="00CD18A8"/>
    <w:rsid w:val="00CD2171"/>
    <w:rsid w:val="00CD2F07"/>
    <w:rsid w:val="00CD32F1"/>
    <w:rsid w:val="00CD44F8"/>
    <w:rsid w:val="00CD6F9D"/>
    <w:rsid w:val="00CD7FFD"/>
    <w:rsid w:val="00CE05F8"/>
    <w:rsid w:val="00CE1127"/>
    <w:rsid w:val="00CE1D6B"/>
    <w:rsid w:val="00CE2872"/>
    <w:rsid w:val="00CE375C"/>
    <w:rsid w:val="00CE398C"/>
    <w:rsid w:val="00CE484C"/>
    <w:rsid w:val="00CE4A76"/>
    <w:rsid w:val="00CE5B11"/>
    <w:rsid w:val="00CF3ECF"/>
    <w:rsid w:val="00CF62D4"/>
    <w:rsid w:val="00CF68D6"/>
    <w:rsid w:val="00D0075B"/>
    <w:rsid w:val="00D00E3A"/>
    <w:rsid w:val="00D00F8D"/>
    <w:rsid w:val="00D03EBC"/>
    <w:rsid w:val="00D06509"/>
    <w:rsid w:val="00D06964"/>
    <w:rsid w:val="00D07198"/>
    <w:rsid w:val="00D078EF"/>
    <w:rsid w:val="00D10209"/>
    <w:rsid w:val="00D11F70"/>
    <w:rsid w:val="00D120AB"/>
    <w:rsid w:val="00D1210D"/>
    <w:rsid w:val="00D12749"/>
    <w:rsid w:val="00D12B30"/>
    <w:rsid w:val="00D13507"/>
    <w:rsid w:val="00D14084"/>
    <w:rsid w:val="00D14968"/>
    <w:rsid w:val="00D15CC8"/>
    <w:rsid w:val="00D162FA"/>
    <w:rsid w:val="00D16681"/>
    <w:rsid w:val="00D20B21"/>
    <w:rsid w:val="00D2176D"/>
    <w:rsid w:val="00D21B20"/>
    <w:rsid w:val="00D21C3F"/>
    <w:rsid w:val="00D21EC1"/>
    <w:rsid w:val="00D248D1"/>
    <w:rsid w:val="00D2530C"/>
    <w:rsid w:val="00D253CC"/>
    <w:rsid w:val="00D269B1"/>
    <w:rsid w:val="00D2751A"/>
    <w:rsid w:val="00D30856"/>
    <w:rsid w:val="00D30AE1"/>
    <w:rsid w:val="00D31DB0"/>
    <w:rsid w:val="00D3251D"/>
    <w:rsid w:val="00D32E5B"/>
    <w:rsid w:val="00D3312A"/>
    <w:rsid w:val="00D34000"/>
    <w:rsid w:val="00D349A5"/>
    <w:rsid w:val="00D352A3"/>
    <w:rsid w:val="00D35484"/>
    <w:rsid w:val="00D362BC"/>
    <w:rsid w:val="00D368BB"/>
    <w:rsid w:val="00D37184"/>
    <w:rsid w:val="00D373F8"/>
    <w:rsid w:val="00D3795D"/>
    <w:rsid w:val="00D40D3F"/>
    <w:rsid w:val="00D418CF"/>
    <w:rsid w:val="00D4254E"/>
    <w:rsid w:val="00D4260C"/>
    <w:rsid w:val="00D42874"/>
    <w:rsid w:val="00D42DD9"/>
    <w:rsid w:val="00D43C21"/>
    <w:rsid w:val="00D461C4"/>
    <w:rsid w:val="00D468AC"/>
    <w:rsid w:val="00D50101"/>
    <w:rsid w:val="00D51CFC"/>
    <w:rsid w:val="00D522B0"/>
    <w:rsid w:val="00D527DE"/>
    <w:rsid w:val="00D52AB3"/>
    <w:rsid w:val="00D52AB6"/>
    <w:rsid w:val="00D52CFD"/>
    <w:rsid w:val="00D52D88"/>
    <w:rsid w:val="00D5386A"/>
    <w:rsid w:val="00D53F4E"/>
    <w:rsid w:val="00D54983"/>
    <w:rsid w:val="00D552BD"/>
    <w:rsid w:val="00D56B1B"/>
    <w:rsid w:val="00D56D53"/>
    <w:rsid w:val="00D60E34"/>
    <w:rsid w:val="00D61594"/>
    <w:rsid w:val="00D61A6B"/>
    <w:rsid w:val="00D6249F"/>
    <w:rsid w:val="00D63000"/>
    <w:rsid w:val="00D63618"/>
    <w:rsid w:val="00D642ED"/>
    <w:rsid w:val="00D646EB"/>
    <w:rsid w:val="00D655E7"/>
    <w:rsid w:val="00D66943"/>
    <w:rsid w:val="00D6758B"/>
    <w:rsid w:val="00D71195"/>
    <w:rsid w:val="00D71575"/>
    <w:rsid w:val="00D729DE"/>
    <w:rsid w:val="00D73569"/>
    <w:rsid w:val="00D73A53"/>
    <w:rsid w:val="00D73F61"/>
    <w:rsid w:val="00D7608F"/>
    <w:rsid w:val="00D76E43"/>
    <w:rsid w:val="00D77AB1"/>
    <w:rsid w:val="00D80705"/>
    <w:rsid w:val="00D80AD8"/>
    <w:rsid w:val="00D81015"/>
    <w:rsid w:val="00D81891"/>
    <w:rsid w:val="00D82577"/>
    <w:rsid w:val="00D8287B"/>
    <w:rsid w:val="00D82B8D"/>
    <w:rsid w:val="00D82E77"/>
    <w:rsid w:val="00D830BE"/>
    <w:rsid w:val="00D836C1"/>
    <w:rsid w:val="00D85AE3"/>
    <w:rsid w:val="00D86BA0"/>
    <w:rsid w:val="00D8747A"/>
    <w:rsid w:val="00D87C11"/>
    <w:rsid w:val="00D9245A"/>
    <w:rsid w:val="00D93034"/>
    <w:rsid w:val="00D93428"/>
    <w:rsid w:val="00D935EB"/>
    <w:rsid w:val="00D941CF"/>
    <w:rsid w:val="00D94D06"/>
    <w:rsid w:val="00D9671A"/>
    <w:rsid w:val="00DA06F6"/>
    <w:rsid w:val="00DA0977"/>
    <w:rsid w:val="00DA0EAF"/>
    <w:rsid w:val="00DA1BBB"/>
    <w:rsid w:val="00DA2D8F"/>
    <w:rsid w:val="00DA3302"/>
    <w:rsid w:val="00DA3E16"/>
    <w:rsid w:val="00DA558B"/>
    <w:rsid w:val="00DA5C79"/>
    <w:rsid w:val="00DA6F51"/>
    <w:rsid w:val="00DA75F1"/>
    <w:rsid w:val="00DA77E4"/>
    <w:rsid w:val="00DB075E"/>
    <w:rsid w:val="00DB217A"/>
    <w:rsid w:val="00DB39BA"/>
    <w:rsid w:val="00DB4833"/>
    <w:rsid w:val="00DB4991"/>
    <w:rsid w:val="00DB5077"/>
    <w:rsid w:val="00DC0355"/>
    <w:rsid w:val="00DC048E"/>
    <w:rsid w:val="00DC0794"/>
    <w:rsid w:val="00DC0DFE"/>
    <w:rsid w:val="00DC26CB"/>
    <w:rsid w:val="00DC2CAA"/>
    <w:rsid w:val="00DC3AA1"/>
    <w:rsid w:val="00DC4331"/>
    <w:rsid w:val="00DC6A06"/>
    <w:rsid w:val="00DC7796"/>
    <w:rsid w:val="00DD08BA"/>
    <w:rsid w:val="00DD11BC"/>
    <w:rsid w:val="00DD1416"/>
    <w:rsid w:val="00DD194C"/>
    <w:rsid w:val="00DD1D7B"/>
    <w:rsid w:val="00DD1FCB"/>
    <w:rsid w:val="00DD2260"/>
    <w:rsid w:val="00DD3E95"/>
    <w:rsid w:val="00DD4226"/>
    <w:rsid w:val="00DD4441"/>
    <w:rsid w:val="00DD5DD9"/>
    <w:rsid w:val="00DE07F3"/>
    <w:rsid w:val="00DE14B9"/>
    <w:rsid w:val="00DE1E6D"/>
    <w:rsid w:val="00DE2A20"/>
    <w:rsid w:val="00DE2CCB"/>
    <w:rsid w:val="00DE5CA9"/>
    <w:rsid w:val="00DE63B3"/>
    <w:rsid w:val="00DF1647"/>
    <w:rsid w:val="00DF3873"/>
    <w:rsid w:val="00DF4065"/>
    <w:rsid w:val="00DF436A"/>
    <w:rsid w:val="00DF78E7"/>
    <w:rsid w:val="00E01B7D"/>
    <w:rsid w:val="00E02B69"/>
    <w:rsid w:val="00E02D74"/>
    <w:rsid w:val="00E03442"/>
    <w:rsid w:val="00E03967"/>
    <w:rsid w:val="00E03BA2"/>
    <w:rsid w:val="00E0434B"/>
    <w:rsid w:val="00E0477F"/>
    <w:rsid w:val="00E07D2C"/>
    <w:rsid w:val="00E10D69"/>
    <w:rsid w:val="00E11219"/>
    <w:rsid w:val="00E1157F"/>
    <w:rsid w:val="00E1227B"/>
    <w:rsid w:val="00E12CF4"/>
    <w:rsid w:val="00E133F1"/>
    <w:rsid w:val="00E139CF"/>
    <w:rsid w:val="00E13D17"/>
    <w:rsid w:val="00E1531D"/>
    <w:rsid w:val="00E1593F"/>
    <w:rsid w:val="00E162A3"/>
    <w:rsid w:val="00E16748"/>
    <w:rsid w:val="00E17675"/>
    <w:rsid w:val="00E17DFE"/>
    <w:rsid w:val="00E20769"/>
    <w:rsid w:val="00E21212"/>
    <w:rsid w:val="00E231B1"/>
    <w:rsid w:val="00E23245"/>
    <w:rsid w:val="00E23A3F"/>
    <w:rsid w:val="00E31430"/>
    <w:rsid w:val="00E3220D"/>
    <w:rsid w:val="00E32D97"/>
    <w:rsid w:val="00E33258"/>
    <w:rsid w:val="00E3338F"/>
    <w:rsid w:val="00E3376A"/>
    <w:rsid w:val="00E33B43"/>
    <w:rsid w:val="00E33EE7"/>
    <w:rsid w:val="00E34DC4"/>
    <w:rsid w:val="00E3574D"/>
    <w:rsid w:val="00E36034"/>
    <w:rsid w:val="00E36210"/>
    <w:rsid w:val="00E3623F"/>
    <w:rsid w:val="00E364B6"/>
    <w:rsid w:val="00E367C7"/>
    <w:rsid w:val="00E372C2"/>
    <w:rsid w:val="00E4043E"/>
    <w:rsid w:val="00E40B83"/>
    <w:rsid w:val="00E41236"/>
    <w:rsid w:val="00E417BD"/>
    <w:rsid w:val="00E425AA"/>
    <w:rsid w:val="00E43E23"/>
    <w:rsid w:val="00E44805"/>
    <w:rsid w:val="00E44ADD"/>
    <w:rsid w:val="00E44FB1"/>
    <w:rsid w:val="00E47B74"/>
    <w:rsid w:val="00E506DE"/>
    <w:rsid w:val="00E50CB0"/>
    <w:rsid w:val="00E50E39"/>
    <w:rsid w:val="00E51105"/>
    <w:rsid w:val="00E51545"/>
    <w:rsid w:val="00E51F6B"/>
    <w:rsid w:val="00E52CA5"/>
    <w:rsid w:val="00E53E9A"/>
    <w:rsid w:val="00E54DF4"/>
    <w:rsid w:val="00E5660A"/>
    <w:rsid w:val="00E60008"/>
    <w:rsid w:val="00E607BB"/>
    <w:rsid w:val="00E615CB"/>
    <w:rsid w:val="00E636D8"/>
    <w:rsid w:val="00E64289"/>
    <w:rsid w:val="00E64E13"/>
    <w:rsid w:val="00E65D3E"/>
    <w:rsid w:val="00E662C3"/>
    <w:rsid w:val="00E663C0"/>
    <w:rsid w:val="00E66DB7"/>
    <w:rsid w:val="00E676D1"/>
    <w:rsid w:val="00E7007C"/>
    <w:rsid w:val="00E703CA"/>
    <w:rsid w:val="00E7103C"/>
    <w:rsid w:val="00E71312"/>
    <w:rsid w:val="00E71446"/>
    <w:rsid w:val="00E71E86"/>
    <w:rsid w:val="00E72CDE"/>
    <w:rsid w:val="00E7419B"/>
    <w:rsid w:val="00E80BE3"/>
    <w:rsid w:val="00E815DA"/>
    <w:rsid w:val="00E817D8"/>
    <w:rsid w:val="00E82146"/>
    <w:rsid w:val="00E82EA0"/>
    <w:rsid w:val="00E83E0C"/>
    <w:rsid w:val="00E85755"/>
    <w:rsid w:val="00E867A2"/>
    <w:rsid w:val="00E87E21"/>
    <w:rsid w:val="00E87E68"/>
    <w:rsid w:val="00E90277"/>
    <w:rsid w:val="00E90FAA"/>
    <w:rsid w:val="00E91472"/>
    <w:rsid w:val="00E92532"/>
    <w:rsid w:val="00E92B1C"/>
    <w:rsid w:val="00E93985"/>
    <w:rsid w:val="00E93F6E"/>
    <w:rsid w:val="00E950C6"/>
    <w:rsid w:val="00E951AC"/>
    <w:rsid w:val="00E973D2"/>
    <w:rsid w:val="00EA0C81"/>
    <w:rsid w:val="00EA1D7E"/>
    <w:rsid w:val="00EA20D0"/>
    <w:rsid w:val="00EA2532"/>
    <w:rsid w:val="00EA2EA0"/>
    <w:rsid w:val="00EA356A"/>
    <w:rsid w:val="00EA553C"/>
    <w:rsid w:val="00EA5BA2"/>
    <w:rsid w:val="00EA7E3C"/>
    <w:rsid w:val="00EB00A8"/>
    <w:rsid w:val="00EB12B8"/>
    <w:rsid w:val="00EB27B7"/>
    <w:rsid w:val="00EB36A9"/>
    <w:rsid w:val="00EB6DAA"/>
    <w:rsid w:val="00EB7A29"/>
    <w:rsid w:val="00EC03DC"/>
    <w:rsid w:val="00EC0421"/>
    <w:rsid w:val="00EC204A"/>
    <w:rsid w:val="00EC24A2"/>
    <w:rsid w:val="00EC3B28"/>
    <w:rsid w:val="00EC3CE5"/>
    <w:rsid w:val="00EC3F86"/>
    <w:rsid w:val="00EC425D"/>
    <w:rsid w:val="00EC4382"/>
    <w:rsid w:val="00EC448F"/>
    <w:rsid w:val="00EC50E4"/>
    <w:rsid w:val="00EC51BB"/>
    <w:rsid w:val="00EC6893"/>
    <w:rsid w:val="00ED01D0"/>
    <w:rsid w:val="00ED0E87"/>
    <w:rsid w:val="00ED174F"/>
    <w:rsid w:val="00ED2329"/>
    <w:rsid w:val="00ED33C2"/>
    <w:rsid w:val="00ED4090"/>
    <w:rsid w:val="00ED4B95"/>
    <w:rsid w:val="00ED6E3B"/>
    <w:rsid w:val="00ED7F87"/>
    <w:rsid w:val="00EE110C"/>
    <w:rsid w:val="00EE24B5"/>
    <w:rsid w:val="00EE2A79"/>
    <w:rsid w:val="00EE2F46"/>
    <w:rsid w:val="00EE3F7A"/>
    <w:rsid w:val="00EE40C8"/>
    <w:rsid w:val="00EE6773"/>
    <w:rsid w:val="00EF27BA"/>
    <w:rsid w:val="00EF2FD1"/>
    <w:rsid w:val="00EF3DE8"/>
    <w:rsid w:val="00EF4E7A"/>
    <w:rsid w:val="00EF5CD6"/>
    <w:rsid w:val="00EF5FC9"/>
    <w:rsid w:val="00EF6DE4"/>
    <w:rsid w:val="00F00EA6"/>
    <w:rsid w:val="00F02634"/>
    <w:rsid w:val="00F071C7"/>
    <w:rsid w:val="00F07588"/>
    <w:rsid w:val="00F0769C"/>
    <w:rsid w:val="00F0771B"/>
    <w:rsid w:val="00F102AC"/>
    <w:rsid w:val="00F10CC9"/>
    <w:rsid w:val="00F1219D"/>
    <w:rsid w:val="00F1295D"/>
    <w:rsid w:val="00F15348"/>
    <w:rsid w:val="00F156C4"/>
    <w:rsid w:val="00F16482"/>
    <w:rsid w:val="00F17821"/>
    <w:rsid w:val="00F224A1"/>
    <w:rsid w:val="00F227D4"/>
    <w:rsid w:val="00F22F83"/>
    <w:rsid w:val="00F246CE"/>
    <w:rsid w:val="00F24CCE"/>
    <w:rsid w:val="00F2508B"/>
    <w:rsid w:val="00F254DC"/>
    <w:rsid w:val="00F26C8D"/>
    <w:rsid w:val="00F26CD5"/>
    <w:rsid w:val="00F307C7"/>
    <w:rsid w:val="00F319B3"/>
    <w:rsid w:val="00F320A2"/>
    <w:rsid w:val="00F34871"/>
    <w:rsid w:val="00F356A7"/>
    <w:rsid w:val="00F361EA"/>
    <w:rsid w:val="00F373D2"/>
    <w:rsid w:val="00F37717"/>
    <w:rsid w:val="00F4112E"/>
    <w:rsid w:val="00F42E10"/>
    <w:rsid w:val="00F43437"/>
    <w:rsid w:val="00F43FF6"/>
    <w:rsid w:val="00F44AB1"/>
    <w:rsid w:val="00F460FC"/>
    <w:rsid w:val="00F5034C"/>
    <w:rsid w:val="00F5077A"/>
    <w:rsid w:val="00F511B3"/>
    <w:rsid w:val="00F518C2"/>
    <w:rsid w:val="00F52252"/>
    <w:rsid w:val="00F522EE"/>
    <w:rsid w:val="00F5382E"/>
    <w:rsid w:val="00F538E1"/>
    <w:rsid w:val="00F53A5B"/>
    <w:rsid w:val="00F54D59"/>
    <w:rsid w:val="00F5504A"/>
    <w:rsid w:val="00F56002"/>
    <w:rsid w:val="00F566C4"/>
    <w:rsid w:val="00F570CD"/>
    <w:rsid w:val="00F6126A"/>
    <w:rsid w:val="00F621EB"/>
    <w:rsid w:val="00F63FB4"/>
    <w:rsid w:val="00F64324"/>
    <w:rsid w:val="00F6484B"/>
    <w:rsid w:val="00F653FC"/>
    <w:rsid w:val="00F65E34"/>
    <w:rsid w:val="00F66C18"/>
    <w:rsid w:val="00F67744"/>
    <w:rsid w:val="00F701BD"/>
    <w:rsid w:val="00F711B6"/>
    <w:rsid w:val="00F712E3"/>
    <w:rsid w:val="00F72298"/>
    <w:rsid w:val="00F735ED"/>
    <w:rsid w:val="00F742E3"/>
    <w:rsid w:val="00F74457"/>
    <w:rsid w:val="00F76321"/>
    <w:rsid w:val="00F76B4D"/>
    <w:rsid w:val="00F81175"/>
    <w:rsid w:val="00F82021"/>
    <w:rsid w:val="00F82A83"/>
    <w:rsid w:val="00F85F09"/>
    <w:rsid w:val="00F864FD"/>
    <w:rsid w:val="00F911C3"/>
    <w:rsid w:val="00F929E6"/>
    <w:rsid w:val="00F9343D"/>
    <w:rsid w:val="00F9355A"/>
    <w:rsid w:val="00F9404F"/>
    <w:rsid w:val="00F942DD"/>
    <w:rsid w:val="00F947E7"/>
    <w:rsid w:val="00F94BC0"/>
    <w:rsid w:val="00F97B2E"/>
    <w:rsid w:val="00FA0406"/>
    <w:rsid w:val="00FA046A"/>
    <w:rsid w:val="00FA0B9F"/>
    <w:rsid w:val="00FA0CA1"/>
    <w:rsid w:val="00FA0FD5"/>
    <w:rsid w:val="00FA122D"/>
    <w:rsid w:val="00FA54AE"/>
    <w:rsid w:val="00FA5B10"/>
    <w:rsid w:val="00FA7C4E"/>
    <w:rsid w:val="00FB0709"/>
    <w:rsid w:val="00FB1EE4"/>
    <w:rsid w:val="00FB22FD"/>
    <w:rsid w:val="00FB4ADA"/>
    <w:rsid w:val="00FB52B3"/>
    <w:rsid w:val="00FB5F97"/>
    <w:rsid w:val="00FB6265"/>
    <w:rsid w:val="00FB7585"/>
    <w:rsid w:val="00FC01F3"/>
    <w:rsid w:val="00FC1319"/>
    <w:rsid w:val="00FC1FCC"/>
    <w:rsid w:val="00FC20A7"/>
    <w:rsid w:val="00FC38EE"/>
    <w:rsid w:val="00FC5273"/>
    <w:rsid w:val="00FC7321"/>
    <w:rsid w:val="00FD0049"/>
    <w:rsid w:val="00FD084B"/>
    <w:rsid w:val="00FD0934"/>
    <w:rsid w:val="00FD31CA"/>
    <w:rsid w:val="00FD39AB"/>
    <w:rsid w:val="00FD42E6"/>
    <w:rsid w:val="00FD474E"/>
    <w:rsid w:val="00FD476A"/>
    <w:rsid w:val="00FD6DB7"/>
    <w:rsid w:val="00FD731D"/>
    <w:rsid w:val="00FE4572"/>
    <w:rsid w:val="00FE4816"/>
    <w:rsid w:val="00FE4D8E"/>
    <w:rsid w:val="00FE5F34"/>
    <w:rsid w:val="00FE6581"/>
    <w:rsid w:val="00FE691E"/>
    <w:rsid w:val="00FE6E6C"/>
    <w:rsid w:val="00FE7098"/>
    <w:rsid w:val="00FE7344"/>
    <w:rsid w:val="00FF040D"/>
    <w:rsid w:val="00FF42E2"/>
    <w:rsid w:val="00FF7592"/>
    <w:rsid w:val="010AD481"/>
    <w:rsid w:val="0118D33F"/>
    <w:rsid w:val="01233D06"/>
    <w:rsid w:val="017978A7"/>
    <w:rsid w:val="01892DF9"/>
    <w:rsid w:val="018F8560"/>
    <w:rsid w:val="01CF4FA8"/>
    <w:rsid w:val="01D15022"/>
    <w:rsid w:val="01FB7237"/>
    <w:rsid w:val="023CF042"/>
    <w:rsid w:val="024430A5"/>
    <w:rsid w:val="0253B878"/>
    <w:rsid w:val="025C8E66"/>
    <w:rsid w:val="0262330F"/>
    <w:rsid w:val="02A26426"/>
    <w:rsid w:val="02B44C20"/>
    <w:rsid w:val="02B8713A"/>
    <w:rsid w:val="02EA1D1C"/>
    <w:rsid w:val="032C8028"/>
    <w:rsid w:val="03369BEF"/>
    <w:rsid w:val="033F1517"/>
    <w:rsid w:val="036326DF"/>
    <w:rsid w:val="0364737C"/>
    <w:rsid w:val="036D2083"/>
    <w:rsid w:val="0376D750"/>
    <w:rsid w:val="03831AC2"/>
    <w:rsid w:val="03941660"/>
    <w:rsid w:val="03983608"/>
    <w:rsid w:val="03AF6501"/>
    <w:rsid w:val="03C811B1"/>
    <w:rsid w:val="03E0AC8F"/>
    <w:rsid w:val="041A9906"/>
    <w:rsid w:val="042A06E3"/>
    <w:rsid w:val="0442B120"/>
    <w:rsid w:val="0488E197"/>
    <w:rsid w:val="04996BD2"/>
    <w:rsid w:val="04A31C64"/>
    <w:rsid w:val="04B07405"/>
    <w:rsid w:val="04CA3188"/>
    <w:rsid w:val="04D8F815"/>
    <w:rsid w:val="0505A4EF"/>
    <w:rsid w:val="0517E82D"/>
    <w:rsid w:val="051CE9AB"/>
    <w:rsid w:val="05573863"/>
    <w:rsid w:val="055CF1A6"/>
    <w:rsid w:val="056AA0A8"/>
    <w:rsid w:val="057C7CF0"/>
    <w:rsid w:val="058B1C14"/>
    <w:rsid w:val="059EBDD1"/>
    <w:rsid w:val="05AC6F6E"/>
    <w:rsid w:val="05B70C74"/>
    <w:rsid w:val="05C7911D"/>
    <w:rsid w:val="05CC06EA"/>
    <w:rsid w:val="05EDC413"/>
    <w:rsid w:val="05F1D2D8"/>
    <w:rsid w:val="05FB0F4F"/>
    <w:rsid w:val="0639DE46"/>
    <w:rsid w:val="064EB29F"/>
    <w:rsid w:val="066F34A3"/>
    <w:rsid w:val="0673F697"/>
    <w:rsid w:val="068046C2"/>
    <w:rsid w:val="0698448A"/>
    <w:rsid w:val="06985000"/>
    <w:rsid w:val="069E9F26"/>
    <w:rsid w:val="06AF434B"/>
    <w:rsid w:val="06FC5E69"/>
    <w:rsid w:val="070A64DF"/>
    <w:rsid w:val="075EA2B9"/>
    <w:rsid w:val="07668093"/>
    <w:rsid w:val="07710F6C"/>
    <w:rsid w:val="078B0503"/>
    <w:rsid w:val="078D2DC2"/>
    <w:rsid w:val="07E30E75"/>
    <w:rsid w:val="080406B7"/>
    <w:rsid w:val="0873109D"/>
    <w:rsid w:val="0874AC70"/>
    <w:rsid w:val="087DC6BA"/>
    <w:rsid w:val="08B0BF3C"/>
    <w:rsid w:val="090A027C"/>
    <w:rsid w:val="092F4AA0"/>
    <w:rsid w:val="09305D2D"/>
    <w:rsid w:val="0947F0F8"/>
    <w:rsid w:val="09561DE3"/>
    <w:rsid w:val="09A2FA2D"/>
    <w:rsid w:val="09A46001"/>
    <w:rsid w:val="09A7C79D"/>
    <w:rsid w:val="09B0B380"/>
    <w:rsid w:val="09BD6663"/>
    <w:rsid w:val="09D54E3C"/>
    <w:rsid w:val="09DFFEE0"/>
    <w:rsid w:val="09ED2962"/>
    <w:rsid w:val="09F537FA"/>
    <w:rsid w:val="0A480227"/>
    <w:rsid w:val="0A7939D0"/>
    <w:rsid w:val="0A7CD022"/>
    <w:rsid w:val="0A996849"/>
    <w:rsid w:val="0ABC1843"/>
    <w:rsid w:val="0B46600D"/>
    <w:rsid w:val="0B47B118"/>
    <w:rsid w:val="0B528D50"/>
    <w:rsid w:val="0B537D0E"/>
    <w:rsid w:val="0B6CB90B"/>
    <w:rsid w:val="0B706CB1"/>
    <w:rsid w:val="0B954509"/>
    <w:rsid w:val="0B9EBA93"/>
    <w:rsid w:val="0BA26817"/>
    <w:rsid w:val="0BA5B597"/>
    <w:rsid w:val="0BAB82E9"/>
    <w:rsid w:val="0BBCA005"/>
    <w:rsid w:val="0BBEDDF4"/>
    <w:rsid w:val="0BBEE7C6"/>
    <w:rsid w:val="0BD5D40F"/>
    <w:rsid w:val="0BF801BC"/>
    <w:rsid w:val="0BFA7E19"/>
    <w:rsid w:val="0C181C05"/>
    <w:rsid w:val="0C1F6547"/>
    <w:rsid w:val="0C1FC790"/>
    <w:rsid w:val="0C44808F"/>
    <w:rsid w:val="0C56CBE4"/>
    <w:rsid w:val="0C678D72"/>
    <w:rsid w:val="0C80F542"/>
    <w:rsid w:val="0CC8A594"/>
    <w:rsid w:val="0CE9821C"/>
    <w:rsid w:val="0CEB5432"/>
    <w:rsid w:val="0D037670"/>
    <w:rsid w:val="0D3EA26B"/>
    <w:rsid w:val="0D3F5CB7"/>
    <w:rsid w:val="0D781A0A"/>
    <w:rsid w:val="0D7C5E3C"/>
    <w:rsid w:val="0DD0B448"/>
    <w:rsid w:val="0DE48D5B"/>
    <w:rsid w:val="0DF2265E"/>
    <w:rsid w:val="0E15AB37"/>
    <w:rsid w:val="0E1E5773"/>
    <w:rsid w:val="0E40D7B9"/>
    <w:rsid w:val="0E48FF16"/>
    <w:rsid w:val="0E58E035"/>
    <w:rsid w:val="0E80DF55"/>
    <w:rsid w:val="0E872493"/>
    <w:rsid w:val="0EE71D9B"/>
    <w:rsid w:val="0F372ADF"/>
    <w:rsid w:val="0F83233D"/>
    <w:rsid w:val="0F84DC5F"/>
    <w:rsid w:val="0F89C6D0"/>
    <w:rsid w:val="0F988070"/>
    <w:rsid w:val="0FFEA40D"/>
    <w:rsid w:val="10156E5B"/>
    <w:rsid w:val="102658C5"/>
    <w:rsid w:val="1034786B"/>
    <w:rsid w:val="10684880"/>
    <w:rsid w:val="108B238E"/>
    <w:rsid w:val="10A8CEC7"/>
    <w:rsid w:val="10B0B276"/>
    <w:rsid w:val="10BF5731"/>
    <w:rsid w:val="10CB72DF"/>
    <w:rsid w:val="10D921E1"/>
    <w:rsid w:val="10F3700A"/>
    <w:rsid w:val="110C36A0"/>
    <w:rsid w:val="115F1807"/>
    <w:rsid w:val="119F1512"/>
    <w:rsid w:val="11CF03CF"/>
    <w:rsid w:val="11DAC4A7"/>
    <w:rsid w:val="12093F3B"/>
    <w:rsid w:val="1212AA30"/>
    <w:rsid w:val="121BD226"/>
    <w:rsid w:val="12350075"/>
    <w:rsid w:val="1245B72E"/>
    <w:rsid w:val="124ADC92"/>
    <w:rsid w:val="1257282C"/>
    <w:rsid w:val="125E608B"/>
    <w:rsid w:val="129092D4"/>
    <w:rsid w:val="12B00C12"/>
    <w:rsid w:val="12B29147"/>
    <w:rsid w:val="12FDDD36"/>
    <w:rsid w:val="1302EA46"/>
    <w:rsid w:val="1334FDA9"/>
    <w:rsid w:val="13D49AD2"/>
    <w:rsid w:val="140A67F7"/>
    <w:rsid w:val="14525F93"/>
    <w:rsid w:val="146AB5B0"/>
    <w:rsid w:val="14980425"/>
    <w:rsid w:val="14B5BAAE"/>
    <w:rsid w:val="14BA58CD"/>
    <w:rsid w:val="14DA7621"/>
    <w:rsid w:val="1556E0BD"/>
    <w:rsid w:val="1565CAF6"/>
    <w:rsid w:val="15869670"/>
    <w:rsid w:val="15BEFAAF"/>
    <w:rsid w:val="15C014DF"/>
    <w:rsid w:val="15D2E42D"/>
    <w:rsid w:val="15D8E83E"/>
    <w:rsid w:val="15EE48A7"/>
    <w:rsid w:val="15FC92D1"/>
    <w:rsid w:val="16296BBE"/>
    <w:rsid w:val="16543EB2"/>
    <w:rsid w:val="168F1B20"/>
    <w:rsid w:val="16953FF7"/>
    <w:rsid w:val="16B4C98D"/>
    <w:rsid w:val="16BA6405"/>
    <w:rsid w:val="16CD854F"/>
    <w:rsid w:val="16D05369"/>
    <w:rsid w:val="16F236AC"/>
    <w:rsid w:val="16F81291"/>
    <w:rsid w:val="173AC6FF"/>
    <w:rsid w:val="173CC2A0"/>
    <w:rsid w:val="174C0B48"/>
    <w:rsid w:val="1752C2FA"/>
    <w:rsid w:val="175F62DC"/>
    <w:rsid w:val="17B07B56"/>
    <w:rsid w:val="17B3B33C"/>
    <w:rsid w:val="17F5879C"/>
    <w:rsid w:val="1808FBF9"/>
    <w:rsid w:val="180D81BB"/>
    <w:rsid w:val="1850D107"/>
    <w:rsid w:val="185A9FB4"/>
    <w:rsid w:val="188A2B68"/>
    <w:rsid w:val="188B5567"/>
    <w:rsid w:val="188DE639"/>
    <w:rsid w:val="18AB0A4D"/>
    <w:rsid w:val="18E8F6D1"/>
    <w:rsid w:val="194059D9"/>
    <w:rsid w:val="19443F4D"/>
    <w:rsid w:val="199A87AE"/>
    <w:rsid w:val="19CC2892"/>
    <w:rsid w:val="19D1CF9B"/>
    <w:rsid w:val="19E116DF"/>
    <w:rsid w:val="19E6A7E2"/>
    <w:rsid w:val="19E9CFAB"/>
    <w:rsid w:val="1A237BD2"/>
    <w:rsid w:val="1A327B39"/>
    <w:rsid w:val="1A5CA0EA"/>
    <w:rsid w:val="1A748580"/>
    <w:rsid w:val="1A8191CA"/>
    <w:rsid w:val="1A94297D"/>
    <w:rsid w:val="1AA43FFA"/>
    <w:rsid w:val="1AC7F76B"/>
    <w:rsid w:val="1ACF6150"/>
    <w:rsid w:val="1AE3C3FC"/>
    <w:rsid w:val="1B034994"/>
    <w:rsid w:val="1B093ECA"/>
    <w:rsid w:val="1B09FF1D"/>
    <w:rsid w:val="1B13FAE4"/>
    <w:rsid w:val="1B2E9C0E"/>
    <w:rsid w:val="1B66AF90"/>
    <w:rsid w:val="1B674D7F"/>
    <w:rsid w:val="1B892FD6"/>
    <w:rsid w:val="1B9F400A"/>
    <w:rsid w:val="1BB35E9A"/>
    <w:rsid w:val="1BD0EB8B"/>
    <w:rsid w:val="1BD68771"/>
    <w:rsid w:val="1BE61B26"/>
    <w:rsid w:val="1C116EEB"/>
    <w:rsid w:val="1C59F751"/>
    <w:rsid w:val="1C65C7B4"/>
    <w:rsid w:val="1C6CA4CC"/>
    <w:rsid w:val="1CA0F6E8"/>
    <w:rsid w:val="1CBC7675"/>
    <w:rsid w:val="1CD5E410"/>
    <w:rsid w:val="1CFD292D"/>
    <w:rsid w:val="1D2D10CB"/>
    <w:rsid w:val="1D30139F"/>
    <w:rsid w:val="1D5101F6"/>
    <w:rsid w:val="1D57A9C2"/>
    <w:rsid w:val="1D743E11"/>
    <w:rsid w:val="1D7B37A6"/>
    <w:rsid w:val="1D9557AD"/>
    <w:rsid w:val="1D99DE2A"/>
    <w:rsid w:val="1DA5A025"/>
    <w:rsid w:val="1DC80968"/>
    <w:rsid w:val="1DE3FB18"/>
    <w:rsid w:val="1DFBE178"/>
    <w:rsid w:val="1E47EF32"/>
    <w:rsid w:val="1E5EC3CF"/>
    <w:rsid w:val="1E68D90F"/>
    <w:rsid w:val="1E7DB1E8"/>
    <w:rsid w:val="1E8664B6"/>
    <w:rsid w:val="1EA051DC"/>
    <w:rsid w:val="1EAE5293"/>
    <w:rsid w:val="1EF37A23"/>
    <w:rsid w:val="1F329333"/>
    <w:rsid w:val="1F428104"/>
    <w:rsid w:val="1F8EEB1C"/>
    <w:rsid w:val="1F989198"/>
    <w:rsid w:val="1FA52C32"/>
    <w:rsid w:val="1FDB69EF"/>
    <w:rsid w:val="1FFEA6EA"/>
    <w:rsid w:val="2005D7BB"/>
    <w:rsid w:val="200C31AA"/>
    <w:rsid w:val="201C3C58"/>
    <w:rsid w:val="2022C3D0"/>
    <w:rsid w:val="2033DE19"/>
    <w:rsid w:val="2035FD66"/>
    <w:rsid w:val="208699A1"/>
    <w:rsid w:val="20A0BE39"/>
    <w:rsid w:val="20AC2B03"/>
    <w:rsid w:val="210D6022"/>
    <w:rsid w:val="211850A4"/>
    <w:rsid w:val="212528DE"/>
    <w:rsid w:val="2133C78E"/>
    <w:rsid w:val="21927DF0"/>
    <w:rsid w:val="21CAB1AA"/>
    <w:rsid w:val="21F54FD7"/>
    <w:rsid w:val="21FEE079"/>
    <w:rsid w:val="2201BFA6"/>
    <w:rsid w:val="2217FF8C"/>
    <w:rsid w:val="221ACA94"/>
    <w:rsid w:val="22221133"/>
    <w:rsid w:val="2246E966"/>
    <w:rsid w:val="226C9687"/>
    <w:rsid w:val="227EC41F"/>
    <w:rsid w:val="22967909"/>
    <w:rsid w:val="229AEED1"/>
    <w:rsid w:val="22ACCC8C"/>
    <w:rsid w:val="22AD5812"/>
    <w:rsid w:val="22B78CD2"/>
    <w:rsid w:val="22D1CB64"/>
    <w:rsid w:val="22D631D2"/>
    <w:rsid w:val="22EB1051"/>
    <w:rsid w:val="22F3B23B"/>
    <w:rsid w:val="22FBB877"/>
    <w:rsid w:val="236CEA0A"/>
    <w:rsid w:val="236D2857"/>
    <w:rsid w:val="237BB085"/>
    <w:rsid w:val="23817C77"/>
    <w:rsid w:val="239A8B62"/>
    <w:rsid w:val="23BDA764"/>
    <w:rsid w:val="23F34DC0"/>
    <w:rsid w:val="24060456"/>
    <w:rsid w:val="241AE938"/>
    <w:rsid w:val="2448AB91"/>
    <w:rsid w:val="2451608A"/>
    <w:rsid w:val="2451C5BE"/>
    <w:rsid w:val="248F27F4"/>
    <w:rsid w:val="249DED67"/>
    <w:rsid w:val="24AB890E"/>
    <w:rsid w:val="24ACCF0B"/>
    <w:rsid w:val="24D948DE"/>
    <w:rsid w:val="24EFAEB4"/>
    <w:rsid w:val="251798C9"/>
    <w:rsid w:val="2541038A"/>
    <w:rsid w:val="2555F04A"/>
    <w:rsid w:val="25765C8B"/>
    <w:rsid w:val="257B6360"/>
    <w:rsid w:val="25B03735"/>
    <w:rsid w:val="25D0018E"/>
    <w:rsid w:val="25D49931"/>
    <w:rsid w:val="25E95276"/>
    <w:rsid w:val="25FB9E20"/>
    <w:rsid w:val="261E8E65"/>
    <w:rsid w:val="26368EAA"/>
    <w:rsid w:val="263B0295"/>
    <w:rsid w:val="26635047"/>
    <w:rsid w:val="266EFE46"/>
    <w:rsid w:val="267DC468"/>
    <w:rsid w:val="2688B1F6"/>
    <w:rsid w:val="26A7D5F3"/>
    <w:rsid w:val="26E2DFCB"/>
    <w:rsid w:val="26F10FD7"/>
    <w:rsid w:val="27039601"/>
    <w:rsid w:val="271E8943"/>
    <w:rsid w:val="27ADE65C"/>
    <w:rsid w:val="27AE08E9"/>
    <w:rsid w:val="27C04750"/>
    <w:rsid w:val="27C404AE"/>
    <w:rsid w:val="27D19A59"/>
    <w:rsid w:val="27F1D648"/>
    <w:rsid w:val="2809ED93"/>
    <w:rsid w:val="282DEEB3"/>
    <w:rsid w:val="283025CB"/>
    <w:rsid w:val="28850CC1"/>
    <w:rsid w:val="28A249EF"/>
    <w:rsid w:val="28CE2705"/>
    <w:rsid w:val="29078011"/>
    <w:rsid w:val="292AFEA7"/>
    <w:rsid w:val="295A51D5"/>
    <w:rsid w:val="2989BF5F"/>
    <w:rsid w:val="29A14D29"/>
    <w:rsid w:val="29A583BA"/>
    <w:rsid w:val="29AAD1E4"/>
    <w:rsid w:val="29C17CEA"/>
    <w:rsid w:val="29F403F5"/>
    <w:rsid w:val="2A13C1F7"/>
    <w:rsid w:val="2A20443D"/>
    <w:rsid w:val="2A3645A3"/>
    <w:rsid w:val="2A3C9C2C"/>
    <w:rsid w:val="2A4B5741"/>
    <w:rsid w:val="2A710637"/>
    <w:rsid w:val="2A88E639"/>
    <w:rsid w:val="2A9BD635"/>
    <w:rsid w:val="2AA483D7"/>
    <w:rsid w:val="2ABCBE12"/>
    <w:rsid w:val="2ADDDA93"/>
    <w:rsid w:val="2AFD6644"/>
    <w:rsid w:val="2B01CACD"/>
    <w:rsid w:val="2B0FA446"/>
    <w:rsid w:val="2B1B0BFF"/>
    <w:rsid w:val="2B5092C6"/>
    <w:rsid w:val="2BC6C277"/>
    <w:rsid w:val="2BCA10D8"/>
    <w:rsid w:val="2BD1FD2B"/>
    <w:rsid w:val="2BDD82EC"/>
    <w:rsid w:val="2C1C1F19"/>
    <w:rsid w:val="2C35F461"/>
    <w:rsid w:val="2C53E21B"/>
    <w:rsid w:val="2C7E9388"/>
    <w:rsid w:val="2C827334"/>
    <w:rsid w:val="2CB14BE1"/>
    <w:rsid w:val="2CD18C55"/>
    <w:rsid w:val="2CE33A56"/>
    <w:rsid w:val="2D2BCB37"/>
    <w:rsid w:val="2D3EB5CE"/>
    <w:rsid w:val="2DAC145B"/>
    <w:rsid w:val="2DC05FB0"/>
    <w:rsid w:val="2DDD28A6"/>
    <w:rsid w:val="2DF231FC"/>
    <w:rsid w:val="2DF64B56"/>
    <w:rsid w:val="2E022ACC"/>
    <w:rsid w:val="2E0B59C9"/>
    <w:rsid w:val="2E2CCFC5"/>
    <w:rsid w:val="2E35243D"/>
    <w:rsid w:val="2E3FBB02"/>
    <w:rsid w:val="2E4E3574"/>
    <w:rsid w:val="2E5CE468"/>
    <w:rsid w:val="2EA0DB65"/>
    <w:rsid w:val="2EB11A1D"/>
    <w:rsid w:val="2ED89871"/>
    <w:rsid w:val="2EE7F75C"/>
    <w:rsid w:val="2EEF12CB"/>
    <w:rsid w:val="2EF06404"/>
    <w:rsid w:val="2F133331"/>
    <w:rsid w:val="2F3406D2"/>
    <w:rsid w:val="2F3B1480"/>
    <w:rsid w:val="2F4039D9"/>
    <w:rsid w:val="2F4055C8"/>
    <w:rsid w:val="2F452F93"/>
    <w:rsid w:val="2F501F48"/>
    <w:rsid w:val="2F5F7E64"/>
    <w:rsid w:val="2F969696"/>
    <w:rsid w:val="302EB480"/>
    <w:rsid w:val="305E4915"/>
    <w:rsid w:val="30943377"/>
    <w:rsid w:val="309726F2"/>
    <w:rsid w:val="30AFF622"/>
    <w:rsid w:val="30C55FD9"/>
    <w:rsid w:val="30C9663B"/>
    <w:rsid w:val="30DAB7F1"/>
    <w:rsid w:val="30FB02C7"/>
    <w:rsid w:val="3142000E"/>
    <w:rsid w:val="315B5380"/>
    <w:rsid w:val="3186C117"/>
    <w:rsid w:val="318B7B33"/>
    <w:rsid w:val="3192EDC0"/>
    <w:rsid w:val="31BB4CE0"/>
    <w:rsid w:val="3222BB22"/>
    <w:rsid w:val="3238F74F"/>
    <w:rsid w:val="323AB2EA"/>
    <w:rsid w:val="32718B95"/>
    <w:rsid w:val="32C98E14"/>
    <w:rsid w:val="32D527C4"/>
    <w:rsid w:val="32D6E983"/>
    <w:rsid w:val="32E45F82"/>
    <w:rsid w:val="32F44322"/>
    <w:rsid w:val="32F4FE07"/>
    <w:rsid w:val="3301CE7D"/>
    <w:rsid w:val="331238B7"/>
    <w:rsid w:val="33303BBA"/>
    <w:rsid w:val="335F9C28"/>
    <w:rsid w:val="335FD53A"/>
    <w:rsid w:val="33675D71"/>
    <w:rsid w:val="3378ABF2"/>
    <w:rsid w:val="337C2218"/>
    <w:rsid w:val="338AD0C4"/>
    <w:rsid w:val="33998F55"/>
    <w:rsid w:val="33C2CE8D"/>
    <w:rsid w:val="33D10A13"/>
    <w:rsid w:val="33D35CC0"/>
    <w:rsid w:val="34433155"/>
    <w:rsid w:val="34443A2D"/>
    <w:rsid w:val="3458B471"/>
    <w:rsid w:val="3471BC3A"/>
    <w:rsid w:val="34889C0C"/>
    <w:rsid w:val="348DC67F"/>
    <w:rsid w:val="34CE141B"/>
    <w:rsid w:val="3507940E"/>
    <w:rsid w:val="351E375A"/>
    <w:rsid w:val="355D6C35"/>
    <w:rsid w:val="3567A49A"/>
    <w:rsid w:val="35759FE9"/>
    <w:rsid w:val="3579DA40"/>
    <w:rsid w:val="3580CCF7"/>
    <w:rsid w:val="3588177A"/>
    <w:rsid w:val="35940188"/>
    <w:rsid w:val="35B53A1A"/>
    <w:rsid w:val="35F79EF6"/>
    <w:rsid w:val="36008A89"/>
    <w:rsid w:val="362945DE"/>
    <w:rsid w:val="36563EB1"/>
    <w:rsid w:val="3673F598"/>
    <w:rsid w:val="36833124"/>
    <w:rsid w:val="369AED30"/>
    <w:rsid w:val="36A2CDAA"/>
    <w:rsid w:val="36A3502B"/>
    <w:rsid w:val="36E33CDD"/>
    <w:rsid w:val="370B2625"/>
    <w:rsid w:val="3719B1FE"/>
    <w:rsid w:val="37727FEA"/>
    <w:rsid w:val="378080B7"/>
    <w:rsid w:val="37894EBF"/>
    <w:rsid w:val="37B0C262"/>
    <w:rsid w:val="37C46187"/>
    <w:rsid w:val="37C60B8D"/>
    <w:rsid w:val="37D68BEA"/>
    <w:rsid w:val="37E57F4E"/>
    <w:rsid w:val="383B7B75"/>
    <w:rsid w:val="383BE8A2"/>
    <w:rsid w:val="383D40CB"/>
    <w:rsid w:val="384B93A5"/>
    <w:rsid w:val="38632C95"/>
    <w:rsid w:val="387391F7"/>
    <w:rsid w:val="38885E7C"/>
    <w:rsid w:val="38A9F46E"/>
    <w:rsid w:val="38B4322D"/>
    <w:rsid w:val="38E1F9B2"/>
    <w:rsid w:val="390A9201"/>
    <w:rsid w:val="394BD1CB"/>
    <w:rsid w:val="39782B55"/>
    <w:rsid w:val="3978D15F"/>
    <w:rsid w:val="39AF50A7"/>
    <w:rsid w:val="39D2B6F3"/>
    <w:rsid w:val="39DA6F8F"/>
    <w:rsid w:val="39EC996F"/>
    <w:rsid w:val="39FDB288"/>
    <w:rsid w:val="3A592F15"/>
    <w:rsid w:val="3A9687F5"/>
    <w:rsid w:val="3AA31DC8"/>
    <w:rsid w:val="3ABF6D66"/>
    <w:rsid w:val="3B053FC5"/>
    <w:rsid w:val="3B078716"/>
    <w:rsid w:val="3B09EEFE"/>
    <w:rsid w:val="3B11F528"/>
    <w:rsid w:val="3B143386"/>
    <w:rsid w:val="3B24B76B"/>
    <w:rsid w:val="3B2C7F06"/>
    <w:rsid w:val="3B333966"/>
    <w:rsid w:val="3B54AAA7"/>
    <w:rsid w:val="3B6CCCE5"/>
    <w:rsid w:val="3B89ECD9"/>
    <w:rsid w:val="3BA69FB6"/>
    <w:rsid w:val="3BAB35F2"/>
    <w:rsid w:val="3BD0D1E0"/>
    <w:rsid w:val="3BF4FF76"/>
    <w:rsid w:val="3C0196B7"/>
    <w:rsid w:val="3C23C360"/>
    <w:rsid w:val="3C2B67EA"/>
    <w:rsid w:val="3C45F10D"/>
    <w:rsid w:val="3C50DD88"/>
    <w:rsid w:val="3C672967"/>
    <w:rsid w:val="3C8E7C1D"/>
    <w:rsid w:val="3C926FE0"/>
    <w:rsid w:val="3CA11026"/>
    <w:rsid w:val="3CAE78A6"/>
    <w:rsid w:val="3D1F8E38"/>
    <w:rsid w:val="3D326037"/>
    <w:rsid w:val="3D82B0F7"/>
    <w:rsid w:val="3D934A5D"/>
    <w:rsid w:val="3D9797F0"/>
    <w:rsid w:val="3DE8764C"/>
    <w:rsid w:val="3DEA38B7"/>
    <w:rsid w:val="3E017135"/>
    <w:rsid w:val="3E05DFEA"/>
    <w:rsid w:val="3E1BF4C3"/>
    <w:rsid w:val="3E27FCAD"/>
    <w:rsid w:val="3E3CE087"/>
    <w:rsid w:val="3E88A8D3"/>
    <w:rsid w:val="3E9C9FB1"/>
    <w:rsid w:val="3EA837B6"/>
    <w:rsid w:val="3EAA692B"/>
    <w:rsid w:val="3EAE485B"/>
    <w:rsid w:val="3EE9AA36"/>
    <w:rsid w:val="3EF30B8F"/>
    <w:rsid w:val="3F07DF14"/>
    <w:rsid w:val="3F0C6719"/>
    <w:rsid w:val="3F1AC891"/>
    <w:rsid w:val="3F24F4F8"/>
    <w:rsid w:val="3F346FED"/>
    <w:rsid w:val="3F4BA713"/>
    <w:rsid w:val="3F927905"/>
    <w:rsid w:val="3F948347"/>
    <w:rsid w:val="3FB1B28E"/>
    <w:rsid w:val="3FC13EFC"/>
    <w:rsid w:val="3FC8F652"/>
    <w:rsid w:val="400108CF"/>
    <w:rsid w:val="401F4649"/>
    <w:rsid w:val="4037867B"/>
    <w:rsid w:val="4041FA56"/>
    <w:rsid w:val="4058D321"/>
    <w:rsid w:val="40B51CC1"/>
    <w:rsid w:val="40E4595E"/>
    <w:rsid w:val="40F9DE18"/>
    <w:rsid w:val="410F3DA8"/>
    <w:rsid w:val="41196230"/>
    <w:rsid w:val="41962CAE"/>
    <w:rsid w:val="41A857E2"/>
    <w:rsid w:val="41C4311C"/>
    <w:rsid w:val="41C83928"/>
    <w:rsid w:val="41DD5A96"/>
    <w:rsid w:val="41E39CCE"/>
    <w:rsid w:val="4205281F"/>
    <w:rsid w:val="42124F27"/>
    <w:rsid w:val="4246F736"/>
    <w:rsid w:val="428C311E"/>
    <w:rsid w:val="428E55E9"/>
    <w:rsid w:val="42B18170"/>
    <w:rsid w:val="42C857FB"/>
    <w:rsid w:val="430D4F6B"/>
    <w:rsid w:val="431051AA"/>
    <w:rsid w:val="431F456B"/>
    <w:rsid w:val="43239B2D"/>
    <w:rsid w:val="434AF371"/>
    <w:rsid w:val="436DC394"/>
    <w:rsid w:val="43895CFF"/>
    <w:rsid w:val="43AC4EEC"/>
    <w:rsid w:val="43C5CC20"/>
    <w:rsid w:val="43CA2319"/>
    <w:rsid w:val="43D57102"/>
    <w:rsid w:val="440E94C5"/>
    <w:rsid w:val="443D95C0"/>
    <w:rsid w:val="444E1A0A"/>
    <w:rsid w:val="4457F35E"/>
    <w:rsid w:val="44B7B8A8"/>
    <w:rsid w:val="44CD6A47"/>
    <w:rsid w:val="44D186E7"/>
    <w:rsid w:val="44F37503"/>
    <w:rsid w:val="450C31E4"/>
    <w:rsid w:val="45442254"/>
    <w:rsid w:val="455F131A"/>
    <w:rsid w:val="457B3ACC"/>
    <w:rsid w:val="457DC864"/>
    <w:rsid w:val="4582D25D"/>
    <w:rsid w:val="459DE2BD"/>
    <w:rsid w:val="45A05480"/>
    <w:rsid w:val="45A67215"/>
    <w:rsid w:val="45AE223D"/>
    <w:rsid w:val="45DC4265"/>
    <w:rsid w:val="45F8326A"/>
    <w:rsid w:val="46058436"/>
    <w:rsid w:val="460FF19B"/>
    <w:rsid w:val="4615E088"/>
    <w:rsid w:val="46225860"/>
    <w:rsid w:val="462C47A0"/>
    <w:rsid w:val="46755D1C"/>
    <w:rsid w:val="46B6FD18"/>
    <w:rsid w:val="46BA94AA"/>
    <w:rsid w:val="46E1F953"/>
    <w:rsid w:val="46E99BAB"/>
    <w:rsid w:val="47311128"/>
    <w:rsid w:val="475FFC3B"/>
    <w:rsid w:val="4792613F"/>
    <w:rsid w:val="479B2075"/>
    <w:rsid w:val="47A2E8F3"/>
    <w:rsid w:val="47C6746E"/>
    <w:rsid w:val="47CD427B"/>
    <w:rsid w:val="47D6485B"/>
    <w:rsid w:val="47E3C2CD"/>
    <w:rsid w:val="4835DAD5"/>
    <w:rsid w:val="4889A249"/>
    <w:rsid w:val="48C805BE"/>
    <w:rsid w:val="48D88271"/>
    <w:rsid w:val="48E25A2A"/>
    <w:rsid w:val="48E4D9FB"/>
    <w:rsid w:val="49037C3B"/>
    <w:rsid w:val="490F7D7B"/>
    <w:rsid w:val="4912949D"/>
    <w:rsid w:val="49274134"/>
    <w:rsid w:val="496254D0"/>
    <w:rsid w:val="4969A704"/>
    <w:rsid w:val="498E492A"/>
    <w:rsid w:val="4995C7B2"/>
    <w:rsid w:val="499935A5"/>
    <w:rsid w:val="49AAD3D7"/>
    <w:rsid w:val="4A0D9E4C"/>
    <w:rsid w:val="4A1A9F70"/>
    <w:rsid w:val="4A272924"/>
    <w:rsid w:val="4A389762"/>
    <w:rsid w:val="4A466CCF"/>
    <w:rsid w:val="4A4B0E0C"/>
    <w:rsid w:val="4A60928E"/>
    <w:rsid w:val="4A69980D"/>
    <w:rsid w:val="4A73C5A3"/>
    <w:rsid w:val="4A8A2B79"/>
    <w:rsid w:val="4A9C9FD8"/>
    <w:rsid w:val="4AB02A2C"/>
    <w:rsid w:val="4ABA82FA"/>
    <w:rsid w:val="4AD720F6"/>
    <w:rsid w:val="4AEAA2BB"/>
    <w:rsid w:val="4B002A01"/>
    <w:rsid w:val="4B0068CF"/>
    <w:rsid w:val="4B023B32"/>
    <w:rsid w:val="4B45B30E"/>
    <w:rsid w:val="4B4A1599"/>
    <w:rsid w:val="4B6E0885"/>
    <w:rsid w:val="4B98527F"/>
    <w:rsid w:val="4BD1D1A3"/>
    <w:rsid w:val="4BDA6D29"/>
    <w:rsid w:val="4BEBF1C2"/>
    <w:rsid w:val="4BF3C7E3"/>
    <w:rsid w:val="4C1AC60A"/>
    <w:rsid w:val="4C224BF6"/>
    <w:rsid w:val="4C245917"/>
    <w:rsid w:val="4C49CE7B"/>
    <w:rsid w:val="4C5253F8"/>
    <w:rsid w:val="4C5FA329"/>
    <w:rsid w:val="4C6894E9"/>
    <w:rsid w:val="4C6A9F5C"/>
    <w:rsid w:val="4C85CAF8"/>
    <w:rsid w:val="4C9A0BEB"/>
    <w:rsid w:val="4CCF6905"/>
    <w:rsid w:val="4CE5104B"/>
    <w:rsid w:val="4CE68AE6"/>
    <w:rsid w:val="4D20FAA3"/>
    <w:rsid w:val="4D69775F"/>
    <w:rsid w:val="4D97AF8D"/>
    <w:rsid w:val="4DD9589E"/>
    <w:rsid w:val="4E01704E"/>
    <w:rsid w:val="4E12F018"/>
    <w:rsid w:val="4E156E4B"/>
    <w:rsid w:val="4E649D7D"/>
    <w:rsid w:val="4E6E23F1"/>
    <w:rsid w:val="4EDCD333"/>
    <w:rsid w:val="4EE4E9A5"/>
    <w:rsid w:val="4EF1042D"/>
    <w:rsid w:val="4F00DF11"/>
    <w:rsid w:val="4F3499AB"/>
    <w:rsid w:val="4F397F31"/>
    <w:rsid w:val="4F3F8087"/>
    <w:rsid w:val="4F87E28B"/>
    <w:rsid w:val="4F94A647"/>
    <w:rsid w:val="4FB193B8"/>
    <w:rsid w:val="4FBE7D82"/>
    <w:rsid w:val="5009F452"/>
    <w:rsid w:val="50191A88"/>
    <w:rsid w:val="5021A8A1"/>
    <w:rsid w:val="50283955"/>
    <w:rsid w:val="5050E354"/>
    <w:rsid w:val="50525591"/>
    <w:rsid w:val="506801D3"/>
    <w:rsid w:val="507B8FAF"/>
    <w:rsid w:val="50CA058F"/>
    <w:rsid w:val="50F1B700"/>
    <w:rsid w:val="50F8E01D"/>
    <w:rsid w:val="50F93249"/>
    <w:rsid w:val="5117FCC7"/>
    <w:rsid w:val="511CE43C"/>
    <w:rsid w:val="516115B7"/>
    <w:rsid w:val="516898B4"/>
    <w:rsid w:val="5176C10B"/>
    <w:rsid w:val="51DEBFF1"/>
    <w:rsid w:val="52016B8E"/>
    <w:rsid w:val="520AEAD9"/>
    <w:rsid w:val="521985AA"/>
    <w:rsid w:val="5224F6AF"/>
    <w:rsid w:val="522D814A"/>
    <w:rsid w:val="523525D4"/>
    <w:rsid w:val="52429134"/>
    <w:rsid w:val="5252DBD3"/>
    <w:rsid w:val="529D6B2D"/>
    <w:rsid w:val="52B3CD28"/>
    <w:rsid w:val="52CFE01F"/>
    <w:rsid w:val="52F65B9F"/>
    <w:rsid w:val="5317F17B"/>
    <w:rsid w:val="53352B70"/>
    <w:rsid w:val="5336E602"/>
    <w:rsid w:val="53419514"/>
    <w:rsid w:val="534B1097"/>
    <w:rsid w:val="53791A6A"/>
    <w:rsid w:val="53870718"/>
    <w:rsid w:val="53AEBD2D"/>
    <w:rsid w:val="53C30F42"/>
    <w:rsid w:val="53D15DB4"/>
    <w:rsid w:val="54123C99"/>
    <w:rsid w:val="542AA8F5"/>
    <w:rsid w:val="5473EA17"/>
    <w:rsid w:val="54A34242"/>
    <w:rsid w:val="54B6CFD0"/>
    <w:rsid w:val="54C81A18"/>
    <w:rsid w:val="54CE1B04"/>
    <w:rsid w:val="5512347B"/>
    <w:rsid w:val="557C6F2A"/>
    <w:rsid w:val="55A340CF"/>
    <w:rsid w:val="55ABD42C"/>
    <w:rsid w:val="55B81CD4"/>
    <w:rsid w:val="56469B96"/>
    <w:rsid w:val="56722907"/>
    <w:rsid w:val="56967B40"/>
    <w:rsid w:val="56B49040"/>
    <w:rsid w:val="56C678BA"/>
    <w:rsid w:val="56D6738C"/>
    <w:rsid w:val="56D6A147"/>
    <w:rsid w:val="5700269F"/>
    <w:rsid w:val="571E88C6"/>
    <w:rsid w:val="5734570F"/>
    <w:rsid w:val="574831F6"/>
    <w:rsid w:val="57828D9D"/>
    <w:rsid w:val="578B077E"/>
    <w:rsid w:val="5794E272"/>
    <w:rsid w:val="57B4ADFF"/>
    <w:rsid w:val="57D02DC1"/>
    <w:rsid w:val="57EAB642"/>
    <w:rsid w:val="57F88B0E"/>
    <w:rsid w:val="5802DB17"/>
    <w:rsid w:val="580FD6AD"/>
    <w:rsid w:val="58237F82"/>
    <w:rsid w:val="5826A6CC"/>
    <w:rsid w:val="585C7126"/>
    <w:rsid w:val="586CFE55"/>
    <w:rsid w:val="5881DAF1"/>
    <w:rsid w:val="58E374EE"/>
    <w:rsid w:val="594A51F1"/>
    <w:rsid w:val="5952FF3F"/>
    <w:rsid w:val="596BF617"/>
    <w:rsid w:val="5983EF84"/>
    <w:rsid w:val="5998FC86"/>
    <w:rsid w:val="59CEFAE0"/>
    <w:rsid w:val="59D6160C"/>
    <w:rsid w:val="59D6AB8B"/>
    <w:rsid w:val="59D99A6B"/>
    <w:rsid w:val="59FA646D"/>
    <w:rsid w:val="5A32EAFA"/>
    <w:rsid w:val="5A832A94"/>
    <w:rsid w:val="5A8ADD01"/>
    <w:rsid w:val="5AA24AC3"/>
    <w:rsid w:val="5AAE1960"/>
    <w:rsid w:val="5AB5911D"/>
    <w:rsid w:val="5AD056B8"/>
    <w:rsid w:val="5B1114C4"/>
    <w:rsid w:val="5B54D0A6"/>
    <w:rsid w:val="5B5E29C3"/>
    <w:rsid w:val="5B8B22CC"/>
    <w:rsid w:val="5BDBDC85"/>
    <w:rsid w:val="5C27D719"/>
    <w:rsid w:val="5C3C8508"/>
    <w:rsid w:val="5C4D4E03"/>
    <w:rsid w:val="5C580746"/>
    <w:rsid w:val="5C67B2A8"/>
    <w:rsid w:val="5C7C0158"/>
    <w:rsid w:val="5C848526"/>
    <w:rsid w:val="5C84A98B"/>
    <w:rsid w:val="5CC18FAA"/>
    <w:rsid w:val="5CC7D239"/>
    <w:rsid w:val="5CD06285"/>
    <w:rsid w:val="5CDDC848"/>
    <w:rsid w:val="5CF09ADD"/>
    <w:rsid w:val="5D2742C3"/>
    <w:rsid w:val="5D4A0F64"/>
    <w:rsid w:val="5D4A76EF"/>
    <w:rsid w:val="5D50FEC3"/>
    <w:rsid w:val="5D743BEA"/>
    <w:rsid w:val="5D757B8F"/>
    <w:rsid w:val="5D8FDA4A"/>
    <w:rsid w:val="5DA5A7DF"/>
    <w:rsid w:val="5DD43268"/>
    <w:rsid w:val="5E281811"/>
    <w:rsid w:val="5E2D7845"/>
    <w:rsid w:val="5E59C880"/>
    <w:rsid w:val="5E7F1D7F"/>
    <w:rsid w:val="5EC3BA97"/>
    <w:rsid w:val="5EC7C52B"/>
    <w:rsid w:val="5EF98688"/>
    <w:rsid w:val="5EFD44A7"/>
    <w:rsid w:val="5F1F297B"/>
    <w:rsid w:val="5F2C2266"/>
    <w:rsid w:val="5F4B8841"/>
    <w:rsid w:val="5F5C09D1"/>
    <w:rsid w:val="5F5DCB32"/>
    <w:rsid w:val="5F60C944"/>
    <w:rsid w:val="5F61F1B4"/>
    <w:rsid w:val="5F620851"/>
    <w:rsid w:val="5F9B6BAB"/>
    <w:rsid w:val="5FDE3DE7"/>
    <w:rsid w:val="5FE485E7"/>
    <w:rsid w:val="5FEFDEDA"/>
    <w:rsid w:val="5FF6E462"/>
    <w:rsid w:val="60319AE6"/>
    <w:rsid w:val="605C9CDC"/>
    <w:rsid w:val="606DF8B0"/>
    <w:rsid w:val="6075FBA9"/>
    <w:rsid w:val="6076180C"/>
    <w:rsid w:val="607D838D"/>
    <w:rsid w:val="609A64FF"/>
    <w:rsid w:val="60E56064"/>
    <w:rsid w:val="6129F1B1"/>
    <w:rsid w:val="616B205B"/>
    <w:rsid w:val="61727F96"/>
    <w:rsid w:val="61785AA4"/>
    <w:rsid w:val="61794F60"/>
    <w:rsid w:val="61CC1622"/>
    <w:rsid w:val="6209C911"/>
    <w:rsid w:val="6214A877"/>
    <w:rsid w:val="62170889"/>
    <w:rsid w:val="623D9A9C"/>
    <w:rsid w:val="623FF5E2"/>
    <w:rsid w:val="624DC1AA"/>
    <w:rsid w:val="6253AAEE"/>
    <w:rsid w:val="6296AD57"/>
    <w:rsid w:val="62A2A678"/>
    <w:rsid w:val="62A4F6D2"/>
    <w:rsid w:val="62A4FC5E"/>
    <w:rsid w:val="62B513FD"/>
    <w:rsid w:val="62CD7B7B"/>
    <w:rsid w:val="62CE167A"/>
    <w:rsid w:val="62F4849D"/>
    <w:rsid w:val="62F66B5D"/>
    <w:rsid w:val="6301CF0B"/>
    <w:rsid w:val="634045F1"/>
    <w:rsid w:val="6354BE16"/>
    <w:rsid w:val="6375E562"/>
    <w:rsid w:val="63851C02"/>
    <w:rsid w:val="63D27A91"/>
    <w:rsid w:val="63F520B1"/>
    <w:rsid w:val="63F6A2C4"/>
    <w:rsid w:val="6409F906"/>
    <w:rsid w:val="64247328"/>
    <w:rsid w:val="642F6A18"/>
    <w:rsid w:val="643E3F27"/>
    <w:rsid w:val="6460D40C"/>
    <w:rsid w:val="64842687"/>
    <w:rsid w:val="64A61B71"/>
    <w:rsid w:val="64BF1262"/>
    <w:rsid w:val="64C13F35"/>
    <w:rsid w:val="64DF9FE4"/>
    <w:rsid w:val="6500E096"/>
    <w:rsid w:val="653661FA"/>
    <w:rsid w:val="65596803"/>
    <w:rsid w:val="6599DBD8"/>
    <w:rsid w:val="65AEE9F4"/>
    <w:rsid w:val="65F5DAF0"/>
    <w:rsid w:val="660EB02F"/>
    <w:rsid w:val="66393775"/>
    <w:rsid w:val="669157C1"/>
    <w:rsid w:val="66CC8EBC"/>
    <w:rsid w:val="670DC841"/>
    <w:rsid w:val="671E698B"/>
    <w:rsid w:val="67302E84"/>
    <w:rsid w:val="67490D5F"/>
    <w:rsid w:val="675B0A58"/>
    <w:rsid w:val="67C663E4"/>
    <w:rsid w:val="67CF0AF1"/>
    <w:rsid w:val="67D5D304"/>
    <w:rsid w:val="67EDDE52"/>
    <w:rsid w:val="68009EC9"/>
    <w:rsid w:val="68120AF4"/>
    <w:rsid w:val="68195DBE"/>
    <w:rsid w:val="683EE3BE"/>
    <w:rsid w:val="68596CE1"/>
    <w:rsid w:val="685C7514"/>
    <w:rsid w:val="685DE14C"/>
    <w:rsid w:val="6877FCAB"/>
    <w:rsid w:val="68A5EBB4"/>
    <w:rsid w:val="68B98500"/>
    <w:rsid w:val="68C5CBB5"/>
    <w:rsid w:val="68ED539E"/>
    <w:rsid w:val="691A59E2"/>
    <w:rsid w:val="693D5494"/>
    <w:rsid w:val="6979CE6D"/>
    <w:rsid w:val="69852D93"/>
    <w:rsid w:val="69B423DB"/>
    <w:rsid w:val="69B5B815"/>
    <w:rsid w:val="69F5812D"/>
    <w:rsid w:val="69FBB299"/>
    <w:rsid w:val="6A066D3E"/>
    <w:rsid w:val="6A0DE294"/>
    <w:rsid w:val="6A0E7FD3"/>
    <w:rsid w:val="6A1A8C8D"/>
    <w:rsid w:val="6A7B07D3"/>
    <w:rsid w:val="6A9820AC"/>
    <w:rsid w:val="6AA9CF11"/>
    <w:rsid w:val="6ABA097A"/>
    <w:rsid w:val="6AFCAE9E"/>
    <w:rsid w:val="6B35DF18"/>
    <w:rsid w:val="6B4DA8E0"/>
    <w:rsid w:val="6B4EE3D3"/>
    <w:rsid w:val="6B611BC4"/>
    <w:rsid w:val="6B80656C"/>
    <w:rsid w:val="6B90869A"/>
    <w:rsid w:val="6BA45770"/>
    <w:rsid w:val="6BCD4417"/>
    <w:rsid w:val="6BF41947"/>
    <w:rsid w:val="6C0BFB9B"/>
    <w:rsid w:val="6C0C8F52"/>
    <w:rsid w:val="6C0CD5DB"/>
    <w:rsid w:val="6C368955"/>
    <w:rsid w:val="6C8D70FD"/>
    <w:rsid w:val="6CC55DB3"/>
    <w:rsid w:val="6D1E30A2"/>
    <w:rsid w:val="6D22247E"/>
    <w:rsid w:val="6D31A3BD"/>
    <w:rsid w:val="6D4EB3DA"/>
    <w:rsid w:val="6D5E75D4"/>
    <w:rsid w:val="6D6206F5"/>
    <w:rsid w:val="6D704FB6"/>
    <w:rsid w:val="6D7137B6"/>
    <w:rsid w:val="6DAED8B7"/>
    <w:rsid w:val="6DAF3415"/>
    <w:rsid w:val="6DB91AD5"/>
    <w:rsid w:val="6DE6105D"/>
    <w:rsid w:val="6DE7AF05"/>
    <w:rsid w:val="6DEEB5DF"/>
    <w:rsid w:val="6E006BDF"/>
    <w:rsid w:val="6E39218D"/>
    <w:rsid w:val="6E3C4B5D"/>
    <w:rsid w:val="6E434D46"/>
    <w:rsid w:val="6E757BF0"/>
    <w:rsid w:val="6ED84120"/>
    <w:rsid w:val="6EF6F7E4"/>
    <w:rsid w:val="6EF74C26"/>
    <w:rsid w:val="6F2A9A36"/>
    <w:rsid w:val="6F5333BB"/>
    <w:rsid w:val="6F53BC71"/>
    <w:rsid w:val="6F636CD4"/>
    <w:rsid w:val="6F646691"/>
    <w:rsid w:val="6F86CF76"/>
    <w:rsid w:val="6F981C57"/>
    <w:rsid w:val="6FCDE7A1"/>
    <w:rsid w:val="6FE05213"/>
    <w:rsid w:val="6FF6277F"/>
    <w:rsid w:val="70298D6C"/>
    <w:rsid w:val="7049B0E0"/>
    <w:rsid w:val="704EB5E0"/>
    <w:rsid w:val="706ED3C9"/>
    <w:rsid w:val="708C3353"/>
    <w:rsid w:val="709C406B"/>
    <w:rsid w:val="70C57A2D"/>
    <w:rsid w:val="70EDCC2E"/>
    <w:rsid w:val="71021050"/>
    <w:rsid w:val="7113FFED"/>
    <w:rsid w:val="7120A826"/>
    <w:rsid w:val="71532831"/>
    <w:rsid w:val="716595F2"/>
    <w:rsid w:val="716971B5"/>
    <w:rsid w:val="7195F6DD"/>
    <w:rsid w:val="7196B1CE"/>
    <w:rsid w:val="71D1C5D4"/>
    <w:rsid w:val="71D2C316"/>
    <w:rsid w:val="71E36650"/>
    <w:rsid w:val="71F2E921"/>
    <w:rsid w:val="72249E32"/>
    <w:rsid w:val="7243B637"/>
    <w:rsid w:val="7244819D"/>
    <w:rsid w:val="725CCB0E"/>
    <w:rsid w:val="727529A6"/>
    <w:rsid w:val="72A78A97"/>
    <w:rsid w:val="72D50828"/>
    <w:rsid w:val="72EF94D2"/>
    <w:rsid w:val="73215361"/>
    <w:rsid w:val="73669E03"/>
    <w:rsid w:val="737B1594"/>
    <w:rsid w:val="73981346"/>
    <w:rsid w:val="73D14955"/>
    <w:rsid w:val="73D72AAC"/>
    <w:rsid w:val="73D76238"/>
    <w:rsid w:val="73E003A1"/>
    <w:rsid w:val="73E01A58"/>
    <w:rsid w:val="7400A13D"/>
    <w:rsid w:val="7405FF35"/>
    <w:rsid w:val="740EF9B1"/>
    <w:rsid w:val="741933F8"/>
    <w:rsid w:val="7445D6BF"/>
    <w:rsid w:val="74576551"/>
    <w:rsid w:val="74A2E1C1"/>
    <w:rsid w:val="74A5E2AF"/>
    <w:rsid w:val="74B5346D"/>
    <w:rsid w:val="74E71B54"/>
    <w:rsid w:val="751809F1"/>
    <w:rsid w:val="751F62D0"/>
    <w:rsid w:val="7542D092"/>
    <w:rsid w:val="7571EA2A"/>
    <w:rsid w:val="7593DE61"/>
    <w:rsid w:val="75958CCC"/>
    <w:rsid w:val="75A0E8DA"/>
    <w:rsid w:val="75ADD58E"/>
    <w:rsid w:val="760EF5C0"/>
    <w:rsid w:val="7645F28F"/>
    <w:rsid w:val="764E5AC4"/>
    <w:rsid w:val="765D6E4F"/>
    <w:rsid w:val="768479E8"/>
    <w:rsid w:val="76BFA053"/>
    <w:rsid w:val="76D39469"/>
    <w:rsid w:val="76E31E56"/>
    <w:rsid w:val="76F0D21D"/>
    <w:rsid w:val="7704C50C"/>
    <w:rsid w:val="77089F7C"/>
    <w:rsid w:val="772724AE"/>
    <w:rsid w:val="7731BCEC"/>
    <w:rsid w:val="773281A6"/>
    <w:rsid w:val="77401C58"/>
    <w:rsid w:val="775E9B13"/>
    <w:rsid w:val="77792045"/>
    <w:rsid w:val="778EA8A8"/>
    <w:rsid w:val="7792C7EF"/>
    <w:rsid w:val="77E2A2AB"/>
    <w:rsid w:val="7811B8FF"/>
    <w:rsid w:val="78149988"/>
    <w:rsid w:val="7816039A"/>
    <w:rsid w:val="781BACC4"/>
    <w:rsid w:val="781C6280"/>
    <w:rsid w:val="783719CE"/>
    <w:rsid w:val="783EC46C"/>
    <w:rsid w:val="784195BE"/>
    <w:rsid w:val="7850E43B"/>
    <w:rsid w:val="7871A9AC"/>
    <w:rsid w:val="78F2CA0B"/>
    <w:rsid w:val="78F4C950"/>
    <w:rsid w:val="792F0227"/>
    <w:rsid w:val="79531EA2"/>
    <w:rsid w:val="7990DEE0"/>
    <w:rsid w:val="799C0A2A"/>
    <w:rsid w:val="79B69310"/>
    <w:rsid w:val="79CD8DB9"/>
    <w:rsid w:val="79D9B96F"/>
    <w:rsid w:val="79E6EE08"/>
    <w:rsid w:val="7A0877B7"/>
    <w:rsid w:val="7A10F0B2"/>
    <w:rsid w:val="7A5D85B0"/>
    <w:rsid w:val="7A72C2CE"/>
    <w:rsid w:val="7ABF838A"/>
    <w:rsid w:val="7AF72B9E"/>
    <w:rsid w:val="7B097825"/>
    <w:rsid w:val="7B703970"/>
    <w:rsid w:val="7B7F5B0A"/>
    <w:rsid w:val="7B80727E"/>
    <w:rsid w:val="7B972586"/>
    <w:rsid w:val="7BB03D07"/>
    <w:rsid w:val="7BE8378E"/>
    <w:rsid w:val="7BFB75B9"/>
    <w:rsid w:val="7C039416"/>
    <w:rsid w:val="7C50297E"/>
    <w:rsid w:val="7C736068"/>
    <w:rsid w:val="7C9B8BD8"/>
    <w:rsid w:val="7CAEA6F2"/>
    <w:rsid w:val="7CB6DDFA"/>
    <w:rsid w:val="7CFDDEFE"/>
    <w:rsid w:val="7D096A9B"/>
    <w:rsid w:val="7D2BC2D5"/>
    <w:rsid w:val="7D360136"/>
    <w:rsid w:val="7D3700DD"/>
    <w:rsid w:val="7D74DB28"/>
    <w:rsid w:val="7E063375"/>
    <w:rsid w:val="7E0A4E37"/>
    <w:rsid w:val="7E0CAA89"/>
    <w:rsid w:val="7E1A6ED4"/>
    <w:rsid w:val="7E2B925C"/>
    <w:rsid w:val="7E3DAC02"/>
    <w:rsid w:val="7E419DDF"/>
    <w:rsid w:val="7E79FCAF"/>
    <w:rsid w:val="7EA741FE"/>
    <w:rsid w:val="7EC807B2"/>
    <w:rsid w:val="7EEDD95A"/>
    <w:rsid w:val="7F48A744"/>
    <w:rsid w:val="7F4E9B91"/>
    <w:rsid w:val="7F60FAB8"/>
    <w:rsid w:val="7F886859"/>
    <w:rsid w:val="7FB6256B"/>
    <w:rsid w:val="7FC817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A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E9"/>
    <w:pPr>
      <w:spacing w:after="120" w:line="240" w:lineRule="auto"/>
      <w:jc w:val="both"/>
    </w:pPr>
    <w:rPr>
      <w:rFonts w:cs="Arial"/>
      <w:sz w:val="24"/>
    </w:rPr>
  </w:style>
  <w:style w:type="paragraph" w:styleId="Heading1">
    <w:name w:val="heading 1"/>
    <w:aliases w:val="Heading - Recommendations"/>
    <w:next w:val="Normal"/>
    <w:link w:val="Heading1Char"/>
    <w:uiPriority w:val="9"/>
    <w:qFormat/>
    <w:rsid w:val="00761674"/>
    <w:pPr>
      <w:numPr>
        <w:numId w:val="12"/>
      </w:numPr>
      <w:spacing w:after="120" w:line="240" w:lineRule="auto"/>
      <w:jc w:val="both"/>
      <w:outlineLvl w:val="0"/>
    </w:pPr>
    <w:rPr>
      <w:rFonts w:cs="Arial"/>
      <w:b/>
      <w:sz w:val="28"/>
      <w:szCs w:val="26"/>
    </w:rPr>
  </w:style>
  <w:style w:type="paragraph" w:styleId="Heading2">
    <w:name w:val="heading 2"/>
    <w:aliases w:val="Headings"/>
    <w:basedOn w:val="NoSpacing"/>
    <w:next w:val="Normal"/>
    <w:link w:val="Heading2Char"/>
    <w:uiPriority w:val="9"/>
    <w:unhideWhenUsed/>
    <w:qFormat/>
    <w:rsid w:val="0036419D"/>
    <w:pPr>
      <w:numPr>
        <w:ilvl w:val="1"/>
        <w:numId w:val="12"/>
      </w:numPr>
      <w:jc w:val="both"/>
      <w:outlineLvl w:val="1"/>
    </w:pPr>
  </w:style>
  <w:style w:type="paragraph" w:styleId="Heading3">
    <w:name w:val="heading 3"/>
    <w:basedOn w:val="Normal"/>
    <w:next w:val="Normal"/>
    <w:link w:val="Heading3Char"/>
    <w:uiPriority w:val="9"/>
    <w:unhideWhenUsed/>
    <w:rsid w:val="006652E9"/>
    <w:pPr>
      <w:keepNext/>
      <w:keepLines/>
      <w:numPr>
        <w:ilvl w:val="2"/>
        <w:numId w:val="12"/>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7592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592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592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592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592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592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D655E7"/>
    <w:pPr>
      <w:numPr>
        <w:numId w:val="4"/>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3"/>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36419D"/>
    <w:rPr>
      <w:rFonts w:cs="Arial"/>
      <w:b/>
      <w:sz w:val="28"/>
    </w:rPr>
  </w:style>
  <w:style w:type="character" w:customStyle="1" w:styleId="Heading1Char">
    <w:name w:val="Heading 1 Char"/>
    <w:aliases w:val="Heading - Recommendations Char"/>
    <w:basedOn w:val="DefaultParagraphFont"/>
    <w:link w:val="Heading1"/>
    <w:uiPriority w:val="9"/>
    <w:rsid w:val="00761674"/>
    <w:rPr>
      <w:rFonts w:cs="Arial"/>
      <w:b/>
      <w:sz w:val="28"/>
      <w:szCs w:val="26"/>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rsid w:val="006652E9"/>
    <w:rPr>
      <w:rFonts w:eastAsiaTheme="majorEastAsia" w:cstheme="majorBidi"/>
      <w:b/>
      <w:bCs/>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5D3ECE"/>
    <w:rPr>
      <w:sz w:val="16"/>
      <w:szCs w:val="16"/>
    </w:rPr>
  </w:style>
  <w:style w:type="paragraph" w:styleId="CommentText">
    <w:name w:val="annotation text"/>
    <w:basedOn w:val="Normal"/>
    <w:link w:val="CommentTextChar"/>
    <w:uiPriority w:val="99"/>
    <w:unhideWhenUsed/>
    <w:rsid w:val="005D3ECE"/>
    <w:rPr>
      <w:sz w:val="20"/>
      <w:szCs w:val="20"/>
    </w:rPr>
  </w:style>
  <w:style w:type="character" w:customStyle="1" w:styleId="CommentTextChar">
    <w:name w:val="Comment Text Char"/>
    <w:basedOn w:val="DefaultParagraphFont"/>
    <w:link w:val="CommentText"/>
    <w:uiPriority w:val="99"/>
    <w:rsid w:val="005D3ECE"/>
    <w:rPr>
      <w:rFonts w:cs="Arial"/>
      <w:sz w:val="20"/>
      <w:szCs w:val="20"/>
    </w:rPr>
  </w:style>
  <w:style w:type="paragraph" w:styleId="CommentSubject">
    <w:name w:val="annotation subject"/>
    <w:basedOn w:val="CommentText"/>
    <w:next w:val="CommentText"/>
    <w:link w:val="CommentSubjectChar"/>
    <w:uiPriority w:val="99"/>
    <w:semiHidden/>
    <w:unhideWhenUsed/>
    <w:rsid w:val="005D3ECE"/>
    <w:rPr>
      <w:b/>
      <w:bCs/>
    </w:rPr>
  </w:style>
  <w:style w:type="character" w:customStyle="1" w:styleId="CommentSubjectChar">
    <w:name w:val="Comment Subject Char"/>
    <w:basedOn w:val="CommentTextChar"/>
    <w:link w:val="CommentSubject"/>
    <w:uiPriority w:val="99"/>
    <w:semiHidden/>
    <w:rsid w:val="005D3ECE"/>
    <w:rPr>
      <w:rFonts w:cs="Arial"/>
      <w:b/>
      <w:bCs/>
      <w:sz w:val="20"/>
      <w:szCs w:val="20"/>
    </w:rPr>
  </w:style>
  <w:style w:type="paragraph" w:styleId="Revision">
    <w:name w:val="Revision"/>
    <w:hidden/>
    <w:uiPriority w:val="99"/>
    <w:semiHidden/>
    <w:rsid w:val="00D248D1"/>
    <w:pPr>
      <w:spacing w:after="0" w:line="240" w:lineRule="auto"/>
    </w:pPr>
    <w:rPr>
      <w:rFonts w:cs="Arial"/>
      <w:sz w:val="24"/>
    </w:rPr>
  </w:style>
  <w:style w:type="character" w:styleId="Hyperlink">
    <w:name w:val="Hyperlink"/>
    <w:basedOn w:val="DefaultParagraphFont"/>
    <w:uiPriority w:val="99"/>
    <w:unhideWhenUsed/>
    <w:rsid w:val="006315CD"/>
    <w:rPr>
      <w:color w:val="0000FF" w:themeColor="hyperlink"/>
      <w:u w:val="single"/>
    </w:rPr>
  </w:style>
  <w:style w:type="paragraph" w:styleId="FootnoteText">
    <w:name w:val="footnote text"/>
    <w:basedOn w:val="Normal"/>
    <w:link w:val="FootnoteTextChar"/>
    <w:uiPriority w:val="99"/>
    <w:unhideWhenUsed/>
    <w:rsid w:val="00352EAB"/>
    <w:pPr>
      <w:spacing w:after="0"/>
    </w:pPr>
    <w:rPr>
      <w:sz w:val="20"/>
      <w:szCs w:val="20"/>
    </w:rPr>
  </w:style>
  <w:style w:type="character" w:customStyle="1" w:styleId="FootnoteTextChar">
    <w:name w:val="Footnote Text Char"/>
    <w:basedOn w:val="DefaultParagraphFont"/>
    <w:link w:val="FootnoteText"/>
    <w:uiPriority w:val="99"/>
    <w:rsid w:val="00352EAB"/>
    <w:rPr>
      <w:rFonts w:cs="Arial"/>
      <w:sz w:val="20"/>
      <w:szCs w:val="20"/>
    </w:rPr>
  </w:style>
  <w:style w:type="character" w:styleId="FootnoteReference">
    <w:name w:val="footnote reference"/>
    <w:basedOn w:val="DefaultParagraphFont"/>
    <w:uiPriority w:val="99"/>
    <w:semiHidden/>
    <w:unhideWhenUsed/>
    <w:rsid w:val="00352EAB"/>
    <w:rPr>
      <w:vertAlign w:val="superscript"/>
    </w:rPr>
  </w:style>
  <w:style w:type="character" w:styleId="FollowedHyperlink">
    <w:name w:val="FollowedHyperlink"/>
    <w:basedOn w:val="DefaultParagraphFont"/>
    <w:uiPriority w:val="99"/>
    <w:semiHidden/>
    <w:unhideWhenUsed/>
    <w:rsid w:val="009E71E8"/>
    <w:rPr>
      <w:color w:val="800080" w:themeColor="followedHyperlink"/>
      <w:u w:val="single"/>
    </w:rPr>
  </w:style>
  <w:style w:type="paragraph" w:styleId="EndnoteText">
    <w:name w:val="endnote text"/>
    <w:basedOn w:val="Normal"/>
    <w:link w:val="EndnoteTextChar"/>
    <w:uiPriority w:val="99"/>
    <w:semiHidden/>
    <w:unhideWhenUsed/>
    <w:rsid w:val="00393576"/>
    <w:pPr>
      <w:spacing w:after="0"/>
    </w:pPr>
    <w:rPr>
      <w:sz w:val="20"/>
      <w:szCs w:val="20"/>
    </w:rPr>
  </w:style>
  <w:style w:type="character" w:customStyle="1" w:styleId="EndnoteTextChar">
    <w:name w:val="Endnote Text Char"/>
    <w:basedOn w:val="DefaultParagraphFont"/>
    <w:link w:val="EndnoteText"/>
    <w:uiPriority w:val="99"/>
    <w:semiHidden/>
    <w:rsid w:val="00393576"/>
    <w:rPr>
      <w:rFonts w:cs="Arial"/>
      <w:sz w:val="20"/>
      <w:szCs w:val="20"/>
    </w:rPr>
  </w:style>
  <w:style w:type="character" w:styleId="EndnoteReference">
    <w:name w:val="endnote reference"/>
    <w:basedOn w:val="DefaultParagraphFont"/>
    <w:uiPriority w:val="99"/>
    <w:semiHidden/>
    <w:unhideWhenUsed/>
    <w:rsid w:val="00393576"/>
    <w:rPr>
      <w:vertAlign w:val="superscript"/>
    </w:rPr>
  </w:style>
  <w:style w:type="table" w:styleId="GridTable4">
    <w:name w:val="Grid Table 4"/>
    <w:basedOn w:val="TableNormal"/>
    <w:uiPriority w:val="49"/>
    <w:rsid w:val="00C376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ED4B95"/>
    <w:pPr>
      <w:spacing w:after="0"/>
      <w:contextualSpacing/>
      <w:jc w:val="left"/>
    </w:pPr>
    <w:rPr>
      <w:rFonts w:ascii="Arial" w:eastAsiaTheme="majorEastAsia" w:hAnsi="Arial" w:cstheme="majorBidi"/>
      <w:b/>
      <w:color w:val="13396E"/>
      <w:kern w:val="28"/>
      <w:sz w:val="40"/>
      <w:szCs w:val="52"/>
    </w:rPr>
  </w:style>
  <w:style w:type="character" w:customStyle="1" w:styleId="TitleChar">
    <w:name w:val="Title Char"/>
    <w:basedOn w:val="DefaultParagraphFont"/>
    <w:link w:val="Title"/>
    <w:uiPriority w:val="10"/>
    <w:rsid w:val="00ED4B95"/>
    <w:rPr>
      <w:rFonts w:ascii="Arial" w:eastAsiaTheme="majorEastAsia" w:hAnsi="Arial" w:cstheme="majorBidi"/>
      <w:b/>
      <w:color w:val="13396E"/>
      <w:kern w:val="28"/>
      <w:sz w:val="40"/>
      <w:szCs w:val="52"/>
    </w:rPr>
  </w:style>
  <w:style w:type="numbering" w:customStyle="1" w:styleId="PriorityGroup">
    <w:name w:val="Priority Group"/>
    <w:uiPriority w:val="99"/>
    <w:rsid w:val="009B591D"/>
    <w:pPr>
      <w:numPr>
        <w:numId w:val="7"/>
      </w:numPr>
    </w:pPr>
  </w:style>
  <w:style w:type="character" w:customStyle="1" w:styleId="UnresolvedMention1">
    <w:name w:val="Unresolved Mention1"/>
    <w:basedOn w:val="DefaultParagraphFont"/>
    <w:uiPriority w:val="99"/>
    <w:semiHidden/>
    <w:unhideWhenUsed/>
    <w:rsid w:val="00841AB5"/>
    <w:rPr>
      <w:color w:val="605E5C"/>
      <w:shd w:val="clear" w:color="auto" w:fill="E1DFDD"/>
    </w:rPr>
  </w:style>
  <w:style w:type="table" w:styleId="GridTable6Colorful">
    <w:name w:val="Grid Table 6 Colorful"/>
    <w:basedOn w:val="TableNormal"/>
    <w:uiPriority w:val="51"/>
    <w:rsid w:val="00F929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29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929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F929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C7592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C7592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C7592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C7592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C759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5920"/>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5C48DC"/>
    <w:rPr>
      <w:rFonts w:cs="Arial"/>
      <w:sz w:val="24"/>
    </w:rPr>
  </w:style>
  <w:style w:type="paragraph" w:styleId="TOCHeading">
    <w:name w:val="TOC Heading"/>
    <w:basedOn w:val="Heading1"/>
    <w:next w:val="Normal"/>
    <w:uiPriority w:val="39"/>
    <w:unhideWhenUsed/>
    <w:qFormat/>
    <w:rsid w:val="00500A5B"/>
    <w:pPr>
      <w:keepNext/>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AD2898"/>
    <w:pPr>
      <w:tabs>
        <w:tab w:val="right" w:leader="dot" w:pos="9016"/>
      </w:tabs>
      <w:spacing w:after="100"/>
      <w:jc w:val="left"/>
    </w:pPr>
  </w:style>
  <w:style w:type="paragraph" w:styleId="TOC2">
    <w:name w:val="toc 2"/>
    <w:basedOn w:val="Normal"/>
    <w:next w:val="Normal"/>
    <w:autoRedefine/>
    <w:uiPriority w:val="39"/>
    <w:unhideWhenUsed/>
    <w:rsid w:val="00500A5B"/>
    <w:pPr>
      <w:spacing w:after="100"/>
      <w:ind w:left="240"/>
    </w:pPr>
  </w:style>
  <w:style w:type="table" w:customStyle="1" w:styleId="TableGrid1">
    <w:name w:val="Table Grid1"/>
    <w:basedOn w:val="TableNormal"/>
    <w:next w:val="TableGrid"/>
    <w:uiPriority w:val="39"/>
    <w:rsid w:val="005244D4"/>
    <w:rPr>
      <w:rFonts w:eastAsia="Yu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12B30"/>
    <w:pPr>
      <w:spacing w:after="100"/>
      <w:ind w:left="480"/>
    </w:pPr>
  </w:style>
  <w:style w:type="table" w:customStyle="1" w:styleId="TableGrid2">
    <w:name w:val="Table Grid2"/>
    <w:basedOn w:val="TableNormal"/>
    <w:next w:val="TableGrid"/>
    <w:uiPriority w:val="39"/>
    <w:rsid w:val="006C613D"/>
    <w:rPr>
      <w:rFonts w:eastAsia="Yu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B3A95"/>
    <w:rPr>
      <w:rFonts w:eastAsia="Yu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3A95"/>
    <w:pPr>
      <w:spacing w:before="100" w:beforeAutospacing="1" w:after="100" w:afterAutospacing="1"/>
      <w:jc w:val="left"/>
    </w:pPr>
    <w:rPr>
      <w:rFonts w:ascii="Times New Roman" w:eastAsiaTheme="minorEastAsia" w:hAnsi="Times New Roman" w:cs="Times New Roman"/>
      <w:szCs w:val="24"/>
      <w:lang w:eastAsia="en-AU"/>
    </w:rPr>
  </w:style>
  <w:style w:type="character" w:customStyle="1" w:styleId="UnresolvedMention2">
    <w:name w:val="Unresolved Mention2"/>
    <w:basedOn w:val="DefaultParagraphFont"/>
    <w:uiPriority w:val="99"/>
    <w:semiHidden/>
    <w:unhideWhenUsed/>
    <w:rsid w:val="00704DF6"/>
    <w:rPr>
      <w:color w:val="605E5C"/>
      <w:shd w:val="clear" w:color="auto" w:fill="E1DFDD"/>
    </w:rPr>
  </w:style>
  <w:style w:type="character" w:styleId="UnresolvedMention">
    <w:name w:val="Unresolved Mention"/>
    <w:basedOn w:val="DefaultParagraphFont"/>
    <w:uiPriority w:val="99"/>
    <w:semiHidden/>
    <w:unhideWhenUsed/>
    <w:rsid w:val="001A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872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64">
          <w:marLeft w:val="0"/>
          <w:marRight w:val="0"/>
          <w:marTop w:val="0"/>
          <w:marBottom w:val="0"/>
          <w:divBdr>
            <w:top w:val="none" w:sz="0" w:space="0" w:color="auto"/>
            <w:left w:val="none" w:sz="0" w:space="0" w:color="auto"/>
            <w:bottom w:val="none" w:sz="0" w:space="0" w:color="auto"/>
            <w:right w:val="none" w:sz="0" w:space="0" w:color="auto"/>
          </w:divBdr>
        </w:div>
        <w:div w:id="2063483922">
          <w:marLeft w:val="0"/>
          <w:marRight w:val="0"/>
          <w:marTop w:val="0"/>
          <w:marBottom w:val="0"/>
          <w:divBdr>
            <w:top w:val="none" w:sz="0" w:space="0" w:color="auto"/>
            <w:left w:val="none" w:sz="0" w:space="0" w:color="auto"/>
            <w:bottom w:val="none" w:sz="0" w:space="0" w:color="auto"/>
            <w:right w:val="none" w:sz="0" w:space="0" w:color="auto"/>
          </w:divBdr>
        </w:div>
        <w:div w:id="2132046108">
          <w:marLeft w:val="0"/>
          <w:marRight w:val="0"/>
          <w:marTop w:val="0"/>
          <w:marBottom w:val="0"/>
          <w:divBdr>
            <w:top w:val="none" w:sz="0" w:space="0" w:color="auto"/>
            <w:left w:val="none" w:sz="0" w:space="0" w:color="auto"/>
            <w:bottom w:val="none" w:sz="0" w:space="0" w:color="auto"/>
            <w:right w:val="none" w:sz="0" w:space="0" w:color="auto"/>
          </w:divBdr>
        </w:div>
      </w:divsChild>
    </w:div>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69416785">
      <w:bodyDiv w:val="1"/>
      <w:marLeft w:val="0"/>
      <w:marRight w:val="0"/>
      <w:marTop w:val="0"/>
      <w:marBottom w:val="0"/>
      <w:divBdr>
        <w:top w:val="none" w:sz="0" w:space="0" w:color="auto"/>
        <w:left w:val="none" w:sz="0" w:space="0" w:color="auto"/>
        <w:bottom w:val="none" w:sz="0" w:space="0" w:color="auto"/>
        <w:right w:val="none" w:sz="0" w:space="0" w:color="auto"/>
      </w:divBdr>
    </w:div>
    <w:div w:id="278026429">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442268095">
      <w:bodyDiv w:val="1"/>
      <w:marLeft w:val="0"/>
      <w:marRight w:val="0"/>
      <w:marTop w:val="0"/>
      <w:marBottom w:val="0"/>
      <w:divBdr>
        <w:top w:val="none" w:sz="0" w:space="0" w:color="auto"/>
        <w:left w:val="none" w:sz="0" w:space="0" w:color="auto"/>
        <w:bottom w:val="none" w:sz="0" w:space="0" w:color="auto"/>
        <w:right w:val="none" w:sz="0" w:space="0" w:color="auto"/>
      </w:divBdr>
    </w:div>
    <w:div w:id="495344894">
      <w:bodyDiv w:val="1"/>
      <w:marLeft w:val="0"/>
      <w:marRight w:val="0"/>
      <w:marTop w:val="0"/>
      <w:marBottom w:val="0"/>
      <w:divBdr>
        <w:top w:val="none" w:sz="0" w:space="0" w:color="auto"/>
        <w:left w:val="none" w:sz="0" w:space="0" w:color="auto"/>
        <w:bottom w:val="none" w:sz="0" w:space="0" w:color="auto"/>
        <w:right w:val="none" w:sz="0" w:space="0" w:color="auto"/>
      </w:divBdr>
    </w:div>
    <w:div w:id="584340347">
      <w:bodyDiv w:val="1"/>
      <w:marLeft w:val="0"/>
      <w:marRight w:val="0"/>
      <w:marTop w:val="0"/>
      <w:marBottom w:val="0"/>
      <w:divBdr>
        <w:top w:val="none" w:sz="0" w:space="0" w:color="auto"/>
        <w:left w:val="none" w:sz="0" w:space="0" w:color="auto"/>
        <w:bottom w:val="none" w:sz="0" w:space="0" w:color="auto"/>
        <w:right w:val="none" w:sz="0" w:space="0" w:color="auto"/>
      </w:divBdr>
    </w:div>
    <w:div w:id="680085474">
      <w:bodyDiv w:val="1"/>
      <w:marLeft w:val="0"/>
      <w:marRight w:val="0"/>
      <w:marTop w:val="0"/>
      <w:marBottom w:val="0"/>
      <w:divBdr>
        <w:top w:val="none" w:sz="0" w:space="0" w:color="auto"/>
        <w:left w:val="none" w:sz="0" w:space="0" w:color="auto"/>
        <w:bottom w:val="none" w:sz="0" w:space="0" w:color="auto"/>
        <w:right w:val="none" w:sz="0" w:space="0" w:color="auto"/>
      </w:divBdr>
    </w:div>
    <w:div w:id="684287964">
      <w:bodyDiv w:val="1"/>
      <w:marLeft w:val="0"/>
      <w:marRight w:val="0"/>
      <w:marTop w:val="0"/>
      <w:marBottom w:val="0"/>
      <w:divBdr>
        <w:top w:val="none" w:sz="0" w:space="0" w:color="auto"/>
        <w:left w:val="none" w:sz="0" w:space="0" w:color="auto"/>
        <w:bottom w:val="none" w:sz="0" w:space="0" w:color="auto"/>
        <w:right w:val="none" w:sz="0" w:space="0" w:color="auto"/>
      </w:divBdr>
    </w:div>
    <w:div w:id="703750304">
      <w:bodyDiv w:val="1"/>
      <w:marLeft w:val="0"/>
      <w:marRight w:val="0"/>
      <w:marTop w:val="0"/>
      <w:marBottom w:val="0"/>
      <w:divBdr>
        <w:top w:val="none" w:sz="0" w:space="0" w:color="auto"/>
        <w:left w:val="none" w:sz="0" w:space="0" w:color="auto"/>
        <w:bottom w:val="none" w:sz="0" w:space="0" w:color="auto"/>
        <w:right w:val="none" w:sz="0" w:space="0" w:color="auto"/>
      </w:divBdr>
    </w:div>
    <w:div w:id="758867706">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943613096">
      <w:bodyDiv w:val="1"/>
      <w:marLeft w:val="0"/>
      <w:marRight w:val="0"/>
      <w:marTop w:val="0"/>
      <w:marBottom w:val="0"/>
      <w:divBdr>
        <w:top w:val="none" w:sz="0" w:space="0" w:color="auto"/>
        <w:left w:val="none" w:sz="0" w:space="0" w:color="auto"/>
        <w:bottom w:val="none" w:sz="0" w:space="0" w:color="auto"/>
        <w:right w:val="none" w:sz="0" w:space="0" w:color="auto"/>
      </w:divBdr>
    </w:div>
    <w:div w:id="988248755">
      <w:bodyDiv w:val="1"/>
      <w:marLeft w:val="0"/>
      <w:marRight w:val="0"/>
      <w:marTop w:val="0"/>
      <w:marBottom w:val="0"/>
      <w:divBdr>
        <w:top w:val="none" w:sz="0" w:space="0" w:color="auto"/>
        <w:left w:val="none" w:sz="0" w:space="0" w:color="auto"/>
        <w:bottom w:val="none" w:sz="0" w:space="0" w:color="auto"/>
        <w:right w:val="none" w:sz="0" w:space="0" w:color="auto"/>
      </w:divBdr>
    </w:div>
    <w:div w:id="1040940647">
      <w:bodyDiv w:val="1"/>
      <w:marLeft w:val="0"/>
      <w:marRight w:val="0"/>
      <w:marTop w:val="0"/>
      <w:marBottom w:val="0"/>
      <w:divBdr>
        <w:top w:val="none" w:sz="0" w:space="0" w:color="auto"/>
        <w:left w:val="none" w:sz="0" w:space="0" w:color="auto"/>
        <w:bottom w:val="none" w:sz="0" w:space="0" w:color="auto"/>
        <w:right w:val="none" w:sz="0" w:space="0" w:color="auto"/>
      </w:divBdr>
    </w:div>
    <w:div w:id="1057701402">
      <w:bodyDiv w:val="1"/>
      <w:marLeft w:val="0"/>
      <w:marRight w:val="0"/>
      <w:marTop w:val="0"/>
      <w:marBottom w:val="0"/>
      <w:divBdr>
        <w:top w:val="none" w:sz="0" w:space="0" w:color="auto"/>
        <w:left w:val="none" w:sz="0" w:space="0" w:color="auto"/>
        <w:bottom w:val="none" w:sz="0" w:space="0" w:color="auto"/>
        <w:right w:val="none" w:sz="0" w:space="0" w:color="auto"/>
      </w:divBdr>
      <w:divsChild>
        <w:div w:id="710956213">
          <w:marLeft w:val="0"/>
          <w:marRight w:val="0"/>
          <w:marTop w:val="0"/>
          <w:marBottom w:val="0"/>
          <w:divBdr>
            <w:top w:val="none" w:sz="0" w:space="0" w:color="auto"/>
            <w:left w:val="none" w:sz="0" w:space="0" w:color="auto"/>
            <w:bottom w:val="none" w:sz="0" w:space="0" w:color="auto"/>
            <w:right w:val="none" w:sz="0" w:space="0" w:color="auto"/>
          </w:divBdr>
        </w:div>
        <w:div w:id="956760356">
          <w:marLeft w:val="0"/>
          <w:marRight w:val="0"/>
          <w:marTop w:val="0"/>
          <w:marBottom w:val="0"/>
          <w:divBdr>
            <w:top w:val="none" w:sz="0" w:space="0" w:color="auto"/>
            <w:left w:val="none" w:sz="0" w:space="0" w:color="auto"/>
            <w:bottom w:val="none" w:sz="0" w:space="0" w:color="auto"/>
            <w:right w:val="none" w:sz="0" w:space="0" w:color="auto"/>
          </w:divBdr>
        </w:div>
        <w:div w:id="1514611741">
          <w:marLeft w:val="0"/>
          <w:marRight w:val="0"/>
          <w:marTop w:val="0"/>
          <w:marBottom w:val="0"/>
          <w:divBdr>
            <w:top w:val="none" w:sz="0" w:space="0" w:color="auto"/>
            <w:left w:val="none" w:sz="0" w:space="0" w:color="auto"/>
            <w:bottom w:val="none" w:sz="0" w:space="0" w:color="auto"/>
            <w:right w:val="none" w:sz="0" w:space="0" w:color="auto"/>
          </w:divBdr>
        </w:div>
        <w:div w:id="1881165680">
          <w:marLeft w:val="0"/>
          <w:marRight w:val="0"/>
          <w:marTop w:val="0"/>
          <w:marBottom w:val="0"/>
          <w:divBdr>
            <w:top w:val="none" w:sz="0" w:space="0" w:color="auto"/>
            <w:left w:val="none" w:sz="0" w:space="0" w:color="auto"/>
            <w:bottom w:val="none" w:sz="0" w:space="0" w:color="auto"/>
            <w:right w:val="none" w:sz="0" w:space="0" w:color="auto"/>
          </w:divBdr>
        </w:div>
        <w:div w:id="2087681856">
          <w:marLeft w:val="0"/>
          <w:marRight w:val="0"/>
          <w:marTop w:val="0"/>
          <w:marBottom w:val="0"/>
          <w:divBdr>
            <w:top w:val="none" w:sz="0" w:space="0" w:color="auto"/>
            <w:left w:val="none" w:sz="0" w:space="0" w:color="auto"/>
            <w:bottom w:val="none" w:sz="0" w:space="0" w:color="auto"/>
            <w:right w:val="none" w:sz="0" w:space="0" w:color="auto"/>
          </w:divBdr>
        </w:div>
      </w:divsChild>
    </w:div>
    <w:div w:id="1059479379">
      <w:bodyDiv w:val="1"/>
      <w:marLeft w:val="0"/>
      <w:marRight w:val="0"/>
      <w:marTop w:val="0"/>
      <w:marBottom w:val="0"/>
      <w:divBdr>
        <w:top w:val="none" w:sz="0" w:space="0" w:color="auto"/>
        <w:left w:val="none" w:sz="0" w:space="0" w:color="auto"/>
        <w:bottom w:val="none" w:sz="0" w:space="0" w:color="auto"/>
        <w:right w:val="none" w:sz="0" w:space="0" w:color="auto"/>
      </w:divBdr>
    </w:div>
    <w:div w:id="1093211113">
      <w:bodyDiv w:val="1"/>
      <w:marLeft w:val="0"/>
      <w:marRight w:val="0"/>
      <w:marTop w:val="0"/>
      <w:marBottom w:val="0"/>
      <w:divBdr>
        <w:top w:val="none" w:sz="0" w:space="0" w:color="auto"/>
        <w:left w:val="none" w:sz="0" w:space="0" w:color="auto"/>
        <w:bottom w:val="none" w:sz="0" w:space="0" w:color="auto"/>
        <w:right w:val="none" w:sz="0" w:space="0" w:color="auto"/>
      </w:divBdr>
    </w:div>
    <w:div w:id="1142892397">
      <w:bodyDiv w:val="1"/>
      <w:marLeft w:val="0"/>
      <w:marRight w:val="0"/>
      <w:marTop w:val="0"/>
      <w:marBottom w:val="0"/>
      <w:divBdr>
        <w:top w:val="none" w:sz="0" w:space="0" w:color="auto"/>
        <w:left w:val="none" w:sz="0" w:space="0" w:color="auto"/>
        <w:bottom w:val="none" w:sz="0" w:space="0" w:color="auto"/>
        <w:right w:val="none" w:sz="0" w:space="0" w:color="auto"/>
      </w:divBdr>
    </w:div>
    <w:div w:id="1366254559">
      <w:bodyDiv w:val="1"/>
      <w:marLeft w:val="0"/>
      <w:marRight w:val="0"/>
      <w:marTop w:val="0"/>
      <w:marBottom w:val="0"/>
      <w:divBdr>
        <w:top w:val="none" w:sz="0" w:space="0" w:color="auto"/>
        <w:left w:val="none" w:sz="0" w:space="0" w:color="auto"/>
        <w:bottom w:val="none" w:sz="0" w:space="0" w:color="auto"/>
        <w:right w:val="none" w:sz="0" w:space="0" w:color="auto"/>
      </w:divBdr>
    </w:div>
    <w:div w:id="1488789871">
      <w:bodyDiv w:val="1"/>
      <w:marLeft w:val="0"/>
      <w:marRight w:val="0"/>
      <w:marTop w:val="0"/>
      <w:marBottom w:val="0"/>
      <w:divBdr>
        <w:top w:val="none" w:sz="0" w:space="0" w:color="auto"/>
        <w:left w:val="none" w:sz="0" w:space="0" w:color="auto"/>
        <w:bottom w:val="none" w:sz="0" w:space="0" w:color="auto"/>
        <w:right w:val="none" w:sz="0" w:space="0" w:color="auto"/>
      </w:divBdr>
    </w:div>
    <w:div w:id="1494760946">
      <w:bodyDiv w:val="1"/>
      <w:marLeft w:val="0"/>
      <w:marRight w:val="0"/>
      <w:marTop w:val="0"/>
      <w:marBottom w:val="0"/>
      <w:divBdr>
        <w:top w:val="none" w:sz="0" w:space="0" w:color="auto"/>
        <w:left w:val="none" w:sz="0" w:space="0" w:color="auto"/>
        <w:bottom w:val="none" w:sz="0" w:space="0" w:color="auto"/>
        <w:right w:val="none" w:sz="0" w:space="0" w:color="auto"/>
      </w:divBdr>
    </w:div>
    <w:div w:id="1883009677">
      <w:bodyDiv w:val="1"/>
      <w:marLeft w:val="0"/>
      <w:marRight w:val="0"/>
      <w:marTop w:val="0"/>
      <w:marBottom w:val="0"/>
      <w:divBdr>
        <w:top w:val="none" w:sz="0" w:space="0" w:color="auto"/>
        <w:left w:val="none" w:sz="0" w:space="0" w:color="auto"/>
        <w:bottom w:val="none" w:sz="0" w:space="0" w:color="auto"/>
        <w:right w:val="none" w:sz="0" w:space="0" w:color="auto"/>
      </w:divBdr>
    </w:div>
    <w:div w:id="1923444694">
      <w:bodyDiv w:val="1"/>
      <w:marLeft w:val="0"/>
      <w:marRight w:val="0"/>
      <w:marTop w:val="0"/>
      <w:marBottom w:val="0"/>
      <w:divBdr>
        <w:top w:val="none" w:sz="0" w:space="0" w:color="auto"/>
        <w:left w:val="none" w:sz="0" w:space="0" w:color="auto"/>
        <w:bottom w:val="none" w:sz="0" w:space="0" w:color="auto"/>
        <w:right w:val="none" w:sz="0" w:space="0" w:color="auto"/>
      </w:divBdr>
    </w:div>
    <w:div w:id="1929533246">
      <w:bodyDiv w:val="1"/>
      <w:marLeft w:val="0"/>
      <w:marRight w:val="0"/>
      <w:marTop w:val="0"/>
      <w:marBottom w:val="0"/>
      <w:divBdr>
        <w:top w:val="none" w:sz="0" w:space="0" w:color="auto"/>
        <w:left w:val="none" w:sz="0" w:space="0" w:color="auto"/>
        <w:bottom w:val="none" w:sz="0" w:space="0" w:color="auto"/>
        <w:right w:val="none" w:sz="0" w:space="0" w:color="auto"/>
      </w:divBdr>
    </w:div>
    <w:div w:id="1957446784">
      <w:bodyDiv w:val="1"/>
      <w:marLeft w:val="0"/>
      <w:marRight w:val="0"/>
      <w:marTop w:val="0"/>
      <w:marBottom w:val="0"/>
      <w:divBdr>
        <w:top w:val="none" w:sz="0" w:space="0" w:color="auto"/>
        <w:left w:val="none" w:sz="0" w:space="0" w:color="auto"/>
        <w:bottom w:val="none" w:sz="0" w:space="0" w:color="auto"/>
        <w:right w:val="none" w:sz="0" w:space="0" w:color="auto"/>
      </w:divBdr>
    </w:div>
    <w:div w:id="21355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gov.au/resources/publications/coronavirus-covid-19-guidelines-for-outbreaks-in-residential-care-facilities" TargetMode="External"/><Relationship Id="rId26" Type="http://schemas.openxmlformats.org/officeDocument/2006/relationships/image" Target="media/image4.png"/><Relationship Id="rId39" Type="http://schemas.openxmlformats.org/officeDocument/2006/relationships/hyperlink" Target="https://www.health.gov.au/resources/publications/phln-and-cdna-joint-statement-on-sars-cov-2-rapid-antigen-test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health.gov.au/resources/publications/phln-statement-on-the-prioritisation-of-diagnostic-testing-for-covid-19" TargetMode="External"/><Relationship Id="rId42" Type="http://schemas.openxmlformats.org/officeDocument/2006/relationships/hyperlink" Target="https://www.health.gov.au/resources/publications/cdgn-phln-and-cdna-sampling-strategy-for-sars-cov-2-genomic-surveillance"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health.gov.au/resources/publications/phln-guidance-on-laboratory-testing-for-sars-cov-2-the-virus-that-causes-covid-19" TargetMode="External"/><Relationship Id="rId25" Type="http://schemas.openxmlformats.org/officeDocument/2006/relationships/hyperlink" Target="https://www.health.gov.au/news/health-alerts/novel-coronavirus-2019-ncov-health-alert/advice-for-people-at-risk-of-coronavirus-covid-19" TargetMode="External"/><Relationship Id="rId33" Type="http://schemas.openxmlformats.org/officeDocument/2006/relationships/hyperlink" Target="https://www.pathology.health.nsw.gov.au/covid-19-info/rapid-testing" TargetMode="External"/><Relationship Id="rId38" Type="http://schemas.openxmlformats.org/officeDocument/2006/relationships/hyperlink" Target="https://www.health.gov.au/resources/publications/phln-statement-on-use-of-saliva-as-an-alternative-specimen-for-the-diagnosis-of-sars-cov-2"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australian-national-disease-surveillance-plan-for-covid-19" TargetMode="External"/><Relationship Id="rId20" Type="http://schemas.openxmlformats.org/officeDocument/2006/relationships/hyperlink" Target="https://www.health.gov.au/resources/publications/australian-national-disease-surveillance-plan-for-covid-19" TargetMode="External"/><Relationship Id="rId29" Type="http://schemas.openxmlformats.org/officeDocument/2006/relationships/hyperlink" Target="http://www.mbsonline.gov.au/internet/mbsonline/publishing.nsf/Content/Factsheet-Cov.LTI" TargetMode="External"/><Relationship Id="rId41" Type="http://schemas.openxmlformats.org/officeDocument/2006/relationships/hyperlink" Target="https://www.tga.gov.au/post-market-evaluation-serology-based-point-care-te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1.health.gov.au/internet/main/publishing.nsf/Content/cdna-song-novel-coronavirus.htm" TargetMode="External"/><Relationship Id="rId32" Type="http://schemas.openxmlformats.org/officeDocument/2006/relationships/hyperlink" Target="https://www.health.gov.au/resources/publications/cdna-national-guidance-for-remote-aboriginal-and-torres-strait-islander-communities-for-covid-19" TargetMode="External"/><Relationship Id="rId37" Type="http://schemas.openxmlformats.org/officeDocument/2006/relationships/hyperlink" Target="https://www.health.gov.au/resources/publications/phln-guidance-on-laboratory-testing-for-sars-cov-2-the-virus-that-causes-covid-19" TargetMode="External"/><Relationship Id="rId40" Type="http://schemas.openxmlformats.org/officeDocument/2006/relationships/hyperlink" Target="https://www.health.gov.au/resources/publications/phln-guidance-on-laboratory-testing-for-sars-cov-2-the-virus-that-causes-covid-19"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1.health.gov.au/internet/main/publishing.nsf/Content/cdna-song-novel-coronavirus.htm" TargetMode="External"/><Relationship Id="rId23" Type="http://schemas.openxmlformats.org/officeDocument/2006/relationships/hyperlink" Target="https://www1.health.gov.au/internet/main/publishing.nsf/Content/cdna-song-novel-coronavirus.htm" TargetMode="External"/><Relationship Id="rId28" Type="http://schemas.openxmlformats.org/officeDocument/2006/relationships/hyperlink" Target="https://www.health.gov.au/resources/publications/cdgn-phln-and-cdna-sampling-strategy-for-sars-cov-2-genomic-surveillance" TargetMode="External"/><Relationship Id="rId36" Type="http://schemas.openxmlformats.org/officeDocument/2006/relationships/hyperlink" Target="https://www.health.gov.au/resources/publications/phln-guidance-on-laboratory-testing-for-sars-cov-2-the-virus-that-causes-covid-19" TargetMode="External"/><Relationship Id="rId10" Type="http://schemas.openxmlformats.org/officeDocument/2006/relationships/endnotes" Target="endnotes.xml"/><Relationship Id="rId19" Type="http://schemas.openxmlformats.org/officeDocument/2006/relationships/hyperlink" Target="https://www.health.gov.au/resources/publications/cdna-national-guidance-for-remote-aboriginal-and-torres-strait-islander-communities-for-covid-19" TargetMode="External"/><Relationship Id="rId31" Type="http://schemas.openxmlformats.org/officeDocument/2006/relationships/hyperlink" Target="https://www.legislation.gov.au/Details/F2021C00856"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tiff"/><Relationship Id="rId22" Type="http://schemas.openxmlformats.org/officeDocument/2006/relationships/header" Target="header1.xml"/><Relationship Id="rId27" Type="http://schemas.openxmlformats.org/officeDocument/2006/relationships/hyperlink" Target="https://www.health.gov.au/resources/publications/phln-guidance-on-laboratory-testing-for-sars-cov-2-the-virus-that-causes-covid-19" TargetMode="External"/><Relationship Id="rId30" Type="http://schemas.openxmlformats.org/officeDocument/2006/relationships/hyperlink" Target="https://www.health.gov.au/resources/publications/australian-national-disease-surveillance-plan-for-covid-19" TargetMode="External"/><Relationship Id="rId35" Type="http://schemas.openxmlformats.org/officeDocument/2006/relationships/hyperlink" Target="https://www.health.gov.au/resources/publications/cdgn-phln-and-cdna-sampling-strategy-for-sars-cov-2-genomic-surveillance" TargetMode="External"/><Relationship Id="rId43" Type="http://schemas.openxmlformats.org/officeDocument/2006/relationships/hyperlink" Target="https://www1.health.gov.au/internet/main/publishing.nsf/Content/health-npaac-poctgu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news/australian-health-protection-principal-committee-ahppc-statement-on-covid-19-routine-testing-of-hotel-quarantine-workers" TargetMode="External"/><Relationship Id="rId1" Type="http://schemas.openxmlformats.org/officeDocument/2006/relationships/hyperlink" Target="https://www.who.int/news-room/commentaries/detail/status-of-environmental-surveillance-for-sars-cov-2-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8bfc06-5762-4cfb-85f8-969387ebc8ab">
      <UserInfo>
        <DisplayName>CASA, Giovanna</DisplayName>
        <AccountId>39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6" ma:contentTypeDescription="Create a new document." ma:contentTypeScope="" ma:versionID="6c0c8c6bac23117d1a9d89472bf441e0">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d5aa4b46ce86be0c3cbfd2fedfe92a3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CFDDA-B329-48F4-A3FD-C2FB598AB3EC}">
  <ds:schemaRefs>
    <ds:schemaRef ds:uri="http://schemas.microsoft.com/office/2006/metadata/properties"/>
    <ds:schemaRef ds:uri="http://schemas.microsoft.com/office/infopath/2007/PartnerControls"/>
    <ds:schemaRef ds:uri="d48bfc06-5762-4cfb-85f8-969387ebc8ab"/>
  </ds:schemaRefs>
</ds:datastoreItem>
</file>

<file path=customXml/itemProps2.xml><?xml version="1.0" encoding="utf-8"?>
<ds:datastoreItem xmlns:ds="http://schemas.openxmlformats.org/officeDocument/2006/customXml" ds:itemID="{78421D73-1DB5-4E1E-9DC0-C8F3C53D9560}">
  <ds:schemaRefs>
    <ds:schemaRef ds:uri="http://schemas.openxmlformats.org/officeDocument/2006/bibliography"/>
  </ds:schemaRefs>
</ds:datastoreItem>
</file>

<file path=customXml/itemProps3.xml><?xml version="1.0" encoding="utf-8"?>
<ds:datastoreItem xmlns:ds="http://schemas.openxmlformats.org/officeDocument/2006/customXml" ds:itemID="{617D56B5-97AA-43F0-8168-590F8574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01ED5-B74B-4126-BC89-EEE92D849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12935</Words>
  <Characters>73736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86499</CharactersWithSpaces>
  <SharedDoc>false</SharedDoc>
  <HLinks>
    <vt:vector size="312" baseType="variant">
      <vt:variant>
        <vt:i4>6225944</vt:i4>
      </vt:variant>
      <vt:variant>
        <vt:i4>252</vt:i4>
      </vt:variant>
      <vt:variant>
        <vt:i4>0</vt:i4>
      </vt:variant>
      <vt:variant>
        <vt:i4>5</vt:i4>
      </vt:variant>
      <vt:variant>
        <vt:lpwstr>https://www1.health.gov.au/internet/main/publishing.nsf/Content/health-npaac-poctguid</vt:lpwstr>
      </vt:variant>
      <vt:variant>
        <vt:lpwstr/>
      </vt:variant>
      <vt:variant>
        <vt:i4>393285</vt:i4>
      </vt:variant>
      <vt:variant>
        <vt:i4>249</vt:i4>
      </vt:variant>
      <vt:variant>
        <vt:i4>0</vt:i4>
      </vt:variant>
      <vt:variant>
        <vt:i4>5</vt:i4>
      </vt:variant>
      <vt:variant>
        <vt:lpwstr>https://www.health.gov.au/resources/publications/cdgn-phln-and-cdna-sampling-strategy-for-sars-cov-2-genomic-surveillance</vt:lpwstr>
      </vt:variant>
      <vt:variant>
        <vt:lpwstr/>
      </vt:variant>
      <vt:variant>
        <vt:i4>3932213</vt:i4>
      </vt:variant>
      <vt:variant>
        <vt:i4>246</vt:i4>
      </vt:variant>
      <vt:variant>
        <vt:i4>0</vt:i4>
      </vt:variant>
      <vt:variant>
        <vt:i4>5</vt:i4>
      </vt:variant>
      <vt:variant>
        <vt:lpwstr>https://www.health.gov.au/resources/publications/phln-guidance-on-laboratory-testing-for-sars-cov-2-the-virus-that-causes-covid-19</vt:lpwstr>
      </vt:variant>
      <vt:variant>
        <vt:lpwstr/>
      </vt:variant>
      <vt:variant>
        <vt:i4>720923</vt:i4>
      </vt:variant>
      <vt:variant>
        <vt:i4>243</vt:i4>
      </vt:variant>
      <vt:variant>
        <vt:i4>0</vt:i4>
      </vt:variant>
      <vt:variant>
        <vt:i4>5</vt:i4>
      </vt:variant>
      <vt:variant>
        <vt:lpwstr>https://www.tga.gov.au/post-market-evaluation-serology-based-point-care-tests</vt:lpwstr>
      </vt:variant>
      <vt:variant>
        <vt:lpwstr/>
      </vt:variant>
      <vt:variant>
        <vt:i4>3932213</vt:i4>
      </vt:variant>
      <vt:variant>
        <vt:i4>240</vt:i4>
      </vt:variant>
      <vt:variant>
        <vt:i4>0</vt:i4>
      </vt:variant>
      <vt:variant>
        <vt:i4>5</vt:i4>
      </vt:variant>
      <vt:variant>
        <vt:lpwstr>https://www.health.gov.au/resources/publications/phln-guidance-on-laboratory-testing-for-sars-cov-2-the-virus-that-causes-covid-19</vt:lpwstr>
      </vt:variant>
      <vt:variant>
        <vt:lpwstr/>
      </vt:variant>
      <vt:variant>
        <vt:i4>4784134</vt:i4>
      </vt:variant>
      <vt:variant>
        <vt:i4>237</vt:i4>
      </vt:variant>
      <vt:variant>
        <vt:i4>0</vt:i4>
      </vt:variant>
      <vt:variant>
        <vt:i4>5</vt:i4>
      </vt:variant>
      <vt:variant>
        <vt:lpwstr>https://www.health.gov.au/resources/publications/phln-and-cdna-joint-statement-on-sars-cov-2-rapid-antigen-tests</vt:lpwstr>
      </vt:variant>
      <vt:variant>
        <vt:lpwstr/>
      </vt:variant>
      <vt:variant>
        <vt:i4>2687075</vt:i4>
      </vt:variant>
      <vt:variant>
        <vt:i4>234</vt:i4>
      </vt:variant>
      <vt:variant>
        <vt:i4>0</vt:i4>
      </vt:variant>
      <vt:variant>
        <vt:i4>5</vt:i4>
      </vt:variant>
      <vt:variant>
        <vt:lpwstr>https://www.health.gov.au/resources/publications/phln-statement-on-use-of-saliva-as-an-alternative-specimen-for-the-diagnosis-of-sars-cov-2</vt:lpwstr>
      </vt:variant>
      <vt:variant>
        <vt:lpwstr/>
      </vt:variant>
      <vt:variant>
        <vt:i4>3932213</vt:i4>
      </vt:variant>
      <vt:variant>
        <vt:i4>231</vt:i4>
      </vt:variant>
      <vt:variant>
        <vt:i4>0</vt:i4>
      </vt:variant>
      <vt:variant>
        <vt:i4>5</vt:i4>
      </vt:variant>
      <vt:variant>
        <vt:lpwstr>https://www.health.gov.au/resources/publications/phln-guidance-on-laboratory-testing-for-sars-cov-2-the-virus-that-causes-covid-19</vt:lpwstr>
      </vt:variant>
      <vt:variant>
        <vt:lpwstr/>
      </vt:variant>
      <vt:variant>
        <vt:i4>3932213</vt:i4>
      </vt:variant>
      <vt:variant>
        <vt:i4>228</vt:i4>
      </vt:variant>
      <vt:variant>
        <vt:i4>0</vt:i4>
      </vt:variant>
      <vt:variant>
        <vt:i4>5</vt:i4>
      </vt:variant>
      <vt:variant>
        <vt:lpwstr>https://www.health.gov.au/resources/publications/phln-guidance-on-laboratory-testing-for-sars-cov-2-the-virus-that-causes-covid-19</vt:lpwstr>
      </vt:variant>
      <vt:variant>
        <vt:lpwstr/>
      </vt:variant>
      <vt:variant>
        <vt:i4>393285</vt:i4>
      </vt:variant>
      <vt:variant>
        <vt:i4>225</vt:i4>
      </vt:variant>
      <vt:variant>
        <vt:i4>0</vt:i4>
      </vt:variant>
      <vt:variant>
        <vt:i4>5</vt:i4>
      </vt:variant>
      <vt:variant>
        <vt:lpwstr>https://www.health.gov.au/resources/publications/cdgn-phln-and-cdna-sampling-strategy-for-sars-cov-2-genomic-surveillance</vt:lpwstr>
      </vt:variant>
      <vt:variant>
        <vt:lpwstr/>
      </vt:variant>
      <vt:variant>
        <vt:i4>5505028</vt:i4>
      </vt:variant>
      <vt:variant>
        <vt:i4>222</vt:i4>
      </vt:variant>
      <vt:variant>
        <vt:i4>0</vt:i4>
      </vt:variant>
      <vt:variant>
        <vt:i4>5</vt:i4>
      </vt:variant>
      <vt:variant>
        <vt:lpwstr>https://www.health.gov.au/resources/publications/phln-statement-on-the-prioritisation-of-diagnostic-testing-for-covid-19</vt:lpwstr>
      </vt:variant>
      <vt:variant>
        <vt:lpwstr/>
      </vt:variant>
      <vt:variant>
        <vt:i4>2818147</vt:i4>
      </vt:variant>
      <vt:variant>
        <vt:i4>219</vt:i4>
      </vt:variant>
      <vt:variant>
        <vt:i4>0</vt:i4>
      </vt:variant>
      <vt:variant>
        <vt:i4>5</vt:i4>
      </vt:variant>
      <vt:variant>
        <vt:lpwstr>https://www.pathology.health.nsw.gov.au/covid-19-info/rapid-testing</vt:lpwstr>
      </vt:variant>
      <vt:variant>
        <vt:lpwstr/>
      </vt:variant>
      <vt:variant>
        <vt:i4>131136</vt:i4>
      </vt:variant>
      <vt:variant>
        <vt:i4>216</vt:i4>
      </vt:variant>
      <vt:variant>
        <vt:i4>0</vt:i4>
      </vt:variant>
      <vt:variant>
        <vt:i4>5</vt:i4>
      </vt:variant>
      <vt:variant>
        <vt:lpwstr>https://www.health.gov.au/resources/publications/cdna-national-guidance-for-remote-aboriginal-and-torres-strait-islander-communities-for-covid-19</vt:lpwstr>
      </vt:variant>
      <vt:variant>
        <vt:lpwstr/>
      </vt:variant>
      <vt:variant>
        <vt:i4>7995424</vt:i4>
      </vt:variant>
      <vt:variant>
        <vt:i4>213</vt:i4>
      </vt:variant>
      <vt:variant>
        <vt:i4>0</vt:i4>
      </vt:variant>
      <vt:variant>
        <vt:i4>5</vt:i4>
      </vt:variant>
      <vt:variant>
        <vt:lpwstr>https://www.legislation.gov.au/Details/F2021C00856</vt:lpwstr>
      </vt:variant>
      <vt:variant>
        <vt:lpwstr/>
      </vt:variant>
      <vt:variant>
        <vt:i4>8257573</vt:i4>
      </vt:variant>
      <vt:variant>
        <vt:i4>210</vt:i4>
      </vt:variant>
      <vt:variant>
        <vt:i4>0</vt:i4>
      </vt:variant>
      <vt:variant>
        <vt:i4>5</vt:i4>
      </vt:variant>
      <vt:variant>
        <vt:lpwstr>https://www.health.gov.au/resources/publications/australian-national-disease-surveillance-plan-for-covid-19</vt:lpwstr>
      </vt:variant>
      <vt:variant>
        <vt:lpwstr/>
      </vt:variant>
      <vt:variant>
        <vt:i4>393285</vt:i4>
      </vt:variant>
      <vt:variant>
        <vt:i4>204</vt:i4>
      </vt:variant>
      <vt:variant>
        <vt:i4>0</vt:i4>
      </vt:variant>
      <vt:variant>
        <vt:i4>5</vt:i4>
      </vt:variant>
      <vt:variant>
        <vt:lpwstr>https://www.health.gov.au/resources/publications/cdgn-phln-and-cdna-sampling-strategy-for-sars-cov-2-genomic-surveillance</vt:lpwstr>
      </vt:variant>
      <vt:variant>
        <vt:lpwstr/>
      </vt:variant>
      <vt:variant>
        <vt:i4>3932213</vt:i4>
      </vt:variant>
      <vt:variant>
        <vt:i4>201</vt:i4>
      </vt:variant>
      <vt:variant>
        <vt:i4>0</vt:i4>
      </vt:variant>
      <vt:variant>
        <vt:i4>5</vt:i4>
      </vt:variant>
      <vt:variant>
        <vt:lpwstr>https://www.health.gov.au/resources/publications/phln-guidance-on-laboratory-testing-for-sars-cov-2-the-virus-that-causes-covid-19</vt:lpwstr>
      </vt:variant>
      <vt:variant>
        <vt:lpwstr/>
      </vt:variant>
      <vt:variant>
        <vt:i4>3080304</vt:i4>
      </vt:variant>
      <vt:variant>
        <vt:i4>195</vt:i4>
      </vt:variant>
      <vt:variant>
        <vt:i4>0</vt:i4>
      </vt:variant>
      <vt:variant>
        <vt:i4>5</vt:i4>
      </vt:variant>
      <vt:variant>
        <vt:lpwstr>https://www.health.gov.au/news/health-alerts/novel-coronavirus-2019-ncov-health-alert/advice-for-people-at-risk-of-coronavirus-covid-19</vt:lpwstr>
      </vt:variant>
      <vt:variant>
        <vt:lpwstr/>
      </vt:variant>
      <vt:variant>
        <vt:i4>7995430</vt:i4>
      </vt:variant>
      <vt:variant>
        <vt:i4>192</vt:i4>
      </vt:variant>
      <vt:variant>
        <vt:i4>0</vt:i4>
      </vt:variant>
      <vt:variant>
        <vt:i4>5</vt:i4>
      </vt:variant>
      <vt:variant>
        <vt:lpwstr>https://www1.health.gov.au/internet/main/publishing.nsf/Content/cdna-song-novel-coronavirus.htm</vt:lpwstr>
      </vt:variant>
      <vt:variant>
        <vt:lpwstr/>
      </vt:variant>
      <vt:variant>
        <vt:i4>7995430</vt:i4>
      </vt:variant>
      <vt:variant>
        <vt:i4>189</vt:i4>
      </vt:variant>
      <vt:variant>
        <vt:i4>0</vt:i4>
      </vt:variant>
      <vt:variant>
        <vt:i4>5</vt:i4>
      </vt:variant>
      <vt:variant>
        <vt:lpwstr>https://www1.health.gov.au/internet/main/publishing.nsf/Content/cdna-song-novel-coronavirus.htm</vt:lpwstr>
      </vt:variant>
      <vt:variant>
        <vt:lpwstr/>
      </vt:variant>
      <vt:variant>
        <vt:i4>8257573</vt:i4>
      </vt:variant>
      <vt:variant>
        <vt:i4>171</vt:i4>
      </vt:variant>
      <vt:variant>
        <vt:i4>0</vt:i4>
      </vt:variant>
      <vt:variant>
        <vt:i4>5</vt:i4>
      </vt:variant>
      <vt:variant>
        <vt:lpwstr>https://www.health.gov.au/resources/publications/australian-national-disease-surveillance-plan-for-covid-19</vt:lpwstr>
      </vt:variant>
      <vt:variant>
        <vt:lpwstr/>
      </vt:variant>
      <vt:variant>
        <vt:i4>131136</vt:i4>
      </vt:variant>
      <vt:variant>
        <vt:i4>168</vt:i4>
      </vt:variant>
      <vt:variant>
        <vt:i4>0</vt:i4>
      </vt:variant>
      <vt:variant>
        <vt:i4>5</vt:i4>
      </vt:variant>
      <vt:variant>
        <vt:lpwstr>https://www.health.gov.au/resources/publications/cdna-national-guidance-for-remote-aboriginal-and-torres-strait-islander-communities-for-covid-19</vt:lpwstr>
      </vt:variant>
      <vt:variant>
        <vt:lpwstr/>
      </vt:variant>
      <vt:variant>
        <vt:i4>5570651</vt:i4>
      </vt:variant>
      <vt:variant>
        <vt:i4>165</vt:i4>
      </vt:variant>
      <vt:variant>
        <vt:i4>0</vt:i4>
      </vt:variant>
      <vt:variant>
        <vt:i4>5</vt:i4>
      </vt:variant>
      <vt:variant>
        <vt:lpwstr>https://www.health.gov.au/resources/publications/coronavirus-covid-19-guidelines-for-outbreaks-in-residential-care-facilities</vt:lpwstr>
      </vt:variant>
      <vt:variant>
        <vt:lpwstr/>
      </vt:variant>
      <vt:variant>
        <vt:i4>3932213</vt:i4>
      </vt:variant>
      <vt:variant>
        <vt:i4>162</vt:i4>
      </vt:variant>
      <vt:variant>
        <vt:i4>0</vt:i4>
      </vt:variant>
      <vt:variant>
        <vt:i4>5</vt:i4>
      </vt:variant>
      <vt:variant>
        <vt:lpwstr>https://www.health.gov.au/resources/publications/phln-guidance-on-laboratory-testing-for-sars-cov-2-the-virus-that-causes-covid-19</vt:lpwstr>
      </vt:variant>
      <vt:variant>
        <vt:lpwstr/>
      </vt:variant>
      <vt:variant>
        <vt:i4>8257573</vt:i4>
      </vt:variant>
      <vt:variant>
        <vt:i4>156</vt:i4>
      </vt:variant>
      <vt:variant>
        <vt:i4>0</vt:i4>
      </vt:variant>
      <vt:variant>
        <vt:i4>5</vt:i4>
      </vt:variant>
      <vt:variant>
        <vt:lpwstr>https://www.health.gov.au/resources/publications/australian-national-disease-surveillance-plan-for-covid-19</vt:lpwstr>
      </vt:variant>
      <vt:variant>
        <vt:lpwstr/>
      </vt:variant>
      <vt:variant>
        <vt:i4>7995430</vt:i4>
      </vt:variant>
      <vt:variant>
        <vt:i4>153</vt:i4>
      </vt:variant>
      <vt:variant>
        <vt:i4>0</vt:i4>
      </vt:variant>
      <vt:variant>
        <vt:i4>5</vt:i4>
      </vt:variant>
      <vt:variant>
        <vt:lpwstr>https://www1.health.gov.au/internet/main/publishing.nsf/Content/cdna-song-novel-coronavirus.htm</vt:lpwstr>
      </vt:variant>
      <vt:variant>
        <vt:lpwstr/>
      </vt:variant>
      <vt:variant>
        <vt:i4>1179702</vt:i4>
      </vt:variant>
      <vt:variant>
        <vt:i4>140</vt:i4>
      </vt:variant>
      <vt:variant>
        <vt:i4>0</vt:i4>
      </vt:variant>
      <vt:variant>
        <vt:i4>5</vt:i4>
      </vt:variant>
      <vt:variant>
        <vt:lpwstr/>
      </vt:variant>
      <vt:variant>
        <vt:lpwstr>_Toc93492897</vt:lpwstr>
      </vt:variant>
      <vt:variant>
        <vt:i4>1245238</vt:i4>
      </vt:variant>
      <vt:variant>
        <vt:i4>134</vt:i4>
      </vt:variant>
      <vt:variant>
        <vt:i4>0</vt:i4>
      </vt:variant>
      <vt:variant>
        <vt:i4>5</vt:i4>
      </vt:variant>
      <vt:variant>
        <vt:lpwstr/>
      </vt:variant>
      <vt:variant>
        <vt:lpwstr>_Toc93492896</vt:lpwstr>
      </vt:variant>
      <vt:variant>
        <vt:i4>1048630</vt:i4>
      </vt:variant>
      <vt:variant>
        <vt:i4>128</vt:i4>
      </vt:variant>
      <vt:variant>
        <vt:i4>0</vt:i4>
      </vt:variant>
      <vt:variant>
        <vt:i4>5</vt:i4>
      </vt:variant>
      <vt:variant>
        <vt:lpwstr/>
      </vt:variant>
      <vt:variant>
        <vt:lpwstr>_Toc93492895</vt:lpwstr>
      </vt:variant>
      <vt:variant>
        <vt:i4>1114166</vt:i4>
      </vt:variant>
      <vt:variant>
        <vt:i4>122</vt:i4>
      </vt:variant>
      <vt:variant>
        <vt:i4>0</vt:i4>
      </vt:variant>
      <vt:variant>
        <vt:i4>5</vt:i4>
      </vt:variant>
      <vt:variant>
        <vt:lpwstr/>
      </vt:variant>
      <vt:variant>
        <vt:lpwstr>_Toc93492894</vt:lpwstr>
      </vt:variant>
      <vt:variant>
        <vt:i4>1441846</vt:i4>
      </vt:variant>
      <vt:variant>
        <vt:i4>116</vt:i4>
      </vt:variant>
      <vt:variant>
        <vt:i4>0</vt:i4>
      </vt:variant>
      <vt:variant>
        <vt:i4>5</vt:i4>
      </vt:variant>
      <vt:variant>
        <vt:lpwstr/>
      </vt:variant>
      <vt:variant>
        <vt:lpwstr>_Toc93492893</vt:lpwstr>
      </vt:variant>
      <vt:variant>
        <vt:i4>1507382</vt:i4>
      </vt:variant>
      <vt:variant>
        <vt:i4>110</vt:i4>
      </vt:variant>
      <vt:variant>
        <vt:i4>0</vt:i4>
      </vt:variant>
      <vt:variant>
        <vt:i4>5</vt:i4>
      </vt:variant>
      <vt:variant>
        <vt:lpwstr/>
      </vt:variant>
      <vt:variant>
        <vt:lpwstr>_Toc93492892</vt:lpwstr>
      </vt:variant>
      <vt:variant>
        <vt:i4>1310774</vt:i4>
      </vt:variant>
      <vt:variant>
        <vt:i4>104</vt:i4>
      </vt:variant>
      <vt:variant>
        <vt:i4>0</vt:i4>
      </vt:variant>
      <vt:variant>
        <vt:i4>5</vt:i4>
      </vt:variant>
      <vt:variant>
        <vt:lpwstr/>
      </vt:variant>
      <vt:variant>
        <vt:lpwstr>_Toc93492891</vt:lpwstr>
      </vt:variant>
      <vt:variant>
        <vt:i4>1376310</vt:i4>
      </vt:variant>
      <vt:variant>
        <vt:i4>98</vt:i4>
      </vt:variant>
      <vt:variant>
        <vt:i4>0</vt:i4>
      </vt:variant>
      <vt:variant>
        <vt:i4>5</vt:i4>
      </vt:variant>
      <vt:variant>
        <vt:lpwstr/>
      </vt:variant>
      <vt:variant>
        <vt:lpwstr>_Toc93492890</vt:lpwstr>
      </vt:variant>
      <vt:variant>
        <vt:i4>1900599</vt:i4>
      </vt:variant>
      <vt:variant>
        <vt:i4>92</vt:i4>
      </vt:variant>
      <vt:variant>
        <vt:i4>0</vt:i4>
      </vt:variant>
      <vt:variant>
        <vt:i4>5</vt:i4>
      </vt:variant>
      <vt:variant>
        <vt:lpwstr/>
      </vt:variant>
      <vt:variant>
        <vt:lpwstr>_Toc93492888</vt:lpwstr>
      </vt:variant>
      <vt:variant>
        <vt:i4>1179703</vt:i4>
      </vt:variant>
      <vt:variant>
        <vt:i4>86</vt:i4>
      </vt:variant>
      <vt:variant>
        <vt:i4>0</vt:i4>
      </vt:variant>
      <vt:variant>
        <vt:i4>5</vt:i4>
      </vt:variant>
      <vt:variant>
        <vt:lpwstr/>
      </vt:variant>
      <vt:variant>
        <vt:lpwstr>_Toc93492887</vt:lpwstr>
      </vt:variant>
      <vt:variant>
        <vt:i4>1245239</vt:i4>
      </vt:variant>
      <vt:variant>
        <vt:i4>80</vt:i4>
      </vt:variant>
      <vt:variant>
        <vt:i4>0</vt:i4>
      </vt:variant>
      <vt:variant>
        <vt:i4>5</vt:i4>
      </vt:variant>
      <vt:variant>
        <vt:lpwstr/>
      </vt:variant>
      <vt:variant>
        <vt:lpwstr>_Toc93492886</vt:lpwstr>
      </vt:variant>
      <vt:variant>
        <vt:i4>1114167</vt:i4>
      </vt:variant>
      <vt:variant>
        <vt:i4>74</vt:i4>
      </vt:variant>
      <vt:variant>
        <vt:i4>0</vt:i4>
      </vt:variant>
      <vt:variant>
        <vt:i4>5</vt:i4>
      </vt:variant>
      <vt:variant>
        <vt:lpwstr/>
      </vt:variant>
      <vt:variant>
        <vt:lpwstr>_Toc93492884</vt:lpwstr>
      </vt:variant>
      <vt:variant>
        <vt:i4>1441847</vt:i4>
      </vt:variant>
      <vt:variant>
        <vt:i4>68</vt:i4>
      </vt:variant>
      <vt:variant>
        <vt:i4>0</vt:i4>
      </vt:variant>
      <vt:variant>
        <vt:i4>5</vt:i4>
      </vt:variant>
      <vt:variant>
        <vt:lpwstr/>
      </vt:variant>
      <vt:variant>
        <vt:lpwstr>_Toc93492883</vt:lpwstr>
      </vt:variant>
      <vt:variant>
        <vt:i4>1507383</vt:i4>
      </vt:variant>
      <vt:variant>
        <vt:i4>62</vt:i4>
      </vt:variant>
      <vt:variant>
        <vt:i4>0</vt:i4>
      </vt:variant>
      <vt:variant>
        <vt:i4>5</vt:i4>
      </vt:variant>
      <vt:variant>
        <vt:lpwstr/>
      </vt:variant>
      <vt:variant>
        <vt:lpwstr>_Toc93492882</vt:lpwstr>
      </vt:variant>
      <vt:variant>
        <vt:i4>1310775</vt:i4>
      </vt:variant>
      <vt:variant>
        <vt:i4>56</vt:i4>
      </vt:variant>
      <vt:variant>
        <vt:i4>0</vt:i4>
      </vt:variant>
      <vt:variant>
        <vt:i4>5</vt:i4>
      </vt:variant>
      <vt:variant>
        <vt:lpwstr/>
      </vt:variant>
      <vt:variant>
        <vt:lpwstr>_Toc93492881</vt:lpwstr>
      </vt:variant>
      <vt:variant>
        <vt:i4>1376311</vt:i4>
      </vt:variant>
      <vt:variant>
        <vt:i4>50</vt:i4>
      </vt:variant>
      <vt:variant>
        <vt:i4>0</vt:i4>
      </vt:variant>
      <vt:variant>
        <vt:i4>5</vt:i4>
      </vt:variant>
      <vt:variant>
        <vt:lpwstr/>
      </vt:variant>
      <vt:variant>
        <vt:lpwstr>_Toc93492880</vt:lpwstr>
      </vt:variant>
      <vt:variant>
        <vt:i4>1835064</vt:i4>
      </vt:variant>
      <vt:variant>
        <vt:i4>44</vt:i4>
      </vt:variant>
      <vt:variant>
        <vt:i4>0</vt:i4>
      </vt:variant>
      <vt:variant>
        <vt:i4>5</vt:i4>
      </vt:variant>
      <vt:variant>
        <vt:lpwstr/>
      </vt:variant>
      <vt:variant>
        <vt:lpwstr>_Toc93492879</vt:lpwstr>
      </vt:variant>
      <vt:variant>
        <vt:i4>1179704</vt:i4>
      </vt:variant>
      <vt:variant>
        <vt:i4>38</vt:i4>
      </vt:variant>
      <vt:variant>
        <vt:i4>0</vt:i4>
      </vt:variant>
      <vt:variant>
        <vt:i4>5</vt:i4>
      </vt:variant>
      <vt:variant>
        <vt:lpwstr/>
      </vt:variant>
      <vt:variant>
        <vt:lpwstr>_Toc93492877</vt:lpwstr>
      </vt:variant>
      <vt:variant>
        <vt:i4>1245240</vt:i4>
      </vt:variant>
      <vt:variant>
        <vt:i4>32</vt:i4>
      </vt:variant>
      <vt:variant>
        <vt:i4>0</vt:i4>
      </vt:variant>
      <vt:variant>
        <vt:i4>5</vt:i4>
      </vt:variant>
      <vt:variant>
        <vt:lpwstr/>
      </vt:variant>
      <vt:variant>
        <vt:lpwstr>_Toc93492876</vt:lpwstr>
      </vt:variant>
      <vt:variant>
        <vt:i4>1048632</vt:i4>
      </vt:variant>
      <vt:variant>
        <vt:i4>26</vt:i4>
      </vt:variant>
      <vt:variant>
        <vt:i4>0</vt:i4>
      </vt:variant>
      <vt:variant>
        <vt:i4>5</vt:i4>
      </vt:variant>
      <vt:variant>
        <vt:lpwstr/>
      </vt:variant>
      <vt:variant>
        <vt:lpwstr>_Toc93492875</vt:lpwstr>
      </vt:variant>
      <vt:variant>
        <vt:i4>1310776</vt:i4>
      </vt:variant>
      <vt:variant>
        <vt:i4>20</vt:i4>
      </vt:variant>
      <vt:variant>
        <vt:i4>0</vt:i4>
      </vt:variant>
      <vt:variant>
        <vt:i4>5</vt:i4>
      </vt:variant>
      <vt:variant>
        <vt:lpwstr/>
      </vt:variant>
      <vt:variant>
        <vt:lpwstr>_Toc93492871</vt:lpwstr>
      </vt:variant>
      <vt:variant>
        <vt:i4>1376312</vt:i4>
      </vt:variant>
      <vt:variant>
        <vt:i4>14</vt:i4>
      </vt:variant>
      <vt:variant>
        <vt:i4>0</vt:i4>
      </vt:variant>
      <vt:variant>
        <vt:i4>5</vt:i4>
      </vt:variant>
      <vt:variant>
        <vt:lpwstr/>
      </vt:variant>
      <vt:variant>
        <vt:lpwstr>_Toc93492870</vt:lpwstr>
      </vt:variant>
      <vt:variant>
        <vt:i4>1179705</vt:i4>
      </vt:variant>
      <vt:variant>
        <vt:i4>8</vt:i4>
      </vt:variant>
      <vt:variant>
        <vt:i4>0</vt:i4>
      </vt:variant>
      <vt:variant>
        <vt:i4>5</vt:i4>
      </vt:variant>
      <vt:variant>
        <vt:lpwstr/>
      </vt:variant>
      <vt:variant>
        <vt:lpwstr>_Toc93492867</vt:lpwstr>
      </vt:variant>
      <vt:variant>
        <vt:i4>1114169</vt:i4>
      </vt:variant>
      <vt:variant>
        <vt:i4>2</vt:i4>
      </vt:variant>
      <vt:variant>
        <vt:i4>0</vt:i4>
      </vt:variant>
      <vt:variant>
        <vt:i4>5</vt:i4>
      </vt:variant>
      <vt:variant>
        <vt:lpwstr/>
      </vt:variant>
      <vt:variant>
        <vt:lpwstr>_Toc93492864</vt:lpwstr>
      </vt:variant>
      <vt:variant>
        <vt:i4>4063346</vt:i4>
      </vt:variant>
      <vt:variant>
        <vt:i4>3</vt:i4>
      </vt:variant>
      <vt:variant>
        <vt:i4>0</vt:i4>
      </vt:variant>
      <vt:variant>
        <vt:i4>5</vt:i4>
      </vt:variant>
      <vt:variant>
        <vt:lpwstr>https://www.health.gov.au/news/australian-health-protection-principal-committee-ahppc-statement-on-covid-19-routine-testing-of-hotel-quarantine-workers</vt:lpwstr>
      </vt:variant>
      <vt:variant>
        <vt:lpwstr/>
      </vt:variant>
      <vt:variant>
        <vt:i4>7995446</vt:i4>
      </vt:variant>
      <vt:variant>
        <vt:i4>0</vt:i4>
      </vt:variant>
      <vt:variant>
        <vt:i4>0</vt:i4>
      </vt:variant>
      <vt:variant>
        <vt:i4>5</vt:i4>
      </vt:variant>
      <vt:variant>
        <vt:lpwstr>https://www.who.int/news-room/commentaries/detail/status-of-environmental-surveillance-for-sars-cov-2-virus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2022-03-01T05:44:00Z</dcterms:created>
  <dcterms:modified xsi:type="dcterms:W3CDTF">2022-03-08T04:03:00Z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12eb2-6149-449a-be2a-a95688ccd13f_Enabled">
    <vt:lpwstr>true</vt:lpwstr>
  </property>
  <property fmtid="{D5CDD505-2E9C-101B-9397-08002B2CF9AE}" pid="3" name="MSIP_Label_0c712eb2-6149-449a-be2a-a95688ccd13f_SetDate">
    <vt:lpwstr>2021-11-15T05:53:19Z</vt:lpwstr>
  </property>
  <property fmtid="{D5CDD505-2E9C-101B-9397-08002B2CF9AE}" pid="4" name="MSIP_Label_0c712eb2-6149-449a-be2a-a95688ccd13f_Method">
    <vt:lpwstr>Privileged</vt:lpwstr>
  </property>
  <property fmtid="{D5CDD505-2E9C-101B-9397-08002B2CF9AE}" pid="5" name="MSIP_Label_0c712eb2-6149-449a-be2a-a95688ccd13f_Name">
    <vt:lpwstr>0c712eb2-6149-449a-be2a-a95688ccd13f</vt:lpwstr>
  </property>
  <property fmtid="{D5CDD505-2E9C-101B-9397-08002B2CF9AE}" pid="6" name="MSIP_Label_0c712eb2-6149-449a-be2a-a95688ccd13f_SiteId">
    <vt:lpwstr>c0e0601f-0fac-449c-9c88-a104c4eb9f28</vt:lpwstr>
  </property>
  <property fmtid="{D5CDD505-2E9C-101B-9397-08002B2CF9AE}" pid="7" name="MSIP_Label_0c712eb2-6149-449a-be2a-a95688ccd13f_ActionId">
    <vt:lpwstr>650e6a75-fe95-47be-8ea8-a52de837287d</vt:lpwstr>
  </property>
  <property fmtid="{D5CDD505-2E9C-101B-9397-08002B2CF9AE}" pid="8" name="MSIP_Label_0c712eb2-6149-449a-be2a-a95688ccd13f_ContentBits">
    <vt:lpwstr>2</vt:lpwstr>
  </property>
  <property fmtid="{D5CDD505-2E9C-101B-9397-08002B2CF9AE}" pid="9" name="ContentTypeId">
    <vt:lpwstr>0x010100DBF22E431BBE12409AFF64C86A6197B7</vt:lpwstr>
  </property>
</Properties>
</file>