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041C5" w14:textId="1AAAD82C" w:rsidR="00280050" w:rsidRPr="00A956BF" w:rsidRDefault="008A0D89" w:rsidP="00DE27DD">
      <w:pPr>
        <w:pStyle w:val="Heading3"/>
        <w:rPr>
          <w:color w:val="auto"/>
        </w:rPr>
      </w:pPr>
      <w:r>
        <w:rPr>
          <w:color w:val="auto"/>
        </w:rPr>
        <w:t xml:space="preserve"> </w:t>
      </w:r>
      <w:r w:rsidR="001749D5">
        <w:rPr>
          <w:color w:val="auto"/>
        </w:rPr>
        <w:t>2.3</w:t>
      </w:r>
      <w:r w:rsidR="006F17D4" w:rsidRPr="00A956BF">
        <w:rPr>
          <w:color w:val="auto"/>
        </w:rPr>
        <w:t xml:space="preserve"> </w:t>
      </w:r>
      <w:r w:rsidR="006F17D4" w:rsidRPr="00A956BF">
        <w:rPr>
          <w:color w:val="auto"/>
        </w:rPr>
        <w:tab/>
        <w:t>Budgeted Expenses</w:t>
      </w:r>
      <w:r w:rsidR="00523E25" w:rsidRPr="00A956BF">
        <w:rPr>
          <w:color w:val="auto"/>
        </w:rPr>
        <w:t xml:space="preserve"> and Performance for Outcome 3</w:t>
      </w:r>
    </w:p>
    <w:tbl>
      <w:tblPr>
        <w:tblStyle w:val="TableGrid"/>
        <w:tblW w:w="0" w:type="auto"/>
        <w:jc w:val="center"/>
        <w:tblLayout w:type="fixed"/>
        <w:tblLook w:val="04A0" w:firstRow="1" w:lastRow="0" w:firstColumn="1" w:lastColumn="0" w:noHBand="0" w:noVBand="1"/>
      </w:tblPr>
      <w:tblGrid>
        <w:gridCol w:w="7586"/>
      </w:tblGrid>
      <w:tr w:rsidR="00A956BF" w:rsidRPr="00A956BF" w14:paraId="4E92196E" w14:textId="77777777" w:rsidTr="00455ACD">
        <w:trPr>
          <w:trHeight w:val="829"/>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7FC55" w14:textId="77777777" w:rsidR="006F17D4" w:rsidRPr="00A956BF" w:rsidRDefault="00D26B6C" w:rsidP="00173E41">
            <w:pPr>
              <w:pStyle w:val="OutcomeStatement"/>
              <w:pBdr>
                <w:top w:val="none" w:sz="0" w:space="0" w:color="auto"/>
                <w:left w:val="none" w:sz="0" w:space="0" w:color="auto"/>
                <w:bottom w:val="none" w:sz="0" w:space="0" w:color="auto"/>
                <w:right w:val="none" w:sz="0" w:space="0" w:color="auto"/>
              </w:pBdr>
              <w:spacing w:before="40" w:after="120"/>
              <w:rPr>
                <w:b/>
                <w:color w:val="auto"/>
                <w:sz w:val="22"/>
                <w:szCs w:val="22"/>
                <w:highlight w:val="yellow"/>
              </w:rPr>
            </w:pPr>
            <w:r w:rsidRPr="00A956BF">
              <w:rPr>
                <w:b/>
                <w:color w:val="auto"/>
                <w:sz w:val="22"/>
                <w:szCs w:val="22"/>
              </w:rPr>
              <w:t>Outcome 3</w:t>
            </w:r>
            <w:r w:rsidR="006F17D4" w:rsidRPr="00A956BF">
              <w:rPr>
                <w:b/>
                <w:color w:val="auto"/>
                <w:sz w:val="22"/>
                <w:szCs w:val="22"/>
              </w:rPr>
              <w:t xml:space="preserve">: </w:t>
            </w:r>
            <w:r w:rsidRPr="00A956BF">
              <w:rPr>
                <w:b/>
                <w:color w:val="auto"/>
                <w:sz w:val="22"/>
                <w:szCs w:val="22"/>
              </w:rPr>
              <w:t>Ageing and Aged Care</w:t>
            </w:r>
          </w:p>
          <w:p w14:paraId="49E418A4" w14:textId="3AA32F82" w:rsidR="00F54A50" w:rsidRPr="00A956BF" w:rsidRDefault="00D26B6C" w:rsidP="00173E41">
            <w:pPr>
              <w:pStyle w:val="OutcomeStatement"/>
              <w:pBdr>
                <w:top w:val="none" w:sz="0" w:space="0" w:color="auto"/>
                <w:left w:val="none" w:sz="0" w:space="0" w:color="auto"/>
                <w:bottom w:val="none" w:sz="0" w:space="0" w:color="auto"/>
                <w:right w:val="none" w:sz="0" w:space="0" w:color="auto"/>
              </w:pBdr>
              <w:spacing w:after="40"/>
              <w:rPr>
                <w:rFonts w:cs="Arial"/>
                <w:color w:val="auto"/>
              </w:rPr>
            </w:pPr>
            <w:r w:rsidRPr="00A956BF">
              <w:rPr>
                <w:rFonts w:cs="Arial"/>
                <w:color w:val="auto"/>
              </w:rPr>
              <w:t>Improved wellbeing for senior Australians through targeted support, access to appropriate, high quality care, and related information services</w:t>
            </w:r>
          </w:p>
        </w:tc>
      </w:tr>
    </w:tbl>
    <w:p w14:paraId="55E6603C" w14:textId="77777777" w:rsidR="006F17D4" w:rsidRDefault="006F17D4" w:rsidP="00DE27DD">
      <w:pPr>
        <w:pStyle w:val="Heading4"/>
        <w:rPr>
          <w:color w:val="auto"/>
        </w:rPr>
      </w:pPr>
      <w:r w:rsidRPr="00A956BF">
        <w:rPr>
          <w:color w:val="auto"/>
        </w:rPr>
        <w:t>Pr</w:t>
      </w:r>
      <w:r w:rsidR="00523E25" w:rsidRPr="00A956BF">
        <w:rPr>
          <w:color w:val="auto"/>
        </w:rPr>
        <w:t>ograms Contributing to Outcome 3</w:t>
      </w:r>
    </w:p>
    <w:p w14:paraId="57C26E3F" w14:textId="7D7AB37E" w:rsidR="006F17D4" w:rsidRPr="00A956BF" w:rsidRDefault="00D26B6C" w:rsidP="004E1957">
      <w:pPr>
        <w:pStyle w:val="ProgramContributingNames"/>
        <w:rPr>
          <w:color w:val="auto"/>
        </w:rPr>
      </w:pPr>
      <w:r w:rsidRPr="00A956BF">
        <w:rPr>
          <w:color w:val="auto"/>
        </w:rPr>
        <w:t>Program 3</w:t>
      </w:r>
      <w:r w:rsidR="00207AAE" w:rsidRPr="00A956BF">
        <w:rPr>
          <w:color w:val="auto"/>
        </w:rPr>
        <w:t>.1:</w:t>
      </w:r>
      <w:r w:rsidR="00207AAE" w:rsidRPr="00A956BF">
        <w:rPr>
          <w:color w:val="auto"/>
        </w:rPr>
        <w:tab/>
      </w:r>
      <w:r w:rsidRPr="00A956BF">
        <w:rPr>
          <w:color w:val="auto"/>
        </w:rPr>
        <w:t>Access and Information</w:t>
      </w:r>
      <w:r w:rsidR="00BF2952">
        <w:rPr>
          <w:color w:val="auto"/>
        </w:rPr>
        <w:t xml:space="preserve"> </w:t>
      </w:r>
    </w:p>
    <w:p w14:paraId="590C4D04" w14:textId="6B9BFE0B" w:rsidR="00207AAE" w:rsidRPr="00A956BF" w:rsidRDefault="00207AAE" w:rsidP="004E1957">
      <w:pPr>
        <w:pStyle w:val="ProgramContributingNames"/>
        <w:rPr>
          <w:color w:val="auto"/>
        </w:rPr>
      </w:pPr>
      <w:r w:rsidRPr="00A956BF">
        <w:rPr>
          <w:color w:val="auto"/>
        </w:rPr>
        <w:t>Program</w:t>
      </w:r>
      <w:r w:rsidR="00D26B6C" w:rsidRPr="00A956BF">
        <w:rPr>
          <w:color w:val="auto"/>
        </w:rPr>
        <w:t xml:space="preserve"> 3</w:t>
      </w:r>
      <w:r w:rsidRPr="00A956BF">
        <w:rPr>
          <w:color w:val="auto"/>
        </w:rPr>
        <w:t>.2:</w:t>
      </w:r>
      <w:r w:rsidRPr="00A956BF">
        <w:rPr>
          <w:color w:val="auto"/>
        </w:rPr>
        <w:tab/>
      </w:r>
      <w:r w:rsidR="00D26B6C" w:rsidRPr="00A956BF">
        <w:rPr>
          <w:color w:val="auto"/>
        </w:rPr>
        <w:t>Aged Care Services</w:t>
      </w:r>
      <w:r w:rsidR="00BF2952">
        <w:rPr>
          <w:color w:val="auto"/>
        </w:rPr>
        <w:t xml:space="preserve"> </w:t>
      </w:r>
    </w:p>
    <w:p w14:paraId="47F37309" w14:textId="417967AE" w:rsidR="00207AAE" w:rsidRPr="00A956BF" w:rsidRDefault="00207AAE" w:rsidP="004E1957">
      <w:pPr>
        <w:pStyle w:val="ProgramContributingNames"/>
        <w:rPr>
          <w:color w:val="auto"/>
        </w:rPr>
      </w:pPr>
      <w:r w:rsidRPr="00A956BF">
        <w:rPr>
          <w:color w:val="auto"/>
        </w:rPr>
        <w:t>Program</w:t>
      </w:r>
      <w:r w:rsidR="00D26B6C" w:rsidRPr="00A956BF">
        <w:rPr>
          <w:color w:val="auto"/>
        </w:rPr>
        <w:t xml:space="preserve"> 3</w:t>
      </w:r>
      <w:r w:rsidRPr="00A956BF">
        <w:rPr>
          <w:color w:val="auto"/>
        </w:rPr>
        <w:t>.3:</w:t>
      </w:r>
      <w:r w:rsidRPr="00A956BF">
        <w:rPr>
          <w:color w:val="auto"/>
        </w:rPr>
        <w:tab/>
      </w:r>
      <w:r w:rsidR="00D26B6C" w:rsidRPr="00A956BF">
        <w:rPr>
          <w:color w:val="auto"/>
        </w:rPr>
        <w:t>Aged Care Quality</w:t>
      </w:r>
      <w:r w:rsidR="00BF2952">
        <w:rPr>
          <w:color w:val="auto"/>
        </w:rPr>
        <w:t xml:space="preserve"> </w:t>
      </w:r>
    </w:p>
    <w:p w14:paraId="592E2350" w14:textId="69A23890" w:rsidR="00F54A50" w:rsidRPr="008D21BC" w:rsidRDefault="00207AAE" w:rsidP="008D21BC">
      <w:pPr>
        <w:pStyle w:val="Heading4"/>
        <w:rPr>
          <w:color w:val="auto"/>
        </w:rPr>
      </w:pPr>
      <w:r w:rsidRPr="00A956BF">
        <w:rPr>
          <w:color w:val="auto"/>
        </w:rPr>
        <w:t>Linked Programs</w:t>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A956BF" w:rsidRPr="00A956BF" w14:paraId="572BD004" w14:textId="77777777" w:rsidTr="00450259">
        <w:trPr>
          <w:tblHeader/>
          <w:jc w:val="center"/>
        </w:trPr>
        <w:tc>
          <w:tcPr>
            <w:tcW w:w="7677" w:type="dxa"/>
            <w:shd w:val="clear" w:color="auto" w:fill="D9D9D9" w:themeFill="background1" w:themeFillShade="D9"/>
          </w:tcPr>
          <w:p w14:paraId="5A0D9C23" w14:textId="77777777" w:rsidR="00207AAE" w:rsidRPr="00A956BF" w:rsidRDefault="00207AAE" w:rsidP="00DE27DD">
            <w:pPr>
              <w:pStyle w:val="Tableheadingrow9pt"/>
              <w:rPr>
                <w:color w:val="auto"/>
              </w:rPr>
            </w:pPr>
            <w:r w:rsidRPr="00A956BF">
              <w:rPr>
                <w:color w:val="auto"/>
              </w:rPr>
              <w:t>Other Commonwealth entit</w:t>
            </w:r>
            <w:r w:rsidR="00523E25" w:rsidRPr="00A956BF">
              <w:rPr>
                <w:color w:val="auto"/>
              </w:rPr>
              <w:t>ies that contribute to Outcome 3</w:t>
            </w:r>
          </w:p>
        </w:tc>
      </w:tr>
      <w:tr w:rsidR="00A956BF" w:rsidRPr="00A956BF" w14:paraId="0605A02A" w14:textId="77777777" w:rsidTr="00450259">
        <w:trPr>
          <w:jc w:val="center"/>
        </w:trPr>
        <w:tc>
          <w:tcPr>
            <w:tcW w:w="7677" w:type="dxa"/>
          </w:tcPr>
          <w:p w14:paraId="46D81979" w14:textId="77777777" w:rsidR="00207AAE" w:rsidRPr="00A956BF" w:rsidRDefault="00562F06" w:rsidP="00DE27DD">
            <w:pPr>
              <w:pStyle w:val="Tableheadingrow9pt"/>
              <w:keepNext/>
              <w:rPr>
                <w:color w:val="auto"/>
              </w:rPr>
            </w:pPr>
            <w:r w:rsidRPr="00A956BF">
              <w:rPr>
                <w:color w:val="auto"/>
              </w:rPr>
              <w:t>Aged Care Quality and Safety Commission (ACQSC)</w:t>
            </w:r>
            <w:r w:rsidR="00207AAE" w:rsidRPr="00A956BF">
              <w:rPr>
                <w:rStyle w:val="FootnoteReference"/>
                <w:color w:val="auto"/>
              </w:rPr>
              <w:footnoteReference w:id="1"/>
            </w:r>
          </w:p>
          <w:p w14:paraId="6B55FFA3" w14:textId="77777777" w:rsidR="00562F06" w:rsidRPr="00A956BF" w:rsidRDefault="00562F06" w:rsidP="00DE27DD">
            <w:pPr>
              <w:rPr>
                <w:b/>
                <w:color w:val="auto"/>
              </w:rPr>
            </w:pPr>
            <w:r w:rsidRPr="00A956BF">
              <w:rPr>
                <w:b/>
                <w:color w:val="auto"/>
              </w:rPr>
              <w:t>Program 1.1: Quality Aged Care Services</w:t>
            </w:r>
          </w:p>
          <w:p w14:paraId="5D3CF165" w14:textId="77777777" w:rsidR="00207AAE" w:rsidRPr="00A956BF" w:rsidRDefault="00562F06" w:rsidP="00DE27DD">
            <w:pPr>
              <w:rPr>
                <w:color w:val="auto"/>
              </w:rPr>
            </w:pPr>
            <w:r w:rsidRPr="00A956BF">
              <w:rPr>
                <w:color w:val="auto"/>
              </w:rPr>
              <w:t>As the national regulator of aged care services subsidised by the Australian Government, ACQSC’s role is to approve providers’ entry to the aged care system, to accredit, assess and monitor aged care services against requirements, and to hold services to account for meeting their obligations. The ACQSC seeks to resolve complaints about aged care services and to provide education and information about its functions. The ACQSC also engages with consumers to understand their experiences and provide advice to providers about working with consumers in designing and delivering best practice care (3.3).</w:t>
            </w:r>
          </w:p>
        </w:tc>
      </w:tr>
      <w:tr w:rsidR="00A956BF" w:rsidRPr="00A956BF" w14:paraId="4BED602B" w14:textId="77777777" w:rsidTr="00450259">
        <w:trPr>
          <w:jc w:val="center"/>
        </w:trPr>
        <w:tc>
          <w:tcPr>
            <w:tcW w:w="7677" w:type="dxa"/>
          </w:tcPr>
          <w:p w14:paraId="20DE1106" w14:textId="77777777" w:rsidR="00144BF1" w:rsidRPr="00A956BF" w:rsidRDefault="00562F06" w:rsidP="00562F06">
            <w:pPr>
              <w:pStyle w:val="Default"/>
              <w:spacing w:before="40" w:after="40"/>
              <w:rPr>
                <w:b/>
                <w:bCs/>
                <w:color w:val="auto"/>
                <w:sz w:val="18"/>
                <w:szCs w:val="18"/>
              </w:rPr>
            </w:pPr>
            <w:r w:rsidRPr="00A956BF">
              <w:rPr>
                <w:b/>
                <w:bCs/>
                <w:color w:val="auto"/>
                <w:sz w:val="18"/>
                <w:szCs w:val="18"/>
              </w:rPr>
              <w:t>Department of Social Services (DSS)</w:t>
            </w:r>
          </w:p>
          <w:p w14:paraId="023FDBA4" w14:textId="77777777" w:rsidR="00562F06" w:rsidRPr="00A956BF" w:rsidRDefault="00562F06" w:rsidP="00562F06">
            <w:pPr>
              <w:pStyle w:val="Default"/>
              <w:spacing w:before="40" w:after="40"/>
              <w:rPr>
                <w:color w:val="auto"/>
                <w:sz w:val="18"/>
                <w:szCs w:val="18"/>
              </w:rPr>
            </w:pPr>
            <w:r w:rsidRPr="00A956BF">
              <w:rPr>
                <w:b/>
                <w:bCs/>
                <w:color w:val="auto"/>
                <w:sz w:val="18"/>
                <w:szCs w:val="18"/>
              </w:rPr>
              <w:t>Program 3.1: Disability and Carers</w:t>
            </w:r>
          </w:p>
          <w:p w14:paraId="66D9C87D" w14:textId="77777777" w:rsidR="00207AAE" w:rsidRPr="00A956BF" w:rsidRDefault="00562F06" w:rsidP="00562F06">
            <w:pPr>
              <w:rPr>
                <w:color w:val="auto"/>
              </w:rPr>
            </w:pPr>
            <w:r w:rsidRPr="00A956BF">
              <w:rPr>
                <w:color w:val="auto"/>
              </w:rPr>
              <w:t xml:space="preserve">DSS provides assistance, support and services for people with </w:t>
            </w:r>
            <w:r w:rsidR="00AE5838" w:rsidRPr="00A956BF">
              <w:rPr>
                <w:color w:val="auto"/>
              </w:rPr>
              <w:t>disabil</w:t>
            </w:r>
            <w:r w:rsidR="00DA0267" w:rsidRPr="00A956BF">
              <w:rPr>
                <w:color w:val="auto"/>
              </w:rPr>
              <w:t xml:space="preserve">ity and their carers </w:t>
            </w:r>
            <w:r w:rsidR="006906BA" w:rsidRPr="00A956BF">
              <w:rPr>
                <w:color w:val="auto"/>
              </w:rPr>
              <w:t>(3.1, </w:t>
            </w:r>
            <w:r w:rsidR="00DA0267" w:rsidRPr="00A956BF">
              <w:rPr>
                <w:color w:val="auto"/>
              </w:rPr>
              <w:t>3.2 and</w:t>
            </w:r>
            <w:r w:rsidR="00AE5838" w:rsidRPr="00A956BF">
              <w:rPr>
                <w:color w:val="auto"/>
              </w:rPr>
              <w:t xml:space="preserve"> 3</w:t>
            </w:r>
            <w:r w:rsidRPr="00A956BF">
              <w:rPr>
                <w:color w:val="auto"/>
              </w:rPr>
              <w:t xml:space="preserve">.3). </w:t>
            </w:r>
          </w:p>
        </w:tc>
      </w:tr>
      <w:tr w:rsidR="00A956BF" w:rsidRPr="00A956BF" w14:paraId="73F9D7FA" w14:textId="77777777" w:rsidTr="00450259">
        <w:trPr>
          <w:jc w:val="center"/>
        </w:trPr>
        <w:tc>
          <w:tcPr>
            <w:tcW w:w="7677" w:type="dxa"/>
          </w:tcPr>
          <w:p w14:paraId="6C8F2CA8" w14:textId="77777777" w:rsidR="00AE5838" w:rsidRPr="00A956BF" w:rsidRDefault="00AE5838" w:rsidP="00AE5838">
            <w:pPr>
              <w:pStyle w:val="Default"/>
              <w:spacing w:before="40" w:after="40"/>
              <w:rPr>
                <w:color w:val="auto"/>
                <w:sz w:val="18"/>
                <w:szCs w:val="18"/>
              </w:rPr>
            </w:pPr>
            <w:r w:rsidRPr="00A956BF">
              <w:rPr>
                <w:b/>
                <w:bCs/>
                <w:color w:val="auto"/>
                <w:sz w:val="18"/>
                <w:szCs w:val="18"/>
              </w:rPr>
              <w:t xml:space="preserve">Department of the Treasury (Treasury) </w:t>
            </w:r>
          </w:p>
          <w:p w14:paraId="4BB11D78" w14:textId="77777777" w:rsidR="00AE5838" w:rsidRPr="00A956BF" w:rsidRDefault="00AE5838" w:rsidP="00AE5838">
            <w:pPr>
              <w:pStyle w:val="Default"/>
              <w:spacing w:before="40" w:after="40"/>
              <w:rPr>
                <w:color w:val="auto"/>
                <w:sz w:val="18"/>
                <w:szCs w:val="18"/>
              </w:rPr>
            </w:pPr>
            <w:r w:rsidRPr="00A956BF">
              <w:rPr>
                <w:b/>
                <w:bCs/>
                <w:color w:val="auto"/>
                <w:sz w:val="18"/>
                <w:szCs w:val="18"/>
              </w:rPr>
              <w:t>Program 1.9: National Partnership Payments to the States</w:t>
            </w:r>
          </w:p>
          <w:p w14:paraId="0F02A829" w14:textId="47D9D3DC" w:rsidR="00AE5838" w:rsidRPr="00320F18" w:rsidRDefault="00AE5838" w:rsidP="004C6EF9">
            <w:pPr>
              <w:pStyle w:val="Default"/>
              <w:spacing w:before="40" w:after="40"/>
              <w:rPr>
                <w:color w:val="auto"/>
                <w:sz w:val="18"/>
                <w:szCs w:val="18"/>
              </w:rPr>
            </w:pPr>
            <w:r w:rsidRPr="00A956BF">
              <w:rPr>
                <w:color w:val="auto"/>
                <w:sz w:val="18"/>
                <w:szCs w:val="18"/>
              </w:rPr>
              <w:t>Treasury provides financial assistance through National Partnership payments to state and territory governments as part of the Federal Financial Relations Framework</w:t>
            </w:r>
            <w:r w:rsidR="00DA0267" w:rsidRPr="00A956BF">
              <w:rPr>
                <w:color w:val="auto"/>
                <w:sz w:val="18"/>
                <w:szCs w:val="18"/>
              </w:rPr>
              <w:t>.</w:t>
            </w:r>
            <w:r w:rsidRPr="00A956BF">
              <w:rPr>
                <w:rStyle w:val="FootnoteReference"/>
                <w:color w:val="auto"/>
                <w:sz w:val="18"/>
                <w:szCs w:val="18"/>
              </w:rPr>
              <w:footnoteReference w:id="2"/>
            </w:r>
            <w:r w:rsidRPr="00A956BF">
              <w:rPr>
                <w:color w:val="auto"/>
                <w:sz w:val="12"/>
                <w:szCs w:val="12"/>
              </w:rPr>
              <w:t xml:space="preserve"> </w:t>
            </w:r>
            <w:r w:rsidR="009C343F">
              <w:rPr>
                <w:color w:val="auto"/>
                <w:sz w:val="12"/>
                <w:szCs w:val="12"/>
              </w:rPr>
              <w:br/>
            </w:r>
            <w:r w:rsidRPr="00A956BF">
              <w:rPr>
                <w:color w:val="auto"/>
                <w:sz w:val="18"/>
                <w:szCs w:val="18"/>
              </w:rPr>
              <w:t>Activities funded through the National Partnership Agreements inc</w:t>
            </w:r>
            <w:r w:rsidR="004C6EF9">
              <w:rPr>
                <w:color w:val="auto"/>
                <w:sz w:val="18"/>
                <w:szCs w:val="18"/>
              </w:rPr>
              <w:t xml:space="preserve">lude </w:t>
            </w:r>
            <w:r w:rsidR="00B22C27" w:rsidRPr="00A956BF">
              <w:rPr>
                <w:color w:val="auto"/>
                <w:sz w:val="18"/>
                <w:szCs w:val="18"/>
              </w:rPr>
              <w:t>t</w:t>
            </w:r>
            <w:r w:rsidRPr="00A956BF">
              <w:rPr>
                <w:color w:val="auto"/>
                <w:sz w:val="18"/>
                <w:szCs w:val="18"/>
              </w:rPr>
              <w:t>he Specialist Dementia Care Program (3.2)</w:t>
            </w:r>
            <w:r w:rsidR="00F53BA5">
              <w:rPr>
                <w:color w:val="auto"/>
                <w:sz w:val="18"/>
                <w:szCs w:val="18"/>
              </w:rPr>
              <w:t>.</w:t>
            </w:r>
          </w:p>
        </w:tc>
      </w:tr>
      <w:tr w:rsidR="00A956BF" w:rsidRPr="00A956BF" w14:paraId="24A9EF68" w14:textId="77777777" w:rsidTr="00450259">
        <w:trPr>
          <w:jc w:val="center"/>
        </w:trPr>
        <w:tc>
          <w:tcPr>
            <w:tcW w:w="7677" w:type="dxa"/>
          </w:tcPr>
          <w:p w14:paraId="52DF7CAB" w14:textId="77777777" w:rsidR="00AE5838" w:rsidRPr="00A956BF" w:rsidRDefault="00AE5838" w:rsidP="00AE5838">
            <w:pPr>
              <w:pStyle w:val="Default"/>
              <w:spacing w:before="40" w:after="40"/>
              <w:rPr>
                <w:color w:val="auto"/>
                <w:sz w:val="18"/>
                <w:szCs w:val="18"/>
              </w:rPr>
            </w:pPr>
            <w:r w:rsidRPr="00A956BF">
              <w:rPr>
                <w:b/>
                <w:bCs/>
                <w:color w:val="auto"/>
                <w:sz w:val="18"/>
                <w:szCs w:val="18"/>
              </w:rPr>
              <w:t>Department of Veterans’ Affairs (DVA)</w:t>
            </w:r>
          </w:p>
          <w:p w14:paraId="62BE86DC" w14:textId="77777777" w:rsidR="00AE5838" w:rsidRPr="00A956BF" w:rsidRDefault="00AE5838" w:rsidP="00AE5838">
            <w:pPr>
              <w:pStyle w:val="Default"/>
              <w:spacing w:before="40" w:after="40"/>
              <w:rPr>
                <w:color w:val="auto"/>
                <w:sz w:val="18"/>
                <w:szCs w:val="18"/>
              </w:rPr>
            </w:pPr>
            <w:r w:rsidRPr="00A956BF">
              <w:rPr>
                <w:b/>
                <w:bCs/>
                <w:color w:val="auto"/>
                <w:sz w:val="18"/>
                <w:szCs w:val="18"/>
              </w:rPr>
              <w:t>Program 2.4: Veterans’ Community Care and Support</w:t>
            </w:r>
          </w:p>
          <w:p w14:paraId="42487E7D" w14:textId="28D0824D" w:rsidR="00FB1E5B" w:rsidRPr="00A956BF" w:rsidRDefault="00FB1E5B" w:rsidP="00FB1E5B">
            <w:pPr>
              <w:rPr>
                <w:rFonts w:eastAsiaTheme="minorHAnsi"/>
                <w:color w:val="auto"/>
                <w:lang w:eastAsia="en-US"/>
              </w:rPr>
            </w:pPr>
            <w:r w:rsidRPr="00A956BF">
              <w:rPr>
                <w:rFonts w:eastAsiaTheme="minorHAnsi"/>
                <w:color w:val="auto"/>
                <w:lang w:eastAsia="en-US"/>
              </w:rPr>
              <w:t xml:space="preserve">The program’s primary objective is to effectively manage community support and </w:t>
            </w:r>
            <w:r w:rsidR="00A65345">
              <w:rPr>
                <w:rFonts w:eastAsiaTheme="minorHAnsi"/>
                <w:color w:val="auto"/>
                <w:lang w:eastAsia="en-US"/>
              </w:rPr>
              <w:t>home</w:t>
            </w:r>
            <w:r w:rsidRPr="00A956BF">
              <w:rPr>
                <w:rFonts w:eastAsiaTheme="minorHAnsi"/>
                <w:color w:val="auto"/>
                <w:lang w:eastAsia="en-US"/>
              </w:rPr>
              <w:t xml:space="preserve"> care programs, including development and review of policy and operational guidelines and procedures, and assessment of program effectiveness.</w:t>
            </w:r>
          </w:p>
          <w:p w14:paraId="72294FB5" w14:textId="2BEDBCCD" w:rsidR="00FB1E5B" w:rsidRPr="00A956BF" w:rsidRDefault="00FB1E5B" w:rsidP="00FB1E5B">
            <w:pPr>
              <w:rPr>
                <w:rFonts w:eastAsiaTheme="minorHAnsi"/>
                <w:color w:val="auto"/>
                <w:lang w:eastAsia="en-US"/>
              </w:rPr>
            </w:pPr>
            <w:r w:rsidRPr="00A956BF">
              <w:rPr>
                <w:rFonts w:eastAsiaTheme="minorHAnsi"/>
                <w:color w:val="auto"/>
                <w:lang w:eastAsia="en-US"/>
              </w:rPr>
              <w:t>Veteran community care and support programs include</w:t>
            </w:r>
            <w:r w:rsidR="004C6EF9">
              <w:rPr>
                <w:rFonts w:eastAsiaTheme="minorHAnsi"/>
                <w:color w:val="auto"/>
                <w:lang w:eastAsia="en-US"/>
              </w:rPr>
              <w:t xml:space="preserve"> the Veterans’ Home Care (VHC) P</w:t>
            </w:r>
            <w:r w:rsidRPr="00A956BF">
              <w:rPr>
                <w:rFonts w:eastAsiaTheme="minorHAnsi"/>
                <w:color w:val="auto"/>
                <w:lang w:eastAsia="en-US"/>
              </w:rPr>
              <w:t>rogram and the Community Nursi</w:t>
            </w:r>
            <w:r w:rsidR="004C6EF9">
              <w:rPr>
                <w:rFonts w:eastAsiaTheme="minorHAnsi"/>
                <w:color w:val="auto"/>
                <w:lang w:eastAsia="en-US"/>
              </w:rPr>
              <w:t>ng P</w:t>
            </w:r>
            <w:r w:rsidRPr="00A956BF">
              <w:rPr>
                <w:rFonts w:eastAsiaTheme="minorHAnsi"/>
                <w:color w:val="auto"/>
                <w:lang w:eastAsia="en-US"/>
              </w:rPr>
              <w:t>rogram.</w:t>
            </w:r>
          </w:p>
          <w:p w14:paraId="35E3CBD7" w14:textId="77777777" w:rsidR="00FB1E5B" w:rsidRPr="00A956BF" w:rsidRDefault="00FB1E5B" w:rsidP="00FB1E5B">
            <w:pPr>
              <w:rPr>
                <w:rFonts w:eastAsiaTheme="minorHAnsi"/>
                <w:color w:val="auto"/>
                <w:lang w:eastAsia="en-US"/>
              </w:rPr>
            </w:pPr>
            <w:r w:rsidRPr="00A956BF">
              <w:rPr>
                <w:rFonts w:eastAsiaTheme="minorHAnsi"/>
                <w:color w:val="auto"/>
                <w:lang w:eastAsia="en-US"/>
              </w:rPr>
              <w:t>The objectives of the VHC and Community Nursing programs are to support clients to remain independent in their homes, and improve their quality of life and health. For many of the veteran community who are ageing and increasingly requiring higher levels of service, the provision of these services helps to delay entry into residential aged care and maximises independence.</w:t>
            </w:r>
          </w:p>
          <w:p w14:paraId="7F0FBEF5" w14:textId="77777777" w:rsidR="00FB1E5B" w:rsidRPr="00A956BF" w:rsidRDefault="00FB1E5B" w:rsidP="00FB1E5B">
            <w:pPr>
              <w:rPr>
                <w:rFonts w:eastAsiaTheme="minorHAnsi"/>
                <w:color w:val="auto"/>
                <w:lang w:eastAsia="en-US"/>
              </w:rPr>
            </w:pPr>
            <w:r w:rsidRPr="00A956BF">
              <w:rPr>
                <w:rFonts w:eastAsiaTheme="minorHAnsi"/>
                <w:color w:val="auto"/>
                <w:lang w:eastAsia="en-US"/>
              </w:rPr>
              <w:lastRenderedPageBreak/>
              <w:t>DVA also provides subsidies and supplements for clients who are no longer able to live independently and who enter residential aged care.</w:t>
            </w:r>
          </w:p>
          <w:p w14:paraId="1A1DC4A0" w14:textId="5B53F9A8" w:rsidR="00FB1E5B" w:rsidRPr="00A956BF" w:rsidRDefault="00FB1E5B" w:rsidP="00FB1E5B">
            <w:pPr>
              <w:rPr>
                <w:rFonts w:eastAsiaTheme="minorHAnsi"/>
                <w:color w:val="auto"/>
                <w:lang w:eastAsia="en-US"/>
              </w:rPr>
            </w:pPr>
            <w:r w:rsidRPr="00A956BF">
              <w:rPr>
                <w:rFonts w:eastAsiaTheme="minorHAnsi"/>
                <w:color w:val="auto"/>
                <w:lang w:eastAsia="en-US"/>
              </w:rPr>
              <w:t xml:space="preserve">Program 2.4 also funds a range of grants programs to assist in providing support </w:t>
            </w:r>
            <w:r w:rsidR="004C6EF9">
              <w:rPr>
                <w:rFonts w:eastAsiaTheme="minorHAnsi"/>
                <w:color w:val="auto"/>
                <w:lang w:eastAsia="en-US"/>
              </w:rPr>
              <w:t xml:space="preserve">to veterans and their families, including </w:t>
            </w:r>
            <w:r w:rsidRPr="00A956BF">
              <w:rPr>
                <w:rFonts w:eastAsiaTheme="minorHAnsi"/>
                <w:color w:val="auto"/>
                <w:lang w:eastAsia="en-US"/>
              </w:rPr>
              <w:t>the Veteran and Community Grants Program; Grants-in-Aid; and the Supporting Younger Veterans Grants Program.</w:t>
            </w:r>
          </w:p>
          <w:p w14:paraId="030CFF47" w14:textId="77777777" w:rsidR="00FB1E5B" w:rsidRPr="00A956BF" w:rsidRDefault="00FB1E5B" w:rsidP="0055133A">
            <w:pPr>
              <w:pStyle w:val="Default"/>
              <w:spacing w:before="40" w:after="40"/>
              <w:rPr>
                <w:color w:val="auto"/>
                <w:sz w:val="18"/>
                <w:szCs w:val="18"/>
              </w:rPr>
            </w:pPr>
            <w:r w:rsidRPr="00A956BF">
              <w:rPr>
                <w:color w:val="auto"/>
                <w:sz w:val="18"/>
                <w:szCs w:val="18"/>
              </w:rPr>
              <w:t xml:space="preserve">It also includes the Veteran Wellbeing Centres grants, which provide one-off funding for the development and implementation of </w:t>
            </w:r>
            <w:r w:rsidR="00ED36FB" w:rsidRPr="00A956BF">
              <w:rPr>
                <w:color w:val="auto"/>
                <w:sz w:val="18"/>
                <w:szCs w:val="18"/>
              </w:rPr>
              <w:t>6</w:t>
            </w:r>
            <w:r w:rsidRPr="00A956BF">
              <w:rPr>
                <w:color w:val="auto"/>
                <w:sz w:val="18"/>
                <w:szCs w:val="18"/>
              </w:rPr>
              <w:t xml:space="preserve"> Veteran Wellbeing Centres to provide services and support based on local needs and opportunities </w:t>
            </w:r>
            <w:r w:rsidR="00AE5838" w:rsidRPr="00A956BF">
              <w:rPr>
                <w:color w:val="auto"/>
                <w:sz w:val="18"/>
                <w:szCs w:val="18"/>
              </w:rPr>
              <w:t>(3.2).</w:t>
            </w:r>
          </w:p>
        </w:tc>
      </w:tr>
      <w:tr w:rsidR="00A956BF" w:rsidRPr="00A956BF" w14:paraId="534263F5" w14:textId="77777777" w:rsidTr="00450259">
        <w:trPr>
          <w:jc w:val="center"/>
        </w:trPr>
        <w:tc>
          <w:tcPr>
            <w:tcW w:w="7677" w:type="dxa"/>
          </w:tcPr>
          <w:p w14:paraId="26522D7F" w14:textId="77777777" w:rsidR="0055133A" w:rsidRPr="00A956BF" w:rsidRDefault="0055133A" w:rsidP="00FC3CB5">
            <w:pPr>
              <w:pStyle w:val="Tableheadingrow9pt"/>
              <w:keepNext/>
              <w:rPr>
                <w:color w:val="auto"/>
              </w:rPr>
            </w:pPr>
            <w:r w:rsidRPr="00A956BF">
              <w:rPr>
                <w:color w:val="auto"/>
              </w:rPr>
              <w:lastRenderedPageBreak/>
              <w:t>Independent Hospital Pricing Authority (IHPA)</w:t>
            </w:r>
            <w:r w:rsidR="003E099E" w:rsidRPr="00A956BF">
              <w:rPr>
                <w:rStyle w:val="FootnoteReference"/>
                <w:color w:val="auto"/>
              </w:rPr>
              <w:footnoteReference w:id="3"/>
            </w:r>
          </w:p>
          <w:p w14:paraId="39A81AE8" w14:textId="77777777" w:rsidR="0055133A" w:rsidRPr="00A956BF" w:rsidRDefault="0055133A" w:rsidP="00FC3CB5">
            <w:pPr>
              <w:pStyle w:val="Tableheadingrow9pt"/>
              <w:keepNext/>
              <w:rPr>
                <w:color w:val="auto"/>
              </w:rPr>
            </w:pPr>
            <w:r w:rsidRPr="00A956BF">
              <w:rPr>
                <w:color w:val="auto"/>
              </w:rPr>
              <w:t>Program 1.1: Public Hospital Price Determinations</w:t>
            </w:r>
          </w:p>
          <w:p w14:paraId="011D11D9" w14:textId="1402D687" w:rsidR="0055133A" w:rsidRPr="00A956BF" w:rsidRDefault="008D6876" w:rsidP="005A7BF5">
            <w:pPr>
              <w:rPr>
                <w:b/>
                <w:bCs/>
                <w:color w:val="auto"/>
              </w:rPr>
            </w:pPr>
            <w:r w:rsidRPr="00A956BF">
              <w:rPr>
                <w:color w:val="auto"/>
              </w:rPr>
              <w:t xml:space="preserve">IHPA </w:t>
            </w:r>
            <w:r>
              <w:rPr>
                <w:color w:val="auto"/>
              </w:rPr>
              <w:t xml:space="preserve">will </w:t>
            </w:r>
            <w:r w:rsidRPr="00A956BF">
              <w:rPr>
                <w:color w:val="auto"/>
              </w:rPr>
              <w:t xml:space="preserve">provide independent advice on aged care pricing issues, including the new Australian National Aged Care Classification (AN-ACC) funding model in residential care </w:t>
            </w:r>
            <w:r>
              <w:rPr>
                <w:color w:val="auto"/>
              </w:rPr>
              <w:t>to ensure that the model and annual funding increases are informed by the efficient cost of delivering care</w:t>
            </w:r>
            <w:r w:rsidR="005A7BF5">
              <w:rPr>
                <w:color w:val="auto"/>
              </w:rPr>
              <w:t xml:space="preserve"> </w:t>
            </w:r>
            <w:r w:rsidR="005A7BF5" w:rsidRPr="00A956BF">
              <w:rPr>
                <w:color w:val="auto"/>
              </w:rPr>
              <w:t>(3.2)</w:t>
            </w:r>
            <w:r>
              <w:rPr>
                <w:color w:val="auto"/>
              </w:rPr>
              <w:t>.</w:t>
            </w:r>
          </w:p>
        </w:tc>
      </w:tr>
      <w:tr w:rsidR="00A956BF" w:rsidRPr="00A956BF" w14:paraId="60E34AA7" w14:textId="77777777" w:rsidTr="00450259">
        <w:trPr>
          <w:jc w:val="center"/>
        </w:trPr>
        <w:tc>
          <w:tcPr>
            <w:tcW w:w="7677" w:type="dxa"/>
          </w:tcPr>
          <w:p w14:paraId="68AB608B" w14:textId="77777777" w:rsidR="00385570" w:rsidRPr="00BA14F4" w:rsidRDefault="00385570" w:rsidP="008A0D89">
            <w:pPr>
              <w:autoSpaceDE w:val="0"/>
              <w:autoSpaceDN w:val="0"/>
              <w:adjustRightInd w:val="0"/>
              <w:spacing w:line="276" w:lineRule="auto"/>
              <w:rPr>
                <w:rFonts w:eastAsiaTheme="minorHAnsi"/>
                <w:b/>
                <w:bCs/>
                <w:iCs/>
                <w:color w:val="auto"/>
                <w:lang w:eastAsia="en-US"/>
              </w:rPr>
            </w:pPr>
            <w:r w:rsidRPr="00BA14F4">
              <w:rPr>
                <w:rFonts w:eastAsiaTheme="minorHAnsi"/>
                <w:b/>
                <w:bCs/>
                <w:iCs/>
                <w:color w:val="auto"/>
                <w:lang w:eastAsia="en-US"/>
              </w:rPr>
              <w:t>National Disability Insurance Agency (NDIA)</w:t>
            </w:r>
          </w:p>
          <w:p w14:paraId="11A3A51E" w14:textId="77777777" w:rsidR="00385570" w:rsidRPr="00BA14F4" w:rsidRDefault="00385570" w:rsidP="008A0D89">
            <w:pPr>
              <w:autoSpaceDE w:val="0"/>
              <w:autoSpaceDN w:val="0"/>
              <w:adjustRightInd w:val="0"/>
              <w:spacing w:line="276" w:lineRule="auto"/>
              <w:rPr>
                <w:rFonts w:eastAsiaTheme="minorHAnsi"/>
                <w:b/>
                <w:bCs/>
                <w:iCs/>
                <w:color w:val="auto"/>
                <w:lang w:eastAsia="en-US"/>
              </w:rPr>
            </w:pPr>
            <w:r w:rsidRPr="00BA14F4">
              <w:rPr>
                <w:rFonts w:eastAsiaTheme="minorHAnsi"/>
                <w:b/>
                <w:bCs/>
                <w:iCs/>
                <w:color w:val="auto"/>
                <w:lang w:eastAsia="en-US"/>
              </w:rPr>
              <w:t>Program 1.1: Reasonable and necessary support for participants</w:t>
            </w:r>
          </w:p>
          <w:p w14:paraId="782C91D3" w14:textId="6B16B873" w:rsidR="00FA5053" w:rsidRPr="00385570" w:rsidRDefault="00385570" w:rsidP="008A0D89">
            <w:pPr>
              <w:autoSpaceDE w:val="0"/>
              <w:autoSpaceDN w:val="0"/>
              <w:adjustRightInd w:val="0"/>
              <w:rPr>
                <w:rFonts w:eastAsiaTheme="minorHAnsi"/>
                <w:iCs/>
                <w:color w:val="auto"/>
                <w:lang w:eastAsia="en-US"/>
              </w:rPr>
            </w:pPr>
            <w:r w:rsidRPr="00385570">
              <w:rPr>
                <w:rFonts w:eastAsiaTheme="minorHAnsi"/>
                <w:iCs/>
                <w:color w:val="auto"/>
                <w:lang w:eastAsia="en-US"/>
              </w:rPr>
              <w:t>The NDIA has a cross billing agreement with the Department of Health to pay some fees and</w:t>
            </w:r>
            <w:r>
              <w:rPr>
                <w:rFonts w:eastAsiaTheme="minorHAnsi"/>
                <w:iCs/>
                <w:color w:val="auto"/>
                <w:lang w:eastAsia="en-US"/>
              </w:rPr>
              <w:t xml:space="preserve"> </w:t>
            </w:r>
            <w:r w:rsidRPr="00385570">
              <w:rPr>
                <w:rFonts w:eastAsiaTheme="minorHAnsi"/>
                <w:iCs/>
                <w:color w:val="auto"/>
                <w:lang w:eastAsia="en-US"/>
              </w:rPr>
              <w:t xml:space="preserve">charges for younger people in residential aged care who are </w:t>
            </w:r>
            <w:r w:rsidR="00AD7D75">
              <w:rPr>
                <w:rFonts w:eastAsiaTheme="minorHAnsi"/>
                <w:iCs/>
                <w:color w:val="auto"/>
                <w:lang w:eastAsia="en-US"/>
              </w:rPr>
              <w:t>National Disability Insurance Scheme (</w:t>
            </w:r>
            <w:r w:rsidRPr="00385570">
              <w:rPr>
                <w:rFonts w:eastAsiaTheme="minorHAnsi"/>
                <w:iCs/>
                <w:color w:val="auto"/>
                <w:lang w:eastAsia="en-US"/>
              </w:rPr>
              <w:t>NDIS</w:t>
            </w:r>
            <w:r w:rsidR="00AD7D75">
              <w:rPr>
                <w:rFonts w:eastAsiaTheme="minorHAnsi"/>
                <w:iCs/>
                <w:color w:val="auto"/>
                <w:lang w:eastAsia="en-US"/>
              </w:rPr>
              <w:t>)</w:t>
            </w:r>
            <w:r w:rsidRPr="00385570">
              <w:rPr>
                <w:rFonts w:eastAsiaTheme="minorHAnsi"/>
                <w:iCs/>
                <w:color w:val="auto"/>
                <w:lang w:eastAsia="en-US"/>
              </w:rPr>
              <w:t xml:space="preserve"> participants. This cross billing agreement includes payment of a participant’s basic care subsidy fee and accommodation supplement (3.2).</w:t>
            </w:r>
          </w:p>
        </w:tc>
      </w:tr>
      <w:tr w:rsidR="00FC2A3D" w:rsidRPr="00A956BF" w14:paraId="1C80A958" w14:textId="77777777" w:rsidTr="00450259">
        <w:trPr>
          <w:jc w:val="center"/>
        </w:trPr>
        <w:tc>
          <w:tcPr>
            <w:tcW w:w="7677" w:type="dxa"/>
          </w:tcPr>
          <w:p w14:paraId="49F59FAB" w14:textId="77777777" w:rsidR="00385570" w:rsidRPr="00A956BF" w:rsidRDefault="00385570" w:rsidP="00385570">
            <w:pPr>
              <w:pStyle w:val="Default"/>
              <w:keepNext/>
              <w:spacing w:before="40" w:after="40"/>
              <w:rPr>
                <w:color w:val="auto"/>
                <w:sz w:val="18"/>
                <w:szCs w:val="18"/>
              </w:rPr>
            </w:pPr>
            <w:r w:rsidRPr="00A956BF">
              <w:rPr>
                <w:b/>
                <w:bCs/>
                <w:color w:val="auto"/>
                <w:sz w:val="18"/>
                <w:szCs w:val="18"/>
              </w:rPr>
              <w:t>Services Australia</w:t>
            </w:r>
          </w:p>
          <w:p w14:paraId="6EFB4E0B" w14:textId="4BECAF5E" w:rsidR="00385570" w:rsidRPr="00A956BF" w:rsidRDefault="00385570" w:rsidP="00385570">
            <w:pPr>
              <w:pStyle w:val="Default"/>
              <w:keepNext/>
              <w:spacing w:before="40" w:after="40"/>
              <w:rPr>
                <w:color w:val="auto"/>
                <w:sz w:val="18"/>
                <w:szCs w:val="18"/>
              </w:rPr>
            </w:pPr>
            <w:r w:rsidRPr="00A956BF">
              <w:rPr>
                <w:b/>
                <w:bCs/>
                <w:color w:val="auto"/>
                <w:sz w:val="18"/>
                <w:szCs w:val="18"/>
              </w:rPr>
              <w:t xml:space="preserve">Program </w:t>
            </w:r>
            <w:r w:rsidR="00052E77">
              <w:rPr>
                <w:b/>
                <w:bCs/>
                <w:color w:val="auto"/>
                <w:sz w:val="18"/>
                <w:szCs w:val="18"/>
              </w:rPr>
              <w:t xml:space="preserve">1.2: Services to the Community </w:t>
            </w:r>
            <w:r w:rsidR="00A82F39">
              <w:rPr>
                <w:b/>
                <w:bCs/>
                <w:color w:val="auto"/>
                <w:sz w:val="18"/>
                <w:szCs w:val="18"/>
              </w:rPr>
              <w:sym w:font="Symbol" w:char="F02D"/>
            </w:r>
            <w:r w:rsidRPr="00A956BF">
              <w:rPr>
                <w:b/>
                <w:bCs/>
                <w:color w:val="auto"/>
                <w:sz w:val="18"/>
                <w:szCs w:val="18"/>
              </w:rPr>
              <w:t xml:space="preserve"> Health</w:t>
            </w:r>
          </w:p>
          <w:p w14:paraId="39EDDD8E" w14:textId="77777777" w:rsidR="00385570" w:rsidRPr="00A956BF" w:rsidRDefault="00385570" w:rsidP="00385570">
            <w:pPr>
              <w:pStyle w:val="Default"/>
              <w:keepNext/>
              <w:spacing w:before="40" w:after="40"/>
              <w:rPr>
                <w:color w:val="auto"/>
                <w:sz w:val="18"/>
                <w:szCs w:val="18"/>
              </w:rPr>
            </w:pPr>
            <w:r w:rsidRPr="00A956BF">
              <w:rPr>
                <w:color w:val="auto"/>
                <w:sz w:val="18"/>
                <w:szCs w:val="18"/>
              </w:rPr>
              <w:t>Services Australia works with the Department of Health to:</w:t>
            </w:r>
          </w:p>
          <w:p w14:paraId="7559573E" w14:textId="4C45EBD5" w:rsidR="00385570" w:rsidRPr="00A956BF" w:rsidRDefault="00385570" w:rsidP="008F5EE1">
            <w:pPr>
              <w:pStyle w:val="Default"/>
              <w:widowControl w:val="0"/>
              <w:numPr>
                <w:ilvl w:val="0"/>
                <w:numId w:val="18"/>
              </w:numPr>
              <w:adjustRightInd/>
              <w:ind w:left="284" w:hanging="284"/>
              <w:rPr>
                <w:color w:val="auto"/>
                <w:sz w:val="18"/>
                <w:szCs w:val="18"/>
              </w:rPr>
            </w:pPr>
            <w:r w:rsidRPr="00A956BF">
              <w:rPr>
                <w:color w:val="auto"/>
                <w:sz w:val="18"/>
                <w:szCs w:val="18"/>
              </w:rPr>
              <w:t xml:space="preserve">undertake income testing for </w:t>
            </w:r>
            <w:r>
              <w:rPr>
                <w:color w:val="auto"/>
                <w:sz w:val="18"/>
                <w:szCs w:val="18"/>
              </w:rPr>
              <w:t xml:space="preserve">home </w:t>
            </w:r>
            <w:r w:rsidRPr="00A956BF">
              <w:rPr>
                <w:color w:val="auto"/>
                <w:sz w:val="18"/>
                <w:szCs w:val="18"/>
              </w:rPr>
              <w:t>care recipients (3.2)</w:t>
            </w:r>
          </w:p>
          <w:p w14:paraId="7F74CA60" w14:textId="09651C0B" w:rsidR="00385570" w:rsidRPr="00A956BF" w:rsidRDefault="00385570" w:rsidP="008F5EE1">
            <w:pPr>
              <w:pStyle w:val="Default"/>
              <w:widowControl w:val="0"/>
              <w:numPr>
                <w:ilvl w:val="0"/>
                <w:numId w:val="18"/>
              </w:numPr>
              <w:adjustRightInd/>
              <w:ind w:left="284" w:hanging="284"/>
              <w:rPr>
                <w:color w:val="auto"/>
                <w:sz w:val="18"/>
                <w:szCs w:val="18"/>
              </w:rPr>
            </w:pPr>
            <w:r w:rsidRPr="00A956BF">
              <w:rPr>
                <w:color w:val="auto"/>
                <w:sz w:val="18"/>
                <w:szCs w:val="18"/>
              </w:rPr>
              <w:t>make payments under the Continence Aids Payment Scheme (3.2)</w:t>
            </w:r>
          </w:p>
          <w:p w14:paraId="101F8444" w14:textId="587E814A" w:rsidR="00385570" w:rsidRDefault="00385570" w:rsidP="008F5EE1">
            <w:pPr>
              <w:pStyle w:val="Default"/>
              <w:widowControl w:val="0"/>
              <w:numPr>
                <w:ilvl w:val="0"/>
                <w:numId w:val="18"/>
              </w:numPr>
              <w:adjustRightInd/>
              <w:ind w:left="284" w:hanging="284"/>
              <w:rPr>
                <w:color w:val="auto"/>
                <w:sz w:val="18"/>
                <w:szCs w:val="18"/>
              </w:rPr>
            </w:pPr>
            <w:r w:rsidRPr="00A956BF">
              <w:rPr>
                <w:color w:val="auto"/>
                <w:sz w:val="18"/>
                <w:szCs w:val="18"/>
              </w:rPr>
              <w:t>administer payments to aged care providers (3.2)</w:t>
            </w:r>
          </w:p>
          <w:p w14:paraId="76F47D87" w14:textId="2D3973E3" w:rsidR="00FC2A3D" w:rsidRPr="00385570" w:rsidRDefault="00385570" w:rsidP="008F5EE1">
            <w:pPr>
              <w:pStyle w:val="Default"/>
              <w:widowControl w:val="0"/>
              <w:numPr>
                <w:ilvl w:val="0"/>
                <w:numId w:val="18"/>
              </w:numPr>
              <w:adjustRightInd/>
              <w:spacing w:after="40"/>
              <w:ind w:left="284" w:hanging="284"/>
              <w:rPr>
                <w:color w:val="auto"/>
                <w:sz w:val="18"/>
                <w:szCs w:val="18"/>
              </w:rPr>
            </w:pPr>
            <w:proofErr w:type="gramStart"/>
            <w:r w:rsidRPr="00A956BF">
              <w:rPr>
                <w:color w:val="auto"/>
                <w:sz w:val="18"/>
                <w:szCs w:val="18"/>
              </w:rPr>
              <w:t>undertake</w:t>
            </w:r>
            <w:proofErr w:type="gramEnd"/>
            <w:r w:rsidRPr="00A956BF">
              <w:rPr>
                <w:color w:val="auto"/>
                <w:sz w:val="18"/>
                <w:szCs w:val="18"/>
              </w:rPr>
              <w:t xml:space="preserve"> means testing of residents (3.2).</w:t>
            </w:r>
          </w:p>
        </w:tc>
      </w:tr>
    </w:tbl>
    <w:p w14:paraId="0AB3E461" w14:textId="77777777" w:rsidR="00E205CD" w:rsidRPr="00A956BF" w:rsidRDefault="00E205CD" w:rsidP="00E205CD">
      <w:pPr>
        <w:rPr>
          <w:color w:val="auto"/>
          <w:sz w:val="20"/>
          <w:lang w:eastAsia="en-US"/>
        </w:rPr>
      </w:pPr>
      <w:r w:rsidRPr="00A956BF">
        <w:rPr>
          <w:color w:val="auto"/>
        </w:rPr>
        <w:br w:type="page"/>
      </w:r>
    </w:p>
    <w:p w14:paraId="324D0C72" w14:textId="77777777" w:rsidR="00207AAE" w:rsidRPr="00A956BF" w:rsidRDefault="000A74AA" w:rsidP="00DE27DD">
      <w:pPr>
        <w:pStyle w:val="Tablenumberandreference"/>
        <w:keepNext/>
        <w:spacing w:before="120" w:after="60"/>
        <w:rPr>
          <w:color w:val="auto"/>
        </w:rPr>
      </w:pPr>
      <w:r w:rsidRPr="00A956BF">
        <w:rPr>
          <w:color w:val="auto"/>
        </w:rPr>
        <w:lastRenderedPageBreak/>
        <w:t>Table 2.3</w:t>
      </w:r>
      <w:r w:rsidR="00207AAE" w:rsidRPr="00A956BF">
        <w:rPr>
          <w:color w:val="auto"/>
        </w:rPr>
        <w:t>.1:</w:t>
      </w:r>
      <w:r w:rsidRPr="00A956BF">
        <w:rPr>
          <w:color w:val="auto"/>
        </w:rPr>
        <w:t xml:space="preserve"> Budgeted Expenses for Outcome 3</w:t>
      </w:r>
    </w:p>
    <w:p w14:paraId="50E33586" w14:textId="77777777" w:rsidR="00207AAE" w:rsidRPr="00A956BF" w:rsidRDefault="000A74AA" w:rsidP="00DE27DD">
      <w:pPr>
        <w:pStyle w:val="NormalBookAntiqua"/>
        <w:rPr>
          <w:color w:val="auto"/>
        </w:rPr>
      </w:pPr>
      <w:r w:rsidRPr="00A956BF">
        <w:rPr>
          <w:color w:val="auto"/>
        </w:rPr>
        <w:t>Table 2.3</w:t>
      </w:r>
      <w:r w:rsidR="00DE27DD" w:rsidRPr="00A956BF">
        <w:rPr>
          <w:color w:val="auto"/>
        </w:rPr>
        <w:t>.1 shows how much the entity intends to spend (on an accrual basis) on achieving the outcome, broken down by program, as well as by administered and departmental funding sources.</w:t>
      </w:r>
    </w:p>
    <w:tbl>
      <w:tblPr>
        <w:tblW w:w="7320" w:type="dxa"/>
        <w:jc w:val="center"/>
        <w:tblLayout w:type="fixed"/>
        <w:tblLook w:val="04A0" w:firstRow="1" w:lastRow="0" w:firstColumn="1" w:lastColumn="0" w:noHBand="0" w:noVBand="1"/>
        <w:tblCaption w:val="Table 2.3.1: Budgeted Expenses for Outcome 3"/>
        <w:tblDescription w:val="This table includes budgeted expenses for Outcome 3 for 2022-23 and across the forward estimates"/>
      </w:tblPr>
      <w:tblGrid>
        <w:gridCol w:w="2801"/>
        <w:gridCol w:w="903"/>
        <w:gridCol w:w="904"/>
        <w:gridCol w:w="904"/>
        <w:gridCol w:w="904"/>
        <w:gridCol w:w="904"/>
      </w:tblGrid>
      <w:tr w:rsidR="00253629" w:rsidRPr="00253629" w14:paraId="60DD77A0" w14:textId="77777777" w:rsidTr="00253629">
        <w:trPr>
          <w:trHeight w:val="765"/>
          <w:jc w:val="center"/>
        </w:trPr>
        <w:tc>
          <w:tcPr>
            <w:tcW w:w="2801" w:type="dxa"/>
            <w:tcBorders>
              <w:top w:val="single" w:sz="4" w:space="0" w:color="auto"/>
              <w:left w:val="nil"/>
              <w:bottom w:val="nil"/>
              <w:right w:val="nil"/>
            </w:tcBorders>
            <w:shd w:val="clear" w:color="auto" w:fill="auto"/>
            <w:tcMar>
              <w:left w:w="57" w:type="dxa"/>
              <w:right w:w="57" w:type="dxa"/>
            </w:tcMar>
            <w:hideMark/>
          </w:tcPr>
          <w:p w14:paraId="0E285CD8" w14:textId="77777777" w:rsidR="00253629" w:rsidRPr="00253629" w:rsidRDefault="00253629" w:rsidP="00253629">
            <w:pPr>
              <w:spacing w:after="0"/>
              <w:jc w:val="right"/>
              <w:rPr>
                <w:b/>
                <w:bCs/>
                <w:color w:val="auto"/>
                <w:sz w:val="16"/>
                <w:szCs w:val="16"/>
              </w:rPr>
            </w:pPr>
            <w:r w:rsidRPr="00253629">
              <w:rPr>
                <w:b/>
                <w:bCs/>
                <w:color w:val="auto"/>
                <w:sz w:val="16"/>
                <w:szCs w:val="16"/>
              </w:rPr>
              <w:t> </w:t>
            </w:r>
          </w:p>
        </w:tc>
        <w:tc>
          <w:tcPr>
            <w:tcW w:w="903" w:type="dxa"/>
            <w:tcBorders>
              <w:top w:val="single" w:sz="4" w:space="0" w:color="auto"/>
              <w:left w:val="nil"/>
              <w:bottom w:val="single" w:sz="4" w:space="0" w:color="auto"/>
              <w:right w:val="nil"/>
            </w:tcBorders>
            <w:shd w:val="clear" w:color="auto" w:fill="auto"/>
            <w:tcMar>
              <w:left w:w="57" w:type="dxa"/>
              <w:right w:w="57" w:type="dxa"/>
            </w:tcMar>
            <w:hideMark/>
          </w:tcPr>
          <w:p w14:paraId="3D7E7A46" w14:textId="77777777" w:rsidR="00253629" w:rsidRPr="00253629" w:rsidRDefault="00253629" w:rsidP="00253629">
            <w:pPr>
              <w:spacing w:after="0"/>
              <w:jc w:val="right"/>
              <w:rPr>
                <w:b/>
                <w:bCs/>
                <w:color w:val="auto"/>
                <w:sz w:val="16"/>
                <w:szCs w:val="16"/>
              </w:rPr>
            </w:pPr>
            <w:r w:rsidRPr="00253629">
              <w:rPr>
                <w:b/>
                <w:bCs/>
                <w:color w:val="auto"/>
                <w:sz w:val="16"/>
                <w:szCs w:val="16"/>
              </w:rPr>
              <w:t>2021–22</w:t>
            </w:r>
            <w:r w:rsidRPr="00253629">
              <w:rPr>
                <w:b/>
                <w:bCs/>
                <w:color w:val="auto"/>
                <w:sz w:val="16"/>
                <w:szCs w:val="16"/>
              </w:rPr>
              <w:br/>
              <w:t>Estimated actual</w:t>
            </w:r>
            <w:r w:rsidRPr="00253629">
              <w:rPr>
                <w:b/>
                <w:bCs/>
                <w:color w:val="auto"/>
                <w:sz w:val="16"/>
                <w:szCs w:val="16"/>
              </w:rPr>
              <w:br/>
            </w:r>
            <w:r w:rsidRPr="00253629">
              <w:rPr>
                <w:color w:val="auto"/>
                <w:sz w:val="16"/>
                <w:szCs w:val="16"/>
              </w:rPr>
              <w:t>$'000</w:t>
            </w:r>
          </w:p>
        </w:tc>
        <w:tc>
          <w:tcPr>
            <w:tcW w:w="904" w:type="dxa"/>
            <w:tcBorders>
              <w:top w:val="single" w:sz="4" w:space="0" w:color="auto"/>
              <w:left w:val="nil"/>
              <w:bottom w:val="single" w:sz="4" w:space="0" w:color="auto"/>
              <w:right w:val="nil"/>
            </w:tcBorders>
            <w:shd w:val="clear" w:color="000000" w:fill="D9D9D9"/>
            <w:tcMar>
              <w:left w:w="57" w:type="dxa"/>
              <w:right w:w="57" w:type="dxa"/>
            </w:tcMar>
            <w:hideMark/>
          </w:tcPr>
          <w:p w14:paraId="3825A4EC" w14:textId="77777777" w:rsidR="00253629" w:rsidRPr="00253629" w:rsidRDefault="00253629" w:rsidP="00253629">
            <w:pPr>
              <w:spacing w:after="0"/>
              <w:jc w:val="right"/>
              <w:rPr>
                <w:b/>
                <w:bCs/>
                <w:color w:val="auto"/>
                <w:sz w:val="16"/>
                <w:szCs w:val="16"/>
              </w:rPr>
            </w:pPr>
            <w:r w:rsidRPr="00253629">
              <w:rPr>
                <w:b/>
                <w:bCs/>
                <w:color w:val="auto"/>
                <w:sz w:val="16"/>
                <w:szCs w:val="16"/>
              </w:rPr>
              <w:t>2022–23 Budget</w:t>
            </w:r>
            <w:r w:rsidRPr="00253629">
              <w:rPr>
                <w:b/>
                <w:bCs/>
                <w:color w:val="auto"/>
                <w:sz w:val="16"/>
                <w:szCs w:val="16"/>
              </w:rPr>
              <w:br/>
            </w:r>
            <w:r w:rsidRPr="00253629">
              <w:rPr>
                <w:b/>
                <w:bCs/>
                <w:color w:val="auto"/>
                <w:sz w:val="16"/>
                <w:szCs w:val="16"/>
              </w:rPr>
              <w:br/>
            </w:r>
            <w:r w:rsidRPr="0025362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1734D53E" w14:textId="77777777" w:rsidR="00253629" w:rsidRPr="00253629" w:rsidRDefault="00253629" w:rsidP="00253629">
            <w:pPr>
              <w:spacing w:after="0"/>
              <w:jc w:val="right"/>
              <w:rPr>
                <w:b/>
                <w:bCs/>
                <w:color w:val="auto"/>
                <w:sz w:val="16"/>
                <w:szCs w:val="16"/>
              </w:rPr>
            </w:pPr>
            <w:r w:rsidRPr="00253629">
              <w:rPr>
                <w:b/>
                <w:bCs/>
                <w:color w:val="auto"/>
                <w:sz w:val="16"/>
                <w:szCs w:val="16"/>
              </w:rPr>
              <w:t>2023–24 Forward estimate</w:t>
            </w:r>
            <w:r w:rsidRPr="00253629">
              <w:rPr>
                <w:b/>
                <w:bCs/>
                <w:color w:val="auto"/>
                <w:sz w:val="16"/>
                <w:szCs w:val="16"/>
              </w:rPr>
              <w:br/>
            </w:r>
            <w:r w:rsidRPr="0025362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60E56764" w14:textId="77777777" w:rsidR="00253629" w:rsidRPr="00253629" w:rsidRDefault="00253629" w:rsidP="00253629">
            <w:pPr>
              <w:spacing w:after="0"/>
              <w:jc w:val="right"/>
              <w:rPr>
                <w:b/>
                <w:bCs/>
                <w:color w:val="auto"/>
                <w:sz w:val="16"/>
                <w:szCs w:val="16"/>
              </w:rPr>
            </w:pPr>
            <w:r w:rsidRPr="00253629">
              <w:rPr>
                <w:b/>
                <w:bCs/>
                <w:color w:val="auto"/>
                <w:sz w:val="16"/>
                <w:szCs w:val="16"/>
              </w:rPr>
              <w:t>2024–25 Forward estimate</w:t>
            </w:r>
            <w:r w:rsidRPr="00253629">
              <w:rPr>
                <w:b/>
                <w:bCs/>
                <w:color w:val="auto"/>
                <w:sz w:val="16"/>
                <w:szCs w:val="16"/>
              </w:rPr>
              <w:br/>
            </w:r>
            <w:r w:rsidRPr="00253629">
              <w:rPr>
                <w:color w:val="auto"/>
                <w:sz w:val="16"/>
                <w:szCs w:val="16"/>
              </w:rPr>
              <w:t>$'000</w:t>
            </w:r>
          </w:p>
        </w:tc>
        <w:tc>
          <w:tcPr>
            <w:tcW w:w="904" w:type="dxa"/>
            <w:tcBorders>
              <w:top w:val="single" w:sz="4" w:space="0" w:color="auto"/>
              <w:left w:val="nil"/>
              <w:bottom w:val="single" w:sz="4" w:space="0" w:color="auto"/>
              <w:right w:val="nil"/>
            </w:tcBorders>
            <w:shd w:val="clear" w:color="auto" w:fill="auto"/>
            <w:tcMar>
              <w:left w:w="57" w:type="dxa"/>
              <w:right w:w="57" w:type="dxa"/>
            </w:tcMar>
            <w:hideMark/>
          </w:tcPr>
          <w:p w14:paraId="5BBC4630" w14:textId="77777777" w:rsidR="00253629" w:rsidRPr="00253629" w:rsidRDefault="00253629" w:rsidP="00253629">
            <w:pPr>
              <w:spacing w:after="0"/>
              <w:jc w:val="right"/>
              <w:rPr>
                <w:b/>
                <w:bCs/>
                <w:color w:val="auto"/>
                <w:sz w:val="16"/>
                <w:szCs w:val="16"/>
              </w:rPr>
            </w:pPr>
            <w:r w:rsidRPr="00253629">
              <w:rPr>
                <w:b/>
                <w:bCs/>
                <w:color w:val="auto"/>
                <w:sz w:val="16"/>
                <w:szCs w:val="16"/>
              </w:rPr>
              <w:t>2025–26 Forward estimate</w:t>
            </w:r>
            <w:r w:rsidRPr="00253629">
              <w:rPr>
                <w:b/>
                <w:bCs/>
                <w:color w:val="auto"/>
                <w:sz w:val="16"/>
                <w:szCs w:val="16"/>
              </w:rPr>
              <w:br/>
            </w:r>
            <w:r w:rsidRPr="00253629">
              <w:rPr>
                <w:color w:val="auto"/>
                <w:sz w:val="16"/>
                <w:szCs w:val="16"/>
              </w:rPr>
              <w:t>$'000</w:t>
            </w:r>
          </w:p>
        </w:tc>
      </w:tr>
      <w:tr w:rsidR="00253629" w:rsidRPr="00253629" w14:paraId="4B2E1706" w14:textId="77777777" w:rsidTr="00253629">
        <w:trPr>
          <w:trHeight w:val="300"/>
          <w:jc w:val="center"/>
        </w:trPr>
        <w:tc>
          <w:tcPr>
            <w:tcW w:w="7320" w:type="dxa"/>
            <w:gridSpan w:val="6"/>
            <w:tcBorders>
              <w:top w:val="nil"/>
              <w:left w:val="nil"/>
              <w:bottom w:val="nil"/>
              <w:right w:val="nil"/>
            </w:tcBorders>
            <w:shd w:val="clear" w:color="auto" w:fill="auto"/>
            <w:vAlign w:val="bottom"/>
            <w:hideMark/>
          </w:tcPr>
          <w:p w14:paraId="2B432D50" w14:textId="77777777" w:rsidR="00253629" w:rsidRPr="00253629" w:rsidRDefault="00253629" w:rsidP="00253629">
            <w:pPr>
              <w:spacing w:before="0" w:after="0"/>
              <w:rPr>
                <w:b/>
                <w:bCs/>
                <w:color w:val="auto"/>
                <w:sz w:val="16"/>
                <w:szCs w:val="16"/>
              </w:rPr>
            </w:pPr>
            <w:r w:rsidRPr="00253629">
              <w:rPr>
                <w:b/>
                <w:bCs/>
                <w:color w:val="auto"/>
                <w:sz w:val="16"/>
                <w:szCs w:val="16"/>
              </w:rPr>
              <w:t>Program 3.1: Access and Information</w:t>
            </w:r>
          </w:p>
        </w:tc>
      </w:tr>
      <w:tr w:rsidR="00253629" w:rsidRPr="00253629" w14:paraId="4DF48BC6"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42362D87" w14:textId="77777777" w:rsidR="00253629" w:rsidRPr="00253629" w:rsidRDefault="00253629" w:rsidP="00253629">
            <w:pPr>
              <w:spacing w:before="0" w:after="0"/>
              <w:ind w:firstLineChars="100" w:firstLine="160"/>
              <w:rPr>
                <w:color w:val="auto"/>
                <w:sz w:val="16"/>
                <w:szCs w:val="16"/>
              </w:rPr>
            </w:pPr>
            <w:r w:rsidRPr="00253629">
              <w:rPr>
                <w:color w:val="auto"/>
                <w:sz w:val="16"/>
                <w:szCs w:val="16"/>
              </w:rPr>
              <w:t>Administered expenses</w:t>
            </w:r>
          </w:p>
        </w:tc>
        <w:tc>
          <w:tcPr>
            <w:tcW w:w="903" w:type="dxa"/>
            <w:tcBorders>
              <w:top w:val="nil"/>
              <w:left w:val="nil"/>
              <w:bottom w:val="nil"/>
              <w:right w:val="nil"/>
            </w:tcBorders>
            <w:shd w:val="clear" w:color="auto" w:fill="auto"/>
            <w:noWrap/>
            <w:vAlign w:val="bottom"/>
            <w:hideMark/>
          </w:tcPr>
          <w:p w14:paraId="337D608C" w14:textId="77777777" w:rsidR="00253629" w:rsidRPr="00253629" w:rsidRDefault="00253629" w:rsidP="0025362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vAlign w:val="bottom"/>
            <w:hideMark/>
          </w:tcPr>
          <w:p w14:paraId="6BED9FCB"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vAlign w:val="bottom"/>
            <w:hideMark/>
          </w:tcPr>
          <w:p w14:paraId="16180CC9"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vAlign w:val="bottom"/>
            <w:hideMark/>
          </w:tcPr>
          <w:p w14:paraId="33AF2CFF"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625E1265"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46CC772E"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39A31807" w14:textId="77777777" w:rsidR="00253629" w:rsidRPr="00253629" w:rsidRDefault="00253629" w:rsidP="00253629">
            <w:pPr>
              <w:spacing w:before="0" w:after="0"/>
              <w:ind w:leftChars="150" w:left="270"/>
              <w:rPr>
                <w:color w:val="auto"/>
                <w:sz w:val="16"/>
                <w:szCs w:val="16"/>
              </w:rPr>
            </w:pPr>
            <w:r w:rsidRPr="00253629">
              <w:rPr>
                <w:color w:val="auto"/>
                <w:sz w:val="16"/>
                <w:szCs w:val="16"/>
              </w:rPr>
              <w:t xml:space="preserve">Ordinary annual services </w:t>
            </w:r>
            <w:r w:rsidRPr="00253629">
              <w:rPr>
                <w:color w:val="auto"/>
                <w:sz w:val="16"/>
                <w:szCs w:val="16"/>
                <w:vertAlign w:val="superscript"/>
              </w:rPr>
              <w:t>(a)</w:t>
            </w:r>
          </w:p>
        </w:tc>
        <w:tc>
          <w:tcPr>
            <w:tcW w:w="903" w:type="dxa"/>
            <w:tcBorders>
              <w:top w:val="nil"/>
              <w:left w:val="nil"/>
              <w:bottom w:val="nil"/>
              <w:right w:val="nil"/>
            </w:tcBorders>
            <w:shd w:val="clear" w:color="auto" w:fill="auto"/>
            <w:noWrap/>
            <w:vAlign w:val="bottom"/>
            <w:hideMark/>
          </w:tcPr>
          <w:p w14:paraId="40DD8A00" w14:textId="77777777" w:rsidR="00253629" w:rsidRPr="00253629" w:rsidRDefault="00253629" w:rsidP="00253629">
            <w:pPr>
              <w:spacing w:before="0" w:after="0"/>
              <w:jc w:val="right"/>
              <w:rPr>
                <w:color w:val="auto"/>
                <w:sz w:val="16"/>
                <w:szCs w:val="16"/>
              </w:rPr>
            </w:pPr>
            <w:r w:rsidRPr="00253629">
              <w:rPr>
                <w:color w:val="auto"/>
                <w:sz w:val="16"/>
                <w:szCs w:val="16"/>
              </w:rPr>
              <w:t>370,354</w:t>
            </w:r>
          </w:p>
        </w:tc>
        <w:tc>
          <w:tcPr>
            <w:tcW w:w="904" w:type="dxa"/>
            <w:tcBorders>
              <w:top w:val="nil"/>
              <w:left w:val="nil"/>
              <w:bottom w:val="nil"/>
              <w:right w:val="nil"/>
            </w:tcBorders>
            <w:shd w:val="clear" w:color="000000" w:fill="D9D9D9"/>
            <w:noWrap/>
            <w:vAlign w:val="bottom"/>
            <w:hideMark/>
          </w:tcPr>
          <w:p w14:paraId="0E040A74" w14:textId="77777777" w:rsidR="00253629" w:rsidRPr="00253629" w:rsidRDefault="00253629" w:rsidP="00253629">
            <w:pPr>
              <w:spacing w:before="0" w:after="0"/>
              <w:jc w:val="right"/>
              <w:rPr>
                <w:color w:val="auto"/>
                <w:sz w:val="16"/>
                <w:szCs w:val="16"/>
              </w:rPr>
            </w:pPr>
            <w:r w:rsidRPr="00253629">
              <w:rPr>
                <w:color w:val="auto"/>
                <w:sz w:val="16"/>
                <w:szCs w:val="16"/>
              </w:rPr>
              <w:t>463,751</w:t>
            </w:r>
          </w:p>
        </w:tc>
        <w:tc>
          <w:tcPr>
            <w:tcW w:w="904" w:type="dxa"/>
            <w:tcBorders>
              <w:top w:val="nil"/>
              <w:left w:val="nil"/>
              <w:bottom w:val="nil"/>
              <w:right w:val="nil"/>
            </w:tcBorders>
            <w:shd w:val="clear" w:color="auto" w:fill="auto"/>
            <w:noWrap/>
            <w:vAlign w:val="bottom"/>
            <w:hideMark/>
          </w:tcPr>
          <w:p w14:paraId="4C11BF8F" w14:textId="77777777" w:rsidR="00253629" w:rsidRPr="00253629" w:rsidRDefault="00253629" w:rsidP="00253629">
            <w:pPr>
              <w:spacing w:before="0" w:after="0"/>
              <w:jc w:val="right"/>
              <w:rPr>
                <w:color w:val="auto"/>
                <w:sz w:val="16"/>
                <w:szCs w:val="16"/>
              </w:rPr>
            </w:pPr>
            <w:r w:rsidRPr="00253629">
              <w:rPr>
                <w:color w:val="auto"/>
                <w:sz w:val="16"/>
                <w:szCs w:val="16"/>
              </w:rPr>
              <w:t>477,842</w:t>
            </w:r>
          </w:p>
        </w:tc>
        <w:tc>
          <w:tcPr>
            <w:tcW w:w="904" w:type="dxa"/>
            <w:tcBorders>
              <w:top w:val="nil"/>
              <w:left w:val="nil"/>
              <w:bottom w:val="nil"/>
              <w:right w:val="nil"/>
            </w:tcBorders>
            <w:shd w:val="clear" w:color="auto" w:fill="auto"/>
            <w:noWrap/>
            <w:vAlign w:val="bottom"/>
            <w:hideMark/>
          </w:tcPr>
          <w:p w14:paraId="5FEEAC5C" w14:textId="77777777" w:rsidR="00253629" w:rsidRPr="00253629" w:rsidRDefault="00253629" w:rsidP="00253629">
            <w:pPr>
              <w:spacing w:before="0" w:after="0"/>
              <w:jc w:val="right"/>
              <w:rPr>
                <w:color w:val="auto"/>
                <w:sz w:val="16"/>
                <w:szCs w:val="16"/>
              </w:rPr>
            </w:pPr>
            <w:r w:rsidRPr="00253629">
              <w:rPr>
                <w:color w:val="auto"/>
                <w:sz w:val="16"/>
                <w:szCs w:val="16"/>
              </w:rPr>
              <w:t>480,800</w:t>
            </w:r>
          </w:p>
        </w:tc>
        <w:tc>
          <w:tcPr>
            <w:tcW w:w="904" w:type="dxa"/>
            <w:tcBorders>
              <w:top w:val="nil"/>
              <w:left w:val="nil"/>
              <w:bottom w:val="nil"/>
              <w:right w:val="nil"/>
            </w:tcBorders>
            <w:shd w:val="clear" w:color="auto" w:fill="auto"/>
            <w:noWrap/>
            <w:vAlign w:val="bottom"/>
            <w:hideMark/>
          </w:tcPr>
          <w:p w14:paraId="62573656" w14:textId="77777777" w:rsidR="00253629" w:rsidRPr="00253629" w:rsidRDefault="00253629" w:rsidP="00253629">
            <w:pPr>
              <w:spacing w:before="0" w:after="0"/>
              <w:jc w:val="right"/>
              <w:rPr>
                <w:color w:val="auto"/>
                <w:sz w:val="16"/>
                <w:szCs w:val="16"/>
              </w:rPr>
            </w:pPr>
            <w:r w:rsidRPr="00253629">
              <w:rPr>
                <w:color w:val="auto"/>
                <w:sz w:val="16"/>
                <w:szCs w:val="16"/>
              </w:rPr>
              <w:t>489,229</w:t>
            </w:r>
          </w:p>
        </w:tc>
      </w:tr>
      <w:tr w:rsidR="00253629" w:rsidRPr="00253629" w14:paraId="14456F4C"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2D04F5CE" w14:textId="77777777" w:rsidR="00253629" w:rsidRPr="00253629" w:rsidRDefault="00253629" w:rsidP="00253629">
            <w:pPr>
              <w:spacing w:before="0" w:after="0"/>
              <w:ind w:firstLineChars="100" w:firstLine="160"/>
              <w:rPr>
                <w:color w:val="auto"/>
                <w:sz w:val="16"/>
                <w:szCs w:val="16"/>
              </w:rPr>
            </w:pPr>
            <w:r w:rsidRPr="00253629">
              <w:rPr>
                <w:color w:val="auto"/>
                <w:sz w:val="16"/>
                <w:szCs w:val="16"/>
              </w:rPr>
              <w:t>Departmental expenses</w:t>
            </w:r>
          </w:p>
        </w:tc>
        <w:tc>
          <w:tcPr>
            <w:tcW w:w="903" w:type="dxa"/>
            <w:tcBorders>
              <w:top w:val="nil"/>
              <w:left w:val="nil"/>
              <w:bottom w:val="nil"/>
              <w:right w:val="nil"/>
            </w:tcBorders>
            <w:shd w:val="clear" w:color="auto" w:fill="auto"/>
            <w:noWrap/>
            <w:vAlign w:val="bottom"/>
            <w:hideMark/>
          </w:tcPr>
          <w:p w14:paraId="3256AE5D" w14:textId="77777777" w:rsidR="00253629" w:rsidRPr="00253629" w:rsidRDefault="00253629" w:rsidP="0025362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vAlign w:val="bottom"/>
            <w:hideMark/>
          </w:tcPr>
          <w:p w14:paraId="426BE70C"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vAlign w:val="bottom"/>
            <w:hideMark/>
          </w:tcPr>
          <w:p w14:paraId="408B9937"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vAlign w:val="bottom"/>
            <w:hideMark/>
          </w:tcPr>
          <w:p w14:paraId="4681B55C"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79177737"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59883591"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46CB62E4" w14:textId="77777777" w:rsidR="00253629" w:rsidRPr="00253629" w:rsidRDefault="00253629" w:rsidP="00253629">
            <w:pPr>
              <w:spacing w:before="0" w:after="0"/>
              <w:ind w:leftChars="150" w:left="270"/>
              <w:rPr>
                <w:color w:val="auto"/>
                <w:sz w:val="16"/>
                <w:szCs w:val="16"/>
              </w:rPr>
            </w:pPr>
            <w:r w:rsidRPr="00253629">
              <w:rPr>
                <w:color w:val="auto"/>
                <w:sz w:val="16"/>
                <w:szCs w:val="16"/>
              </w:rPr>
              <w:t xml:space="preserve">Departmental appropriation </w:t>
            </w:r>
            <w:r w:rsidRPr="00253629">
              <w:rPr>
                <w:color w:val="auto"/>
                <w:sz w:val="16"/>
                <w:szCs w:val="16"/>
                <w:vertAlign w:val="superscript"/>
              </w:rPr>
              <w:t>(b)</w:t>
            </w:r>
          </w:p>
        </w:tc>
        <w:tc>
          <w:tcPr>
            <w:tcW w:w="903" w:type="dxa"/>
            <w:tcBorders>
              <w:top w:val="nil"/>
              <w:left w:val="nil"/>
              <w:bottom w:val="nil"/>
              <w:right w:val="nil"/>
            </w:tcBorders>
            <w:shd w:val="clear" w:color="auto" w:fill="auto"/>
            <w:noWrap/>
            <w:vAlign w:val="bottom"/>
            <w:hideMark/>
          </w:tcPr>
          <w:p w14:paraId="039DAC15" w14:textId="77777777" w:rsidR="00253629" w:rsidRPr="00253629" w:rsidRDefault="00253629" w:rsidP="00253629">
            <w:pPr>
              <w:spacing w:before="0" w:after="0"/>
              <w:jc w:val="right"/>
              <w:rPr>
                <w:color w:val="auto"/>
                <w:sz w:val="16"/>
                <w:szCs w:val="16"/>
              </w:rPr>
            </w:pPr>
            <w:r w:rsidRPr="00253629">
              <w:rPr>
                <w:color w:val="auto"/>
                <w:sz w:val="16"/>
                <w:szCs w:val="16"/>
              </w:rPr>
              <w:t>126,525</w:t>
            </w:r>
          </w:p>
        </w:tc>
        <w:tc>
          <w:tcPr>
            <w:tcW w:w="904" w:type="dxa"/>
            <w:tcBorders>
              <w:top w:val="nil"/>
              <w:left w:val="nil"/>
              <w:bottom w:val="nil"/>
              <w:right w:val="nil"/>
            </w:tcBorders>
            <w:shd w:val="clear" w:color="000000" w:fill="D9D9D9"/>
            <w:noWrap/>
            <w:vAlign w:val="bottom"/>
            <w:hideMark/>
          </w:tcPr>
          <w:p w14:paraId="52DF60A5" w14:textId="77777777" w:rsidR="00253629" w:rsidRPr="00253629" w:rsidRDefault="00253629" w:rsidP="00253629">
            <w:pPr>
              <w:spacing w:before="0" w:after="0"/>
              <w:jc w:val="right"/>
              <w:rPr>
                <w:color w:val="auto"/>
                <w:sz w:val="16"/>
                <w:szCs w:val="16"/>
              </w:rPr>
            </w:pPr>
            <w:r w:rsidRPr="00253629">
              <w:rPr>
                <w:color w:val="auto"/>
                <w:sz w:val="16"/>
                <w:szCs w:val="16"/>
              </w:rPr>
              <w:t>116,243</w:t>
            </w:r>
          </w:p>
        </w:tc>
        <w:tc>
          <w:tcPr>
            <w:tcW w:w="904" w:type="dxa"/>
            <w:tcBorders>
              <w:top w:val="nil"/>
              <w:left w:val="nil"/>
              <w:bottom w:val="nil"/>
              <w:right w:val="nil"/>
            </w:tcBorders>
            <w:shd w:val="clear" w:color="auto" w:fill="auto"/>
            <w:noWrap/>
            <w:vAlign w:val="bottom"/>
            <w:hideMark/>
          </w:tcPr>
          <w:p w14:paraId="5E8B6A90" w14:textId="77777777" w:rsidR="00253629" w:rsidRPr="00253629" w:rsidRDefault="00253629" w:rsidP="00253629">
            <w:pPr>
              <w:spacing w:before="0" w:after="0"/>
              <w:jc w:val="right"/>
              <w:rPr>
                <w:color w:val="auto"/>
                <w:sz w:val="16"/>
                <w:szCs w:val="16"/>
              </w:rPr>
            </w:pPr>
            <w:r w:rsidRPr="00253629">
              <w:rPr>
                <w:color w:val="auto"/>
                <w:sz w:val="16"/>
                <w:szCs w:val="16"/>
              </w:rPr>
              <w:t>68,600</w:t>
            </w:r>
          </w:p>
        </w:tc>
        <w:tc>
          <w:tcPr>
            <w:tcW w:w="904" w:type="dxa"/>
            <w:tcBorders>
              <w:top w:val="nil"/>
              <w:left w:val="nil"/>
              <w:bottom w:val="nil"/>
              <w:right w:val="nil"/>
            </w:tcBorders>
            <w:shd w:val="clear" w:color="auto" w:fill="auto"/>
            <w:noWrap/>
            <w:vAlign w:val="bottom"/>
            <w:hideMark/>
          </w:tcPr>
          <w:p w14:paraId="2584013D" w14:textId="77777777" w:rsidR="00253629" w:rsidRPr="00253629" w:rsidRDefault="00253629" w:rsidP="00253629">
            <w:pPr>
              <w:spacing w:before="0" w:after="0"/>
              <w:jc w:val="right"/>
              <w:rPr>
                <w:color w:val="auto"/>
                <w:sz w:val="16"/>
                <w:szCs w:val="16"/>
              </w:rPr>
            </w:pPr>
            <w:r w:rsidRPr="00253629">
              <w:rPr>
                <w:color w:val="auto"/>
                <w:sz w:val="16"/>
                <w:szCs w:val="16"/>
              </w:rPr>
              <w:t>68,183</w:t>
            </w:r>
          </w:p>
        </w:tc>
        <w:tc>
          <w:tcPr>
            <w:tcW w:w="904" w:type="dxa"/>
            <w:tcBorders>
              <w:top w:val="nil"/>
              <w:left w:val="nil"/>
              <w:bottom w:val="nil"/>
              <w:right w:val="nil"/>
            </w:tcBorders>
            <w:shd w:val="clear" w:color="auto" w:fill="auto"/>
            <w:noWrap/>
            <w:vAlign w:val="bottom"/>
            <w:hideMark/>
          </w:tcPr>
          <w:p w14:paraId="54303C5A" w14:textId="77777777" w:rsidR="00253629" w:rsidRPr="00253629" w:rsidRDefault="00253629" w:rsidP="00253629">
            <w:pPr>
              <w:spacing w:before="0" w:after="0"/>
              <w:jc w:val="right"/>
              <w:rPr>
                <w:color w:val="auto"/>
                <w:sz w:val="16"/>
                <w:szCs w:val="16"/>
              </w:rPr>
            </w:pPr>
            <w:r w:rsidRPr="00253629">
              <w:rPr>
                <w:color w:val="auto"/>
                <w:sz w:val="16"/>
                <w:szCs w:val="16"/>
              </w:rPr>
              <w:t>67,533</w:t>
            </w:r>
          </w:p>
        </w:tc>
      </w:tr>
      <w:tr w:rsidR="00253629" w:rsidRPr="00253629" w14:paraId="6A6F3C42" w14:textId="77777777" w:rsidTr="00253629">
        <w:trPr>
          <w:trHeight w:val="624"/>
          <w:jc w:val="center"/>
        </w:trPr>
        <w:tc>
          <w:tcPr>
            <w:tcW w:w="2801" w:type="dxa"/>
            <w:tcBorders>
              <w:top w:val="nil"/>
              <w:left w:val="nil"/>
              <w:bottom w:val="nil"/>
              <w:right w:val="nil"/>
            </w:tcBorders>
            <w:shd w:val="clear" w:color="auto" w:fill="auto"/>
            <w:vAlign w:val="bottom"/>
            <w:hideMark/>
          </w:tcPr>
          <w:p w14:paraId="597BD297" w14:textId="401B8913" w:rsidR="00253629" w:rsidRPr="00253629" w:rsidRDefault="00253629" w:rsidP="00253629">
            <w:pPr>
              <w:spacing w:before="0" w:after="0"/>
              <w:ind w:leftChars="150" w:left="270"/>
              <w:rPr>
                <w:color w:val="auto"/>
                <w:sz w:val="16"/>
                <w:szCs w:val="16"/>
              </w:rPr>
            </w:pPr>
            <w:r w:rsidRPr="00253629">
              <w:rPr>
                <w:color w:val="auto"/>
                <w:sz w:val="16"/>
                <w:szCs w:val="16"/>
              </w:rPr>
              <w:t>Expenses not requiring a</w:t>
            </w:r>
            <w:r>
              <w:rPr>
                <w:color w:val="auto"/>
                <w:sz w:val="16"/>
                <w:szCs w:val="16"/>
              </w:rPr>
              <w:t>ppropriation in the Budget year </w:t>
            </w:r>
            <w:r w:rsidRPr="00253629">
              <w:rPr>
                <w:color w:val="auto"/>
                <w:sz w:val="16"/>
                <w:szCs w:val="16"/>
                <w:vertAlign w:val="superscript"/>
              </w:rPr>
              <w:t>(c)</w:t>
            </w:r>
          </w:p>
        </w:tc>
        <w:tc>
          <w:tcPr>
            <w:tcW w:w="903" w:type="dxa"/>
            <w:tcBorders>
              <w:top w:val="nil"/>
              <w:left w:val="nil"/>
              <w:bottom w:val="nil"/>
              <w:right w:val="nil"/>
            </w:tcBorders>
            <w:shd w:val="clear" w:color="auto" w:fill="auto"/>
            <w:noWrap/>
            <w:vAlign w:val="bottom"/>
            <w:hideMark/>
          </w:tcPr>
          <w:p w14:paraId="7E4ADFAA" w14:textId="77777777" w:rsidR="00253629" w:rsidRPr="00253629" w:rsidRDefault="00253629" w:rsidP="00253629">
            <w:pPr>
              <w:spacing w:before="0" w:after="0"/>
              <w:jc w:val="right"/>
              <w:rPr>
                <w:color w:val="auto"/>
                <w:sz w:val="16"/>
                <w:szCs w:val="16"/>
              </w:rPr>
            </w:pPr>
            <w:r w:rsidRPr="00253629">
              <w:rPr>
                <w:color w:val="auto"/>
                <w:sz w:val="16"/>
                <w:szCs w:val="16"/>
              </w:rPr>
              <w:t>49,804</w:t>
            </w:r>
          </w:p>
        </w:tc>
        <w:tc>
          <w:tcPr>
            <w:tcW w:w="904" w:type="dxa"/>
            <w:tcBorders>
              <w:top w:val="nil"/>
              <w:left w:val="nil"/>
              <w:bottom w:val="nil"/>
              <w:right w:val="nil"/>
            </w:tcBorders>
            <w:shd w:val="clear" w:color="000000" w:fill="D9D9D9"/>
            <w:noWrap/>
            <w:vAlign w:val="bottom"/>
            <w:hideMark/>
          </w:tcPr>
          <w:p w14:paraId="197383C8" w14:textId="77777777" w:rsidR="00253629" w:rsidRPr="00253629" w:rsidRDefault="00253629" w:rsidP="00253629">
            <w:pPr>
              <w:spacing w:before="0" w:after="0"/>
              <w:jc w:val="right"/>
              <w:rPr>
                <w:color w:val="auto"/>
                <w:sz w:val="16"/>
                <w:szCs w:val="16"/>
              </w:rPr>
            </w:pPr>
            <w:r w:rsidRPr="00253629">
              <w:rPr>
                <w:color w:val="auto"/>
                <w:sz w:val="16"/>
                <w:szCs w:val="16"/>
              </w:rPr>
              <w:t>24,821</w:t>
            </w:r>
          </w:p>
        </w:tc>
        <w:tc>
          <w:tcPr>
            <w:tcW w:w="904" w:type="dxa"/>
            <w:tcBorders>
              <w:top w:val="nil"/>
              <w:left w:val="nil"/>
              <w:bottom w:val="nil"/>
              <w:right w:val="nil"/>
            </w:tcBorders>
            <w:shd w:val="clear" w:color="auto" w:fill="auto"/>
            <w:noWrap/>
            <w:vAlign w:val="bottom"/>
            <w:hideMark/>
          </w:tcPr>
          <w:p w14:paraId="7F934F6B" w14:textId="77777777" w:rsidR="00253629" w:rsidRPr="00253629" w:rsidRDefault="00253629" w:rsidP="00253629">
            <w:pPr>
              <w:spacing w:before="0" w:after="0"/>
              <w:jc w:val="right"/>
              <w:rPr>
                <w:color w:val="auto"/>
                <w:sz w:val="16"/>
                <w:szCs w:val="16"/>
              </w:rPr>
            </w:pPr>
            <w:r w:rsidRPr="00253629">
              <w:rPr>
                <w:color w:val="auto"/>
                <w:sz w:val="16"/>
                <w:szCs w:val="16"/>
              </w:rPr>
              <w:t>18,597</w:t>
            </w:r>
          </w:p>
        </w:tc>
        <w:tc>
          <w:tcPr>
            <w:tcW w:w="904" w:type="dxa"/>
            <w:tcBorders>
              <w:top w:val="nil"/>
              <w:left w:val="nil"/>
              <w:bottom w:val="nil"/>
              <w:right w:val="nil"/>
            </w:tcBorders>
            <w:shd w:val="clear" w:color="auto" w:fill="auto"/>
            <w:noWrap/>
            <w:vAlign w:val="bottom"/>
            <w:hideMark/>
          </w:tcPr>
          <w:p w14:paraId="515AABD0" w14:textId="77777777" w:rsidR="00253629" w:rsidRPr="00253629" w:rsidRDefault="00253629" w:rsidP="00253629">
            <w:pPr>
              <w:spacing w:before="0" w:after="0"/>
              <w:jc w:val="right"/>
              <w:rPr>
                <w:color w:val="auto"/>
                <w:sz w:val="16"/>
                <w:szCs w:val="16"/>
              </w:rPr>
            </w:pPr>
            <w:r w:rsidRPr="00253629">
              <w:rPr>
                <w:color w:val="auto"/>
                <w:sz w:val="16"/>
                <w:szCs w:val="16"/>
              </w:rPr>
              <w:t>16,127</w:t>
            </w:r>
          </w:p>
        </w:tc>
        <w:tc>
          <w:tcPr>
            <w:tcW w:w="904" w:type="dxa"/>
            <w:tcBorders>
              <w:top w:val="nil"/>
              <w:left w:val="nil"/>
              <w:bottom w:val="nil"/>
              <w:right w:val="nil"/>
            </w:tcBorders>
            <w:shd w:val="clear" w:color="auto" w:fill="auto"/>
            <w:noWrap/>
            <w:vAlign w:val="bottom"/>
            <w:hideMark/>
          </w:tcPr>
          <w:p w14:paraId="1E7E32CA" w14:textId="77777777" w:rsidR="00253629" w:rsidRPr="00253629" w:rsidRDefault="00253629" w:rsidP="00253629">
            <w:pPr>
              <w:spacing w:before="0" w:after="0"/>
              <w:jc w:val="right"/>
              <w:rPr>
                <w:color w:val="auto"/>
                <w:sz w:val="16"/>
                <w:szCs w:val="16"/>
              </w:rPr>
            </w:pPr>
            <w:r w:rsidRPr="00253629">
              <w:rPr>
                <w:color w:val="auto"/>
                <w:sz w:val="16"/>
                <w:szCs w:val="16"/>
              </w:rPr>
              <w:t>15,278</w:t>
            </w:r>
          </w:p>
        </w:tc>
      </w:tr>
      <w:tr w:rsidR="00253629" w:rsidRPr="00253629" w14:paraId="7094CA54"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486797C1" w14:textId="77777777" w:rsidR="00253629" w:rsidRPr="00253629" w:rsidRDefault="00253629" w:rsidP="00253629">
            <w:pPr>
              <w:spacing w:before="0" w:after="0"/>
              <w:ind w:firstLineChars="100" w:firstLine="160"/>
              <w:rPr>
                <w:b/>
                <w:bCs/>
                <w:color w:val="auto"/>
                <w:sz w:val="16"/>
                <w:szCs w:val="16"/>
              </w:rPr>
            </w:pPr>
            <w:r w:rsidRPr="00253629">
              <w:rPr>
                <w:b/>
                <w:bCs/>
                <w:color w:val="auto"/>
                <w:sz w:val="16"/>
                <w:szCs w:val="16"/>
              </w:rPr>
              <w:t>Total for Program 3.1</w:t>
            </w:r>
          </w:p>
        </w:tc>
        <w:tc>
          <w:tcPr>
            <w:tcW w:w="903" w:type="dxa"/>
            <w:tcBorders>
              <w:top w:val="single" w:sz="4" w:space="0" w:color="auto"/>
              <w:left w:val="nil"/>
              <w:bottom w:val="single" w:sz="4" w:space="0" w:color="auto"/>
              <w:right w:val="nil"/>
            </w:tcBorders>
            <w:shd w:val="clear" w:color="auto" w:fill="auto"/>
            <w:noWrap/>
            <w:vAlign w:val="bottom"/>
            <w:hideMark/>
          </w:tcPr>
          <w:p w14:paraId="4935908B" w14:textId="77777777" w:rsidR="00253629" w:rsidRPr="00253629" w:rsidRDefault="00253629" w:rsidP="00253629">
            <w:pPr>
              <w:spacing w:before="0" w:after="0"/>
              <w:jc w:val="right"/>
              <w:rPr>
                <w:b/>
                <w:bCs/>
                <w:color w:val="auto"/>
                <w:sz w:val="16"/>
                <w:szCs w:val="16"/>
              </w:rPr>
            </w:pPr>
            <w:r w:rsidRPr="00253629">
              <w:rPr>
                <w:b/>
                <w:bCs/>
                <w:color w:val="auto"/>
                <w:sz w:val="16"/>
                <w:szCs w:val="16"/>
              </w:rPr>
              <w:t>546,683</w:t>
            </w:r>
          </w:p>
        </w:tc>
        <w:tc>
          <w:tcPr>
            <w:tcW w:w="904" w:type="dxa"/>
            <w:tcBorders>
              <w:top w:val="single" w:sz="4" w:space="0" w:color="auto"/>
              <w:left w:val="nil"/>
              <w:bottom w:val="single" w:sz="4" w:space="0" w:color="auto"/>
              <w:right w:val="nil"/>
            </w:tcBorders>
            <w:shd w:val="clear" w:color="000000" w:fill="D9D9D9"/>
            <w:noWrap/>
            <w:vAlign w:val="bottom"/>
            <w:hideMark/>
          </w:tcPr>
          <w:p w14:paraId="26F6FEA3" w14:textId="77777777" w:rsidR="00253629" w:rsidRPr="00253629" w:rsidRDefault="00253629" w:rsidP="00253629">
            <w:pPr>
              <w:spacing w:before="0" w:after="0"/>
              <w:jc w:val="right"/>
              <w:rPr>
                <w:b/>
                <w:bCs/>
                <w:color w:val="auto"/>
                <w:sz w:val="16"/>
                <w:szCs w:val="16"/>
              </w:rPr>
            </w:pPr>
            <w:r w:rsidRPr="00253629">
              <w:rPr>
                <w:b/>
                <w:bCs/>
                <w:color w:val="auto"/>
                <w:sz w:val="16"/>
                <w:szCs w:val="16"/>
              </w:rPr>
              <w:t>604,815</w:t>
            </w:r>
          </w:p>
        </w:tc>
        <w:tc>
          <w:tcPr>
            <w:tcW w:w="904" w:type="dxa"/>
            <w:tcBorders>
              <w:top w:val="single" w:sz="4" w:space="0" w:color="auto"/>
              <w:left w:val="nil"/>
              <w:bottom w:val="single" w:sz="4" w:space="0" w:color="auto"/>
              <w:right w:val="nil"/>
            </w:tcBorders>
            <w:shd w:val="clear" w:color="auto" w:fill="auto"/>
            <w:noWrap/>
            <w:vAlign w:val="bottom"/>
            <w:hideMark/>
          </w:tcPr>
          <w:p w14:paraId="6C937A65" w14:textId="77777777" w:rsidR="00253629" w:rsidRPr="00253629" w:rsidRDefault="00253629" w:rsidP="00253629">
            <w:pPr>
              <w:spacing w:before="0" w:after="0"/>
              <w:jc w:val="right"/>
              <w:rPr>
                <w:b/>
                <w:bCs/>
                <w:color w:val="auto"/>
                <w:sz w:val="16"/>
                <w:szCs w:val="16"/>
              </w:rPr>
            </w:pPr>
            <w:r w:rsidRPr="00253629">
              <w:rPr>
                <w:b/>
                <w:bCs/>
                <w:color w:val="auto"/>
                <w:sz w:val="16"/>
                <w:szCs w:val="16"/>
              </w:rPr>
              <w:t>565,039</w:t>
            </w:r>
          </w:p>
        </w:tc>
        <w:tc>
          <w:tcPr>
            <w:tcW w:w="904" w:type="dxa"/>
            <w:tcBorders>
              <w:top w:val="single" w:sz="4" w:space="0" w:color="auto"/>
              <w:left w:val="nil"/>
              <w:bottom w:val="single" w:sz="4" w:space="0" w:color="auto"/>
              <w:right w:val="nil"/>
            </w:tcBorders>
            <w:shd w:val="clear" w:color="auto" w:fill="auto"/>
            <w:noWrap/>
            <w:vAlign w:val="bottom"/>
            <w:hideMark/>
          </w:tcPr>
          <w:p w14:paraId="70CB63F5" w14:textId="77777777" w:rsidR="00253629" w:rsidRPr="00253629" w:rsidRDefault="00253629" w:rsidP="00253629">
            <w:pPr>
              <w:spacing w:before="0" w:after="0"/>
              <w:jc w:val="right"/>
              <w:rPr>
                <w:b/>
                <w:bCs/>
                <w:color w:val="auto"/>
                <w:sz w:val="16"/>
                <w:szCs w:val="16"/>
              </w:rPr>
            </w:pPr>
            <w:r w:rsidRPr="00253629">
              <w:rPr>
                <w:b/>
                <w:bCs/>
                <w:color w:val="auto"/>
                <w:sz w:val="16"/>
                <w:szCs w:val="16"/>
              </w:rPr>
              <w:t>565,110</w:t>
            </w:r>
          </w:p>
        </w:tc>
        <w:tc>
          <w:tcPr>
            <w:tcW w:w="904" w:type="dxa"/>
            <w:tcBorders>
              <w:top w:val="single" w:sz="4" w:space="0" w:color="auto"/>
              <w:left w:val="nil"/>
              <w:bottom w:val="single" w:sz="4" w:space="0" w:color="auto"/>
              <w:right w:val="nil"/>
            </w:tcBorders>
            <w:shd w:val="clear" w:color="auto" w:fill="auto"/>
            <w:noWrap/>
            <w:vAlign w:val="bottom"/>
            <w:hideMark/>
          </w:tcPr>
          <w:p w14:paraId="45C6A42A" w14:textId="77777777" w:rsidR="00253629" w:rsidRPr="00253629" w:rsidRDefault="00253629" w:rsidP="00253629">
            <w:pPr>
              <w:spacing w:before="0" w:after="0"/>
              <w:jc w:val="right"/>
              <w:rPr>
                <w:b/>
                <w:bCs/>
                <w:color w:val="auto"/>
                <w:sz w:val="16"/>
                <w:szCs w:val="16"/>
              </w:rPr>
            </w:pPr>
            <w:r w:rsidRPr="00253629">
              <w:rPr>
                <w:b/>
                <w:bCs/>
                <w:color w:val="auto"/>
                <w:sz w:val="16"/>
                <w:szCs w:val="16"/>
              </w:rPr>
              <w:t>572,040</w:t>
            </w:r>
          </w:p>
        </w:tc>
      </w:tr>
      <w:tr w:rsidR="00253629" w:rsidRPr="00253629" w14:paraId="312B795B" w14:textId="77777777" w:rsidTr="00253629">
        <w:trPr>
          <w:trHeight w:val="300"/>
          <w:jc w:val="center"/>
        </w:trPr>
        <w:tc>
          <w:tcPr>
            <w:tcW w:w="7320" w:type="dxa"/>
            <w:gridSpan w:val="6"/>
            <w:tcBorders>
              <w:top w:val="nil"/>
              <w:left w:val="nil"/>
              <w:bottom w:val="nil"/>
              <w:right w:val="nil"/>
            </w:tcBorders>
            <w:shd w:val="clear" w:color="auto" w:fill="auto"/>
            <w:vAlign w:val="bottom"/>
            <w:hideMark/>
          </w:tcPr>
          <w:p w14:paraId="1722E803" w14:textId="77777777" w:rsidR="00253629" w:rsidRPr="00253629" w:rsidRDefault="00253629" w:rsidP="00253629">
            <w:pPr>
              <w:spacing w:before="0" w:after="0"/>
              <w:rPr>
                <w:b/>
                <w:bCs/>
                <w:color w:val="auto"/>
                <w:sz w:val="16"/>
                <w:szCs w:val="16"/>
              </w:rPr>
            </w:pPr>
            <w:r w:rsidRPr="00253629">
              <w:rPr>
                <w:b/>
                <w:bCs/>
                <w:color w:val="auto"/>
                <w:sz w:val="16"/>
                <w:szCs w:val="16"/>
              </w:rPr>
              <w:t>Program 3.2: Aged Care Services</w:t>
            </w:r>
            <w:r w:rsidRPr="00253629">
              <w:rPr>
                <w:color w:val="auto"/>
                <w:sz w:val="16"/>
                <w:szCs w:val="16"/>
                <w:vertAlign w:val="superscript"/>
              </w:rPr>
              <w:t xml:space="preserve"> (d) (e) </w:t>
            </w:r>
          </w:p>
        </w:tc>
      </w:tr>
      <w:tr w:rsidR="00253629" w:rsidRPr="00253629" w14:paraId="0E0392E6"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6BDB6FB9" w14:textId="77777777" w:rsidR="00253629" w:rsidRPr="00253629" w:rsidRDefault="00253629" w:rsidP="00253629">
            <w:pPr>
              <w:spacing w:before="0" w:after="0"/>
              <w:ind w:firstLineChars="100" w:firstLine="160"/>
              <w:rPr>
                <w:color w:val="auto"/>
                <w:sz w:val="16"/>
                <w:szCs w:val="16"/>
              </w:rPr>
            </w:pPr>
            <w:r w:rsidRPr="00253629">
              <w:rPr>
                <w:color w:val="auto"/>
                <w:sz w:val="16"/>
                <w:szCs w:val="16"/>
              </w:rPr>
              <w:t>Administered expenses</w:t>
            </w:r>
          </w:p>
        </w:tc>
        <w:tc>
          <w:tcPr>
            <w:tcW w:w="903" w:type="dxa"/>
            <w:tcBorders>
              <w:top w:val="nil"/>
              <w:left w:val="nil"/>
              <w:bottom w:val="nil"/>
              <w:right w:val="nil"/>
            </w:tcBorders>
            <w:shd w:val="clear" w:color="auto" w:fill="auto"/>
            <w:noWrap/>
            <w:vAlign w:val="bottom"/>
            <w:hideMark/>
          </w:tcPr>
          <w:p w14:paraId="5C59F9FA" w14:textId="77777777" w:rsidR="00253629" w:rsidRPr="00253629" w:rsidRDefault="00253629" w:rsidP="0025362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vAlign w:val="bottom"/>
            <w:hideMark/>
          </w:tcPr>
          <w:p w14:paraId="02D7C9B6"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vAlign w:val="bottom"/>
            <w:hideMark/>
          </w:tcPr>
          <w:p w14:paraId="2B61EF16"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vAlign w:val="bottom"/>
            <w:hideMark/>
          </w:tcPr>
          <w:p w14:paraId="671DD9A9"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vAlign w:val="bottom"/>
            <w:hideMark/>
          </w:tcPr>
          <w:p w14:paraId="7F3421DA"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03A47AB8"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3A2727D8" w14:textId="77777777" w:rsidR="00253629" w:rsidRPr="00253629" w:rsidRDefault="00253629" w:rsidP="00253629">
            <w:pPr>
              <w:spacing w:before="0" w:after="0"/>
              <w:ind w:leftChars="150" w:left="270"/>
              <w:rPr>
                <w:color w:val="auto"/>
                <w:sz w:val="16"/>
                <w:szCs w:val="16"/>
              </w:rPr>
            </w:pPr>
            <w:r w:rsidRPr="00253629">
              <w:rPr>
                <w:color w:val="auto"/>
                <w:sz w:val="16"/>
                <w:szCs w:val="16"/>
              </w:rPr>
              <w:t xml:space="preserve">Ordinary annual services </w:t>
            </w:r>
            <w:r w:rsidRPr="00253629">
              <w:rPr>
                <w:color w:val="auto"/>
                <w:sz w:val="16"/>
                <w:szCs w:val="16"/>
                <w:vertAlign w:val="superscript"/>
              </w:rPr>
              <w:t>(a)</w:t>
            </w:r>
          </w:p>
        </w:tc>
        <w:tc>
          <w:tcPr>
            <w:tcW w:w="903" w:type="dxa"/>
            <w:tcBorders>
              <w:top w:val="nil"/>
              <w:left w:val="nil"/>
              <w:bottom w:val="nil"/>
              <w:right w:val="nil"/>
            </w:tcBorders>
            <w:shd w:val="clear" w:color="auto" w:fill="auto"/>
            <w:noWrap/>
            <w:tcMar>
              <w:left w:w="0" w:type="dxa"/>
              <w:right w:w="28" w:type="dxa"/>
            </w:tcMar>
            <w:vAlign w:val="bottom"/>
            <w:hideMark/>
          </w:tcPr>
          <w:p w14:paraId="0B305C58" w14:textId="77777777" w:rsidR="00253629" w:rsidRPr="00253629" w:rsidRDefault="00253629" w:rsidP="00253629">
            <w:pPr>
              <w:spacing w:before="0" w:after="0"/>
              <w:jc w:val="right"/>
              <w:rPr>
                <w:color w:val="auto"/>
                <w:sz w:val="16"/>
                <w:szCs w:val="16"/>
              </w:rPr>
            </w:pPr>
            <w:r w:rsidRPr="00253629">
              <w:rPr>
                <w:color w:val="auto"/>
                <w:sz w:val="16"/>
                <w:szCs w:val="16"/>
              </w:rPr>
              <w:t>4,130,576</w:t>
            </w:r>
          </w:p>
        </w:tc>
        <w:tc>
          <w:tcPr>
            <w:tcW w:w="904" w:type="dxa"/>
            <w:tcBorders>
              <w:top w:val="nil"/>
              <w:left w:val="nil"/>
              <w:bottom w:val="nil"/>
              <w:right w:val="nil"/>
            </w:tcBorders>
            <w:shd w:val="clear" w:color="000000" w:fill="D9D9D9"/>
            <w:noWrap/>
            <w:tcMar>
              <w:left w:w="0" w:type="dxa"/>
              <w:right w:w="28" w:type="dxa"/>
            </w:tcMar>
            <w:vAlign w:val="bottom"/>
            <w:hideMark/>
          </w:tcPr>
          <w:p w14:paraId="59534B66" w14:textId="77777777" w:rsidR="00253629" w:rsidRPr="00253629" w:rsidRDefault="00253629" w:rsidP="00253629">
            <w:pPr>
              <w:spacing w:before="0" w:after="0"/>
              <w:jc w:val="right"/>
              <w:rPr>
                <w:color w:val="auto"/>
                <w:sz w:val="16"/>
                <w:szCs w:val="16"/>
              </w:rPr>
            </w:pPr>
            <w:r w:rsidRPr="00253629">
              <w:rPr>
                <w:color w:val="auto"/>
                <w:sz w:val="16"/>
                <w:szCs w:val="16"/>
              </w:rPr>
              <w:t>4,095,734</w:t>
            </w:r>
          </w:p>
        </w:tc>
        <w:tc>
          <w:tcPr>
            <w:tcW w:w="904" w:type="dxa"/>
            <w:tcBorders>
              <w:top w:val="nil"/>
              <w:left w:val="nil"/>
              <w:bottom w:val="nil"/>
              <w:right w:val="nil"/>
            </w:tcBorders>
            <w:shd w:val="clear" w:color="auto" w:fill="auto"/>
            <w:noWrap/>
            <w:tcMar>
              <w:left w:w="0" w:type="dxa"/>
              <w:right w:w="28" w:type="dxa"/>
            </w:tcMar>
            <w:vAlign w:val="bottom"/>
            <w:hideMark/>
          </w:tcPr>
          <w:p w14:paraId="6B806111" w14:textId="77777777" w:rsidR="00253629" w:rsidRPr="00253629" w:rsidRDefault="00253629" w:rsidP="00253629">
            <w:pPr>
              <w:spacing w:before="0" w:after="0"/>
              <w:jc w:val="right"/>
              <w:rPr>
                <w:color w:val="auto"/>
                <w:sz w:val="16"/>
                <w:szCs w:val="16"/>
              </w:rPr>
            </w:pPr>
            <w:r w:rsidRPr="00253629">
              <w:rPr>
                <w:color w:val="auto"/>
                <w:sz w:val="16"/>
                <w:szCs w:val="16"/>
              </w:rPr>
              <w:t>3,990,941</w:t>
            </w:r>
          </w:p>
        </w:tc>
        <w:tc>
          <w:tcPr>
            <w:tcW w:w="904" w:type="dxa"/>
            <w:tcBorders>
              <w:top w:val="nil"/>
              <w:left w:val="nil"/>
              <w:bottom w:val="nil"/>
              <w:right w:val="nil"/>
            </w:tcBorders>
            <w:shd w:val="clear" w:color="auto" w:fill="auto"/>
            <w:noWrap/>
            <w:tcMar>
              <w:left w:w="0" w:type="dxa"/>
              <w:right w:w="28" w:type="dxa"/>
            </w:tcMar>
            <w:vAlign w:val="bottom"/>
            <w:hideMark/>
          </w:tcPr>
          <w:p w14:paraId="3718C149" w14:textId="77777777" w:rsidR="00253629" w:rsidRPr="00253629" w:rsidRDefault="00253629" w:rsidP="00253629">
            <w:pPr>
              <w:spacing w:before="0" w:after="0"/>
              <w:jc w:val="right"/>
              <w:rPr>
                <w:color w:val="auto"/>
                <w:sz w:val="16"/>
                <w:szCs w:val="16"/>
              </w:rPr>
            </w:pPr>
            <w:r w:rsidRPr="00253629">
              <w:rPr>
                <w:color w:val="auto"/>
                <w:sz w:val="16"/>
                <w:szCs w:val="16"/>
              </w:rPr>
              <w:t>4,198,921</w:t>
            </w:r>
          </w:p>
        </w:tc>
        <w:tc>
          <w:tcPr>
            <w:tcW w:w="904" w:type="dxa"/>
            <w:tcBorders>
              <w:top w:val="nil"/>
              <w:left w:val="nil"/>
              <w:bottom w:val="nil"/>
              <w:right w:val="nil"/>
            </w:tcBorders>
            <w:shd w:val="clear" w:color="auto" w:fill="auto"/>
            <w:noWrap/>
            <w:tcMar>
              <w:left w:w="0" w:type="dxa"/>
              <w:right w:w="28" w:type="dxa"/>
            </w:tcMar>
            <w:vAlign w:val="bottom"/>
            <w:hideMark/>
          </w:tcPr>
          <w:p w14:paraId="4BBBEDF4" w14:textId="77777777" w:rsidR="00253629" w:rsidRPr="00253629" w:rsidRDefault="00253629" w:rsidP="00253629">
            <w:pPr>
              <w:spacing w:before="0" w:after="0"/>
              <w:jc w:val="right"/>
              <w:rPr>
                <w:color w:val="auto"/>
                <w:sz w:val="16"/>
                <w:szCs w:val="16"/>
              </w:rPr>
            </w:pPr>
            <w:r w:rsidRPr="00253629">
              <w:rPr>
                <w:color w:val="auto"/>
                <w:sz w:val="16"/>
                <w:szCs w:val="16"/>
              </w:rPr>
              <w:t>4,425,526</w:t>
            </w:r>
          </w:p>
        </w:tc>
      </w:tr>
      <w:tr w:rsidR="00253629" w:rsidRPr="00253629" w14:paraId="0D5AC35E"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5804867C" w14:textId="77777777" w:rsidR="00253629" w:rsidRPr="00253629" w:rsidRDefault="00253629" w:rsidP="00253629">
            <w:pPr>
              <w:spacing w:before="0" w:after="0"/>
              <w:ind w:leftChars="150" w:left="270"/>
              <w:rPr>
                <w:color w:val="auto"/>
                <w:sz w:val="16"/>
                <w:szCs w:val="16"/>
              </w:rPr>
            </w:pPr>
            <w:r w:rsidRPr="00253629">
              <w:rPr>
                <w:color w:val="auto"/>
                <w:sz w:val="16"/>
                <w:szCs w:val="16"/>
              </w:rPr>
              <w:t>Zero Real Interest Loans</w:t>
            </w:r>
          </w:p>
        </w:tc>
        <w:tc>
          <w:tcPr>
            <w:tcW w:w="903" w:type="dxa"/>
            <w:tcBorders>
              <w:top w:val="nil"/>
              <w:left w:val="nil"/>
              <w:bottom w:val="nil"/>
              <w:right w:val="nil"/>
            </w:tcBorders>
            <w:shd w:val="clear" w:color="auto" w:fill="auto"/>
            <w:noWrap/>
            <w:tcMar>
              <w:left w:w="0" w:type="dxa"/>
              <w:right w:w="28" w:type="dxa"/>
            </w:tcMar>
            <w:vAlign w:val="bottom"/>
            <w:hideMark/>
          </w:tcPr>
          <w:p w14:paraId="40A8323E" w14:textId="77777777" w:rsidR="00253629" w:rsidRPr="00253629" w:rsidRDefault="00253629" w:rsidP="0025362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0" w:type="dxa"/>
              <w:right w:w="28" w:type="dxa"/>
            </w:tcMar>
            <w:vAlign w:val="bottom"/>
            <w:hideMark/>
          </w:tcPr>
          <w:p w14:paraId="0F9C3D48"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tcMar>
              <w:left w:w="0" w:type="dxa"/>
              <w:right w:w="28" w:type="dxa"/>
            </w:tcMar>
            <w:vAlign w:val="bottom"/>
            <w:hideMark/>
          </w:tcPr>
          <w:p w14:paraId="77E7B4F1"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tcMar>
              <w:left w:w="0" w:type="dxa"/>
              <w:right w:w="28" w:type="dxa"/>
            </w:tcMar>
            <w:vAlign w:val="bottom"/>
            <w:hideMark/>
          </w:tcPr>
          <w:p w14:paraId="0F156DD3"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0" w:type="dxa"/>
              <w:right w:w="28" w:type="dxa"/>
            </w:tcMar>
            <w:vAlign w:val="bottom"/>
            <w:hideMark/>
          </w:tcPr>
          <w:p w14:paraId="4422FD43"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10F065FE"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6E05A052" w14:textId="77777777" w:rsidR="00253629" w:rsidRPr="00253629" w:rsidRDefault="00253629" w:rsidP="00253629">
            <w:pPr>
              <w:spacing w:before="0" w:after="0"/>
              <w:ind w:leftChars="225" w:left="405"/>
              <w:rPr>
                <w:color w:val="auto"/>
                <w:sz w:val="16"/>
                <w:szCs w:val="16"/>
              </w:rPr>
            </w:pPr>
            <w:r w:rsidRPr="00253629">
              <w:rPr>
                <w:color w:val="auto"/>
                <w:sz w:val="16"/>
                <w:szCs w:val="16"/>
              </w:rPr>
              <w:t>- appropriation</w:t>
            </w:r>
          </w:p>
        </w:tc>
        <w:tc>
          <w:tcPr>
            <w:tcW w:w="903" w:type="dxa"/>
            <w:tcBorders>
              <w:top w:val="nil"/>
              <w:left w:val="nil"/>
              <w:bottom w:val="nil"/>
              <w:right w:val="nil"/>
            </w:tcBorders>
            <w:shd w:val="clear" w:color="auto" w:fill="auto"/>
            <w:noWrap/>
            <w:tcMar>
              <w:left w:w="0" w:type="dxa"/>
              <w:right w:w="28" w:type="dxa"/>
            </w:tcMar>
            <w:vAlign w:val="bottom"/>
            <w:hideMark/>
          </w:tcPr>
          <w:p w14:paraId="68E46C50" w14:textId="77777777" w:rsidR="00253629" w:rsidRPr="00253629" w:rsidRDefault="00253629" w:rsidP="00253629">
            <w:pPr>
              <w:spacing w:before="0" w:after="0"/>
              <w:jc w:val="right"/>
              <w:rPr>
                <w:color w:val="auto"/>
                <w:sz w:val="16"/>
                <w:szCs w:val="16"/>
              </w:rPr>
            </w:pPr>
            <w:r w:rsidRPr="00253629">
              <w:rPr>
                <w:color w:val="auto"/>
                <w:sz w:val="16"/>
                <w:szCs w:val="16"/>
              </w:rPr>
              <w:t>6,618</w:t>
            </w:r>
          </w:p>
        </w:tc>
        <w:tc>
          <w:tcPr>
            <w:tcW w:w="904" w:type="dxa"/>
            <w:tcBorders>
              <w:top w:val="nil"/>
              <w:left w:val="nil"/>
              <w:bottom w:val="nil"/>
              <w:right w:val="nil"/>
            </w:tcBorders>
            <w:shd w:val="clear" w:color="000000" w:fill="D9D9D9"/>
            <w:noWrap/>
            <w:tcMar>
              <w:left w:w="0" w:type="dxa"/>
              <w:right w:w="28" w:type="dxa"/>
            </w:tcMar>
            <w:vAlign w:val="bottom"/>
            <w:hideMark/>
          </w:tcPr>
          <w:p w14:paraId="1E1C2317"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387ADDA8"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5C9647A0"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0C46BDEA" w14:textId="77777777" w:rsidR="00253629" w:rsidRPr="00253629" w:rsidRDefault="00253629" w:rsidP="00253629">
            <w:pPr>
              <w:spacing w:before="0" w:after="0"/>
              <w:jc w:val="right"/>
              <w:rPr>
                <w:color w:val="auto"/>
                <w:sz w:val="16"/>
                <w:szCs w:val="16"/>
              </w:rPr>
            </w:pPr>
            <w:r w:rsidRPr="00253629">
              <w:rPr>
                <w:color w:val="auto"/>
                <w:sz w:val="16"/>
                <w:szCs w:val="16"/>
              </w:rPr>
              <w:t>-</w:t>
            </w:r>
          </w:p>
        </w:tc>
      </w:tr>
      <w:tr w:rsidR="00253629" w:rsidRPr="00253629" w14:paraId="3DF3B7A3"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71858CA6" w14:textId="77777777" w:rsidR="00253629" w:rsidRPr="00253629" w:rsidRDefault="00253629" w:rsidP="00253629">
            <w:pPr>
              <w:spacing w:before="0" w:after="0"/>
              <w:ind w:leftChars="225" w:left="405"/>
              <w:rPr>
                <w:color w:val="auto"/>
                <w:sz w:val="16"/>
                <w:szCs w:val="16"/>
              </w:rPr>
            </w:pPr>
            <w:r w:rsidRPr="00253629">
              <w:rPr>
                <w:color w:val="auto"/>
                <w:sz w:val="16"/>
                <w:szCs w:val="16"/>
              </w:rPr>
              <w:t xml:space="preserve">- expense adjustment </w:t>
            </w:r>
            <w:r w:rsidRPr="00253629">
              <w:rPr>
                <w:color w:val="auto"/>
                <w:sz w:val="16"/>
                <w:szCs w:val="16"/>
                <w:vertAlign w:val="superscript"/>
              </w:rPr>
              <w:t>(f)</w:t>
            </w:r>
          </w:p>
        </w:tc>
        <w:tc>
          <w:tcPr>
            <w:tcW w:w="903" w:type="dxa"/>
            <w:tcBorders>
              <w:top w:val="nil"/>
              <w:left w:val="nil"/>
              <w:bottom w:val="nil"/>
              <w:right w:val="nil"/>
            </w:tcBorders>
            <w:shd w:val="clear" w:color="auto" w:fill="auto"/>
            <w:noWrap/>
            <w:tcMar>
              <w:left w:w="0" w:type="dxa"/>
              <w:right w:w="28" w:type="dxa"/>
            </w:tcMar>
            <w:vAlign w:val="bottom"/>
            <w:hideMark/>
          </w:tcPr>
          <w:p w14:paraId="2B71B22B" w14:textId="77777777" w:rsidR="00253629" w:rsidRPr="00253629" w:rsidRDefault="00253629" w:rsidP="00253629">
            <w:pPr>
              <w:spacing w:before="0" w:after="0"/>
              <w:jc w:val="right"/>
              <w:rPr>
                <w:color w:val="auto"/>
                <w:sz w:val="16"/>
                <w:szCs w:val="16"/>
              </w:rPr>
            </w:pPr>
            <w:r w:rsidRPr="00253629">
              <w:rPr>
                <w:color w:val="auto"/>
                <w:sz w:val="16"/>
                <w:szCs w:val="16"/>
              </w:rPr>
              <w:t>(4,442)</w:t>
            </w:r>
          </w:p>
        </w:tc>
        <w:tc>
          <w:tcPr>
            <w:tcW w:w="904" w:type="dxa"/>
            <w:tcBorders>
              <w:top w:val="nil"/>
              <w:left w:val="nil"/>
              <w:bottom w:val="nil"/>
              <w:right w:val="nil"/>
            </w:tcBorders>
            <w:shd w:val="clear" w:color="000000" w:fill="D9D9D9"/>
            <w:noWrap/>
            <w:tcMar>
              <w:left w:w="0" w:type="dxa"/>
              <w:right w:w="28" w:type="dxa"/>
            </w:tcMar>
            <w:vAlign w:val="bottom"/>
            <w:hideMark/>
          </w:tcPr>
          <w:p w14:paraId="43CCEAD2"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275953E8"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28F4A80D"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4CDFBA1D" w14:textId="77777777" w:rsidR="00253629" w:rsidRPr="00253629" w:rsidRDefault="00253629" w:rsidP="00253629">
            <w:pPr>
              <w:spacing w:before="0" w:after="0"/>
              <w:jc w:val="right"/>
              <w:rPr>
                <w:color w:val="auto"/>
                <w:sz w:val="16"/>
                <w:szCs w:val="16"/>
              </w:rPr>
            </w:pPr>
            <w:r w:rsidRPr="00253629">
              <w:rPr>
                <w:color w:val="auto"/>
                <w:sz w:val="16"/>
                <w:szCs w:val="16"/>
              </w:rPr>
              <w:t>-</w:t>
            </w:r>
          </w:p>
        </w:tc>
      </w:tr>
      <w:tr w:rsidR="00253629" w:rsidRPr="00253629" w14:paraId="6020145A"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49D8BE88" w14:textId="77777777" w:rsidR="00253629" w:rsidRPr="00253629" w:rsidRDefault="00253629" w:rsidP="00253629">
            <w:pPr>
              <w:spacing w:before="0" w:after="0"/>
              <w:ind w:leftChars="150" w:left="270"/>
              <w:rPr>
                <w:color w:val="auto"/>
                <w:sz w:val="16"/>
                <w:szCs w:val="16"/>
              </w:rPr>
            </w:pPr>
            <w:r w:rsidRPr="00253629">
              <w:rPr>
                <w:color w:val="auto"/>
                <w:sz w:val="16"/>
                <w:szCs w:val="16"/>
              </w:rPr>
              <w:t>Other services</w:t>
            </w:r>
          </w:p>
        </w:tc>
        <w:tc>
          <w:tcPr>
            <w:tcW w:w="903" w:type="dxa"/>
            <w:tcBorders>
              <w:top w:val="nil"/>
              <w:left w:val="nil"/>
              <w:bottom w:val="nil"/>
              <w:right w:val="nil"/>
            </w:tcBorders>
            <w:shd w:val="clear" w:color="auto" w:fill="auto"/>
            <w:noWrap/>
            <w:tcMar>
              <w:left w:w="0" w:type="dxa"/>
              <w:right w:w="28" w:type="dxa"/>
            </w:tcMar>
            <w:vAlign w:val="bottom"/>
            <w:hideMark/>
          </w:tcPr>
          <w:p w14:paraId="1B124AD7" w14:textId="77777777" w:rsidR="00253629" w:rsidRPr="00253629" w:rsidRDefault="00253629" w:rsidP="0025362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0" w:type="dxa"/>
              <w:right w:w="28" w:type="dxa"/>
            </w:tcMar>
            <w:vAlign w:val="bottom"/>
            <w:hideMark/>
          </w:tcPr>
          <w:p w14:paraId="27CDCF02"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tcMar>
              <w:left w:w="0" w:type="dxa"/>
              <w:right w:w="28" w:type="dxa"/>
            </w:tcMar>
            <w:vAlign w:val="bottom"/>
            <w:hideMark/>
          </w:tcPr>
          <w:p w14:paraId="1D8B3C59"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tcMar>
              <w:left w:w="0" w:type="dxa"/>
              <w:right w:w="28" w:type="dxa"/>
            </w:tcMar>
            <w:vAlign w:val="bottom"/>
            <w:hideMark/>
          </w:tcPr>
          <w:p w14:paraId="0196D3CA"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0" w:type="dxa"/>
              <w:right w:w="28" w:type="dxa"/>
            </w:tcMar>
            <w:vAlign w:val="bottom"/>
            <w:hideMark/>
          </w:tcPr>
          <w:p w14:paraId="12479B5E"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4065252C" w14:textId="77777777" w:rsidTr="00253629">
        <w:trPr>
          <w:trHeight w:val="450"/>
          <w:jc w:val="center"/>
        </w:trPr>
        <w:tc>
          <w:tcPr>
            <w:tcW w:w="2801" w:type="dxa"/>
            <w:tcBorders>
              <w:top w:val="nil"/>
              <w:left w:val="nil"/>
              <w:bottom w:val="nil"/>
              <w:right w:val="nil"/>
            </w:tcBorders>
            <w:shd w:val="clear" w:color="auto" w:fill="auto"/>
            <w:vAlign w:val="bottom"/>
            <w:hideMark/>
          </w:tcPr>
          <w:p w14:paraId="49B9B6AB" w14:textId="77777777" w:rsidR="00253629" w:rsidRPr="00253629" w:rsidRDefault="00253629" w:rsidP="00253629">
            <w:pPr>
              <w:spacing w:before="0" w:after="0"/>
              <w:ind w:leftChars="150" w:left="270"/>
              <w:rPr>
                <w:color w:val="auto"/>
                <w:sz w:val="16"/>
                <w:szCs w:val="16"/>
              </w:rPr>
            </w:pPr>
            <w:r w:rsidRPr="00253629">
              <w:rPr>
                <w:color w:val="auto"/>
                <w:sz w:val="16"/>
                <w:szCs w:val="16"/>
              </w:rPr>
              <w:t>Refundable Accommodation Deposit Concessional Loan</w:t>
            </w:r>
          </w:p>
        </w:tc>
        <w:tc>
          <w:tcPr>
            <w:tcW w:w="903" w:type="dxa"/>
            <w:tcBorders>
              <w:top w:val="nil"/>
              <w:left w:val="nil"/>
              <w:bottom w:val="nil"/>
              <w:right w:val="nil"/>
            </w:tcBorders>
            <w:shd w:val="clear" w:color="auto" w:fill="auto"/>
            <w:noWrap/>
            <w:tcMar>
              <w:left w:w="0" w:type="dxa"/>
              <w:right w:w="28" w:type="dxa"/>
            </w:tcMar>
            <w:vAlign w:val="bottom"/>
            <w:hideMark/>
          </w:tcPr>
          <w:p w14:paraId="74A1AAEA" w14:textId="77777777" w:rsidR="00253629" w:rsidRPr="00253629" w:rsidRDefault="00253629" w:rsidP="0025362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0" w:type="dxa"/>
              <w:right w:w="28" w:type="dxa"/>
            </w:tcMar>
            <w:vAlign w:val="bottom"/>
            <w:hideMark/>
          </w:tcPr>
          <w:p w14:paraId="7926C951"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tcMar>
              <w:left w:w="0" w:type="dxa"/>
              <w:right w:w="28" w:type="dxa"/>
            </w:tcMar>
            <w:vAlign w:val="bottom"/>
            <w:hideMark/>
          </w:tcPr>
          <w:p w14:paraId="6006216F"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tcMar>
              <w:left w:w="0" w:type="dxa"/>
              <w:right w:w="28" w:type="dxa"/>
            </w:tcMar>
            <w:vAlign w:val="bottom"/>
            <w:hideMark/>
          </w:tcPr>
          <w:p w14:paraId="663D86A6"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0" w:type="dxa"/>
              <w:right w:w="28" w:type="dxa"/>
            </w:tcMar>
            <w:vAlign w:val="bottom"/>
            <w:hideMark/>
          </w:tcPr>
          <w:p w14:paraId="61637AA6"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33716202"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034FCDEC" w14:textId="77777777" w:rsidR="00253629" w:rsidRPr="00253629" w:rsidRDefault="00253629" w:rsidP="00253629">
            <w:pPr>
              <w:spacing w:before="0" w:after="0"/>
              <w:ind w:leftChars="225" w:left="405"/>
              <w:rPr>
                <w:color w:val="auto"/>
                <w:sz w:val="16"/>
                <w:szCs w:val="16"/>
              </w:rPr>
            </w:pPr>
            <w:r w:rsidRPr="00253629">
              <w:rPr>
                <w:color w:val="auto"/>
                <w:sz w:val="16"/>
                <w:szCs w:val="16"/>
              </w:rPr>
              <w:t>- appropriation</w:t>
            </w:r>
          </w:p>
        </w:tc>
        <w:tc>
          <w:tcPr>
            <w:tcW w:w="903" w:type="dxa"/>
            <w:tcBorders>
              <w:top w:val="nil"/>
              <w:left w:val="nil"/>
              <w:bottom w:val="nil"/>
              <w:right w:val="nil"/>
            </w:tcBorders>
            <w:shd w:val="clear" w:color="auto" w:fill="auto"/>
            <w:noWrap/>
            <w:tcMar>
              <w:left w:w="0" w:type="dxa"/>
              <w:right w:w="28" w:type="dxa"/>
            </w:tcMar>
            <w:vAlign w:val="bottom"/>
            <w:hideMark/>
          </w:tcPr>
          <w:p w14:paraId="279B8E68" w14:textId="77777777" w:rsidR="00253629" w:rsidRPr="00253629" w:rsidRDefault="00253629" w:rsidP="00253629">
            <w:pPr>
              <w:spacing w:before="0" w:after="0"/>
              <w:jc w:val="right"/>
              <w:rPr>
                <w:color w:val="auto"/>
                <w:sz w:val="16"/>
                <w:szCs w:val="16"/>
              </w:rPr>
            </w:pPr>
            <w:r w:rsidRPr="00253629">
              <w:rPr>
                <w:color w:val="auto"/>
                <w:sz w:val="16"/>
                <w:szCs w:val="16"/>
              </w:rPr>
              <w:t>90,179</w:t>
            </w:r>
          </w:p>
        </w:tc>
        <w:tc>
          <w:tcPr>
            <w:tcW w:w="904" w:type="dxa"/>
            <w:tcBorders>
              <w:top w:val="nil"/>
              <w:left w:val="nil"/>
              <w:bottom w:val="nil"/>
              <w:right w:val="nil"/>
            </w:tcBorders>
            <w:shd w:val="clear" w:color="000000" w:fill="D9D9D9"/>
            <w:noWrap/>
            <w:tcMar>
              <w:left w:w="0" w:type="dxa"/>
              <w:right w:w="28" w:type="dxa"/>
            </w:tcMar>
            <w:vAlign w:val="bottom"/>
            <w:hideMark/>
          </w:tcPr>
          <w:p w14:paraId="15B3040D" w14:textId="77777777" w:rsidR="00253629" w:rsidRPr="00253629" w:rsidRDefault="00253629" w:rsidP="00253629">
            <w:pPr>
              <w:spacing w:before="0" w:after="0"/>
              <w:jc w:val="right"/>
              <w:rPr>
                <w:color w:val="auto"/>
                <w:sz w:val="16"/>
                <w:szCs w:val="16"/>
              </w:rPr>
            </w:pPr>
            <w:r w:rsidRPr="00253629">
              <w:rPr>
                <w:color w:val="auto"/>
                <w:sz w:val="16"/>
                <w:szCs w:val="16"/>
              </w:rPr>
              <w:t>38,648</w:t>
            </w:r>
          </w:p>
        </w:tc>
        <w:tc>
          <w:tcPr>
            <w:tcW w:w="904" w:type="dxa"/>
            <w:tcBorders>
              <w:top w:val="nil"/>
              <w:left w:val="nil"/>
              <w:bottom w:val="nil"/>
              <w:right w:val="nil"/>
            </w:tcBorders>
            <w:shd w:val="clear" w:color="auto" w:fill="auto"/>
            <w:noWrap/>
            <w:tcMar>
              <w:left w:w="0" w:type="dxa"/>
              <w:right w:w="28" w:type="dxa"/>
            </w:tcMar>
            <w:vAlign w:val="bottom"/>
            <w:hideMark/>
          </w:tcPr>
          <w:p w14:paraId="0FAF3028"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4ED7224E"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2E4BF7E2" w14:textId="77777777" w:rsidR="00253629" w:rsidRPr="00253629" w:rsidRDefault="00253629" w:rsidP="00253629">
            <w:pPr>
              <w:spacing w:before="0" w:after="0"/>
              <w:jc w:val="right"/>
              <w:rPr>
                <w:color w:val="auto"/>
                <w:sz w:val="16"/>
                <w:szCs w:val="16"/>
              </w:rPr>
            </w:pPr>
            <w:r w:rsidRPr="00253629">
              <w:rPr>
                <w:color w:val="auto"/>
                <w:sz w:val="16"/>
                <w:szCs w:val="16"/>
              </w:rPr>
              <w:t>-</w:t>
            </w:r>
          </w:p>
        </w:tc>
      </w:tr>
      <w:tr w:rsidR="00253629" w:rsidRPr="00253629" w14:paraId="6260518D"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1FC9B674" w14:textId="77777777" w:rsidR="00253629" w:rsidRPr="00253629" w:rsidRDefault="00253629" w:rsidP="00253629">
            <w:pPr>
              <w:spacing w:before="0" w:after="0"/>
              <w:ind w:leftChars="225" w:left="405"/>
              <w:rPr>
                <w:color w:val="auto"/>
                <w:sz w:val="16"/>
                <w:szCs w:val="16"/>
              </w:rPr>
            </w:pPr>
            <w:r w:rsidRPr="00253629">
              <w:rPr>
                <w:color w:val="auto"/>
                <w:sz w:val="16"/>
                <w:szCs w:val="16"/>
              </w:rPr>
              <w:t xml:space="preserve">- expense adjustment </w:t>
            </w:r>
            <w:r w:rsidRPr="00253629">
              <w:rPr>
                <w:color w:val="auto"/>
                <w:sz w:val="16"/>
                <w:szCs w:val="16"/>
                <w:vertAlign w:val="superscript"/>
              </w:rPr>
              <w:t>(g)</w:t>
            </w:r>
          </w:p>
        </w:tc>
        <w:tc>
          <w:tcPr>
            <w:tcW w:w="903" w:type="dxa"/>
            <w:tcBorders>
              <w:top w:val="nil"/>
              <w:left w:val="nil"/>
              <w:bottom w:val="nil"/>
              <w:right w:val="nil"/>
            </w:tcBorders>
            <w:shd w:val="clear" w:color="auto" w:fill="auto"/>
            <w:noWrap/>
            <w:tcMar>
              <w:left w:w="0" w:type="dxa"/>
              <w:right w:w="28" w:type="dxa"/>
            </w:tcMar>
            <w:vAlign w:val="bottom"/>
            <w:hideMark/>
          </w:tcPr>
          <w:p w14:paraId="18693DCF" w14:textId="77777777" w:rsidR="00253629" w:rsidRPr="00253629" w:rsidRDefault="00253629" w:rsidP="00253629">
            <w:pPr>
              <w:spacing w:before="0" w:after="0"/>
              <w:jc w:val="right"/>
              <w:rPr>
                <w:color w:val="auto"/>
                <w:sz w:val="16"/>
                <w:szCs w:val="16"/>
              </w:rPr>
            </w:pPr>
            <w:r w:rsidRPr="00253629">
              <w:rPr>
                <w:color w:val="auto"/>
                <w:sz w:val="16"/>
                <w:szCs w:val="16"/>
              </w:rPr>
              <w:t>(80,577)</w:t>
            </w:r>
          </w:p>
        </w:tc>
        <w:tc>
          <w:tcPr>
            <w:tcW w:w="904" w:type="dxa"/>
            <w:tcBorders>
              <w:top w:val="nil"/>
              <w:left w:val="nil"/>
              <w:bottom w:val="nil"/>
              <w:right w:val="nil"/>
            </w:tcBorders>
            <w:shd w:val="clear" w:color="000000" w:fill="D9D9D9"/>
            <w:noWrap/>
            <w:tcMar>
              <w:left w:w="0" w:type="dxa"/>
              <w:right w:w="28" w:type="dxa"/>
            </w:tcMar>
            <w:vAlign w:val="bottom"/>
            <w:hideMark/>
          </w:tcPr>
          <w:p w14:paraId="1874F47C" w14:textId="77777777" w:rsidR="00253629" w:rsidRPr="00253629" w:rsidRDefault="00253629" w:rsidP="00253629">
            <w:pPr>
              <w:spacing w:before="0" w:after="0"/>
              <w:jc w:val="right"/>
              <w:rPr>
                <w:color w:val="auto"/>
                <w:sz w:val="16"/>
                <w:szCs w:val="16"/>
              </w:rPr>
            </w:pPr>
            <w:r w:rsidRPr="00253629">
              <w:rPr>
                <w:color w:val="auto"/>
                <w:sz w:val="16"/>
                <w:szCs w:val="16"/>
              </w:rPr>
              <w:t>(34,003)</w:t>
            </w:r>
          </w:p>
        </w:tc>
        <w:tc>
          <w:tcPr>
            <w:tcW w:w="904" w:type="dxa"/>
            <w:tcBorders>
              <w:top w:val="nil"/>
              <w:left w:val="nil"/>
              <w:bottom w:val="nil"/>
              <w:right w:val="nil"/>
            </w:tcBorders>
            <w:shd w:val="clear" w:color="auto" w:fill="auto"/>
            <w:noWrap/>
            <w:tcMar>
              <w:left w:w="0" w:type="dxa"/>
              <w:right w:w="28" w:type="dxa"/>
            </w:tcMar>
            <w:vAlign w:val="bottom"/>
            <w:hideMark/>
          </w:tcPr>
          <w:p w14:paraId="59D3FB0F" w14:textId="77777777" w:rsidR="00253629" w:rsidRPr="00253629" w:rsidRDefault="00253629" w:rsidP="00253629">
            <w:pPr>
              <w:spacing w:before="0" w:after="0"/>
              <w:jc w:val="right"/>
              <w:rPr>
                <w:color w:val="auto"/>
                <w:sz w:val="16"/>
                <w:szCs w:val="16"/>
              </w:rPr>
            </w:pPr>
            <w:r w:rsidRPr="00253629">
              <w:rPr>
                <w:color w:val="auto"/>
                <w:sz w:val="16"/>
                <w:szCs w:val="16"/>
              </w:rPr>
              <w:t>531</w:t>
            </w:r>
          </w:p>
        </w:tc>
        <w:tc>
          <w:tcPr>
            <w:tcW w:w="904" w:type="dxa"/>
            <w:tcBorders>
              <w:top w:val="nil"/>
              <w:left w:val="nil"/>
              <w:bottom w:val="nil"/>
              <w:right w:val="nil"/>
            </w:tcBorders>
            <w:shd w:val="clear" w:color="auto" w:fill="auto"/>
            <w:noWrap/>
            <w:tcMar>
              <w:left w:w="0" w:type="dxa"/>
              <w:right w:w="28" w:type="dxa"/>
            </w:tcMar>
            <w:vAlign w:val="bottom"/>
            <w:hideMark/>
          </w:tcPr>
          <w:p w14:paraId="34534943"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7A2E6EDF" w14:textId="77777777" w:rsidR="00253629" w:rsidRPr="00253629" w:rsidRDefault="00253629" w:rsidP="00253629">
            <w:pPr>
              <w:spacing w:before="0" w:after="0"/>
              <w:jc w:val="right"/>
              <w:rPr>
                <w:color w:val="auto"/>
                <w:sz w:val="16"/>
                <w:szCs w:val="16"/>
              </w:rPr>
            </w:pPr>
            <w:r w:rsidRPr="00253629">
              <w:rPr>
                <w:color w:val="auto"/>
                <w:sz w:val="16"/>
                <w:szCs w:val="16"/>
              </w:rPr>
              <w:t>-</w:t>
            </w:r>
          </w:p>
        </w:tc>
      </w:tr>
      <w:tr w:rsidR="00253629" w:rsidRPr="00253629" w14:paraId="42B5734C"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242587D5" w14:textId="77777777" w:rsidR="00253629" w:rsidRPr="00253629" w:rsidRDefault="00253629" w:rsidP="00253629">
            <w:pPr>
              <w:spacing w:before="0" w:after="0"/>
              <w:ind w:firstLineChars="200" w:firstLine="320"/>
              <w:rPr>
                <w:color w:val="auto"/>
                <w:sz w:val="16"/>
                <w:szCs w:val="16"/>
              </w:rPr>
            </w:pPr>
            <w:r w:rsidRPr="00253629">
              <w:rPr>
                <w:color w:val="auto"/>
                <w:sz w:val="16"/>
                <w:szCs w:val="16"/>
              </w:rPr>
              <w:t>Special appropriations</w:t>
            </w:r>
          </w:p>
        </w:tc>
        <w:tc>
          <w:tcPr>
            <w:tcW w:w="903" w:type="dxa"/>
            <w:tcBorders>
              <w:top w:val="nil"/>
              <w:left w:val="nil"/>
              <w:bottom w:val="nil"/>
              <w:right w:val="nil"/>
            </w:tcBorders>
            <w:shd w:val="clear" w:color="auto" w:fill="auto"/>
            <w:noWrap/>
            <w:tcMar>
              <w:left w:w="0" w:type="dxa"/>
              <w:right w:w="28" w:type="dxa"/>
            </w:tcMar>
            <w:vAlign w:val="bottom"/>
            <w:hideMark/>
          </w:tcPr>
          <w:p w14:paraId="4ED8C8A6" w14:textId="77777777" w:rsidR="00253629" w:rsidRPr="00253629" w:rsidRDefault="00253629" w:rsidP="00253629">
            <w:pPr>
              <w:spacing w:before="0" w:after="0"/>
              <w:ind w:firstLineChars="200" w:firstLine="320"/>
              <w:rPr>
                <w:color w:val="auto"/>
                <w:sz w:val="16"/>
                <w:szCs w:val="16"/>
              </w:rPr>
            </w:pPr>
          </w:p>
        </w:tc>
        <w:tc>
          <w:tcPr>
            <w:tcW w:w="904" w:type="dxa"/>
            <w:tcBorders>
              <w:top w:val="nil"/>
              <w:left w:val="nil"/>
              <w:bottom w:val="nil"/>
              <w:right w:val="nil"/>
            </w:tcBorders>
            <w:shd w:val="clear" w:color="000000" w:fill="D9D9D9"/>
            <w:noWrap/>
            <w:tcMar>
              <w:left w:w="0" w:type="dxa"/>
              <w:right w:w="28" w:type="dxa"/>
            </w:tcMar>
            <w:vAlign w:val="bottom"/>
            <w:hideMark/>
          </w:tcPr>
          <w:p w14:paraId="6D967313"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tcMar>
              <w:left w:w="0" w:type="dxa"/>
              <w:right w:w="28" w:type="dxa"/>
            </w:tcMar>
            <w:vAlign w:val="bottom"/>
            <w:hideMark/>
          </w:tcPr>
          <w:p w14:paraId="3FC999E3"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tcMar>
              <w:left w:w="0" w:type="dxa"/>
              <w:right w:w="28" w:type="dxa"/>
            </w:tcMar>
            <w:vAlign w:val="bottom"/>
            <w:hideMark/>
          </w:tcPr>
          <w:p w14:paraId="34216837"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0" w:type="dxa"/>
              <w:right w:w="28" w:type="dxa"/>
            </w:tcMar>
            <w:vAlign w:val="bottom"/>
            <w:hideMark/>
          </w:tcPr>
          <w:p w14:paraId="00A7DC27"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55CFB816" w14:textId="77777777" w:rsidTr="00253629">
        <w:trPr>
          <w:trHeight w:val="454"/>
          <w:jc w:val="center"/>
        </w:trPr>
        <w:tc>
          <w:tcPr>
            <w:tcW w:w="2801" w:type="dxa"/>
            <w:tcBorders>
              <w:top w:val="nil"/>
              <w:left w:val="nil"/>
              <w:bottom w:val="nil"/>
              <w:right w:val="nil"/>
            </w:tcBorders>
            <w:shd w:val="clear" w:color="auto" w:fill="auto"/>
            <w:vAlign w:val="bottom"/>
            <w:hideMark/>
          </w:tcPr>
          <w:p w14:paraId="46150E1E" w14:textId="77777777" w:rsidR="00253629" w:rsidRPr="00253629" w:rsidRDefault="00253629" w:rsidP="00253629">
            <w:pPr>
              <w:spacing w:before="0" w:after="0"/>
              <w:ind w:leftChars="225" w:left="405"/>
              <w:rPr>
                <w:color w:val="auto"/>
                <w:sz w:val="16"/>
                <w:szCs w:val="16"/>
              </w:rPr>
            </w:pPr>
            <w:r w:rsidRPr="00253629">
              <w:rPr>
                <w:i/>
                <w:iCs/>
                <w:color w:val="auto"/>
                <w:sz w:val="16"/>
                <w:szCs w:val="16"/>
              </w:rPr>
              <w:t>Aged Care Act 1997</w:t>
            </w:r>
            <w:r w:rsidRPr="00253629">
              <w:rPr>
                <w:color w:val="auto"/>
                <w:sz w:val="16"/>
                <w:szCs w:val="16"/>
              </w:rPr>
              <w:t xml:space="preserve"> </w:t>
            </w:r>
            <w:r w:rsidRPr="00253629">
              <w:rPr>
                <w:color w:val="auto"/>
                <w:sz w:val="16"/>
                <w:szCs w:val="16"/>
              </w:rPr>
              <w:br/>
              <w:t>- flexible care</w:t>
            </w:r>
          </w:p>
        </w:tc>
        <w:tc>
          <w:tcPr>
            <w:tcW w:w="903" w:type="dxa"/>
            <w:tcBorders>
              <w:top w:val="nil"/>
              <w:left w:val="nil"/>
              <w:bottom w:val="nil"/>
              <w:right w:val="nil"/>
            </w:tcBorders>
            <w:shd w:val="clear" w:color="auto" w:fill="auto"/>
            <w:noWrap/>
            <w:tcMar>
              <w:left w:w="0" w:type="dxa"/>
              <w:right w:w="28" w:type="dxa"/>
            </w:tcMar>
            <w:vAlign w:val="bottom"/>
            <w:hideMark/>
          </w:tcPr>
          <w:p w14:paraId="30CB5C3B" w14:textId="77777777" w:rsidR="00253629" w:rsidRPr="00253629" w:rsidRDefault="00253629" w:rsidP="00253629">
            <w:pPr>
              <w:spacing w:before="0" w:after="0"/>
              <w:jc w:val="right"/>
              <w:rPr>
                <w:color w:val="auto"/>
                <w:sz w:val="16"/>
                <w:szCs w:val="16"/>
              </w:rPr>
            </w:pPr>
            <w:r w:rsidRPr="00253629">
              <w:rPr>
                <w:color w:val="auto"/>
                <w:sz w:val="16"/>
                <w:szCs w:val="16"/>
              </w:rPr>
              <w:t>674,049</w:t>
            </w:r>
          </w:p>
        </w:tc>
        <w:tc>
          <w:tcPr>
            <w:tcW w:w="904" w:type="dxa"/>
            <w:tcBorders>
              <w:top w:val="nil"/>
              <w:left w:val="nil"/>
              <w:bottom w:val="nil"/>
              <w:right w:val="nil"/>
            </w:tcBorders>
            <w:shd w:val="clear" w:color="000000" w:fill="D9D9D9"/>
            <w:noWrap/>
            <w:tcMar>
              <w:left w:w="0" w:type="dxa"/>
              <w:right w:w="28" w:type="dxa"/>
            </w:tcMar>
            <w:vAlign w:val="bottom"/>
            <w:hideMark/>
          </w:tcPr>
          <w:p w14:paraId="049E1A48" w14:textId="77777777" w:rsidR="00253629" w:rsidRPr="00253629" w:rsidRDefault="00253629" w:rsidP="00253629">
            <w:pPr>
              <w:spacing w:before="0" w:after="0"/>
              <w:jc w:val="right"/>
              <w:rPr>
                <w:color w:val="auto"/>
                <w:sz w:val="16"/>
                <w:szCs w:val="16"/>
              </w:rPr>
            </w:pPr>
            <w:r w:rsidRPr="00253629">
              <w:rPr>
                <w:color w:val="auto"/>
                <w:sz w:val="16"/>
                <w:szCs w:val="16"/>
              </w:rPr>
              <w:t>731,786</w:t>
            </w:r>
          </w:p>
        </w:tc>
        <w:tc>
          <w:tcPr>
            <w:tcW w:w="904" w:type="dxa"/>
            <w:tcBorders>
              <w:top w:val="nil"/>
              <w:left w:val="nil"/>
              <w:bottom w:val="nil"/>
              <w:right w:val="nil"/>
            </w:tcBorders>
            <w:shd w:val="clear" w:color="auto" w:fill="auto"/>
            <w:noWrap/>
            <w:tcMar>
              <w:left w:w="0" w:type="dxa"/>
              <w:right w:w="28" w:type="dxa"/>
            </w:tcMar>
            <w:vAlign w:val="bottom"/>
            <w:hideMark/>
          </w:tcPr>
          <w:p w14:paraId="4062DD46" w14:textId="77777777" w:rsidR="00253629" w:rsidRPr="00253629" w:rsidRDefault="00253629" w:rsidP="00253629">
            <w:pPr>
              <w:spacing w:before="0" w:after="0"/>
              <w:jc w:val="right"/>
              <w:rPr>
                <w:color w:val="auto"/>
                <w:sz w:val="16"/>
                <w:szCs w:val="16"/>
              </w:rPr>
            </w:pPr>
            <w:r w:rsidRPr="00253629">
              <w:rPr>
                <w:color w:val="auto"/>
                <w:sz w:val="16"/>
                <w:szCs w:val="16"/>
              </w:rPr>
              <w:t>769,334</w:t>
            </w:r>
          </w:p>
        </w:tc>
        <w:tc>
          <w:tcPr>
            <w:tcW w:w="904" w:type="dxa"/>
            <w:tcBorders>
              <w:top w:val="nil"/>
              <w:left w:val="nil"/>
              <w:bottom w:val="nil"/>
              <w:right w:val="nil"/>
            </w:tcBorders>
            <w:shd w:val="clear" w:color="auto" w:fill="auto"/>
            <w:noWrap/>
            <w:tcMar>
              <w:left w:w="0" w:type="dxa"/>
              <w:right w:w="28" w:type="dxa"/>
            </w:tcMar>
            <w:vAlign w:val="bottom"/>
            <w:hideMark/>
          </w:tcPr>
          <w:p w14:paraId="2BCFAB36" w14:textId="77777777" w:rsidR="00253629" w:rsidRPr="00253629" w:rsidRDefault="00253629" w:rsidP="00253629">
            <w:pPr>
              <w:spacing w:before="0" w:after="0"/>
              <w:jc w:val="right"/>
              <w:rPr>
                <w:color w:val="auto"/>
                <w:sz w:val="16"/>
                <w:szCs w:val="16"/>
              </w:rPr>
            </w:pPr>
            <w:r w:rsidRPr="00253629">
              <w:rPr>
                <w:color w:val="auto"/>
                <w:sz w:val="16"/>
                <w:szCs w:val="16"/>
              </w:rPr>
              <w:t>799,479</w:t>
            </w:r>
          </w:p>
        </w:tc>
        <w:tc>
          <w:tcPr>
            <w:tcW w:w="904" w:type="dxa"/>
            <w:tcBorders>
              <w:top w:val="nil"/>
              <w:left w:val="nil"/>
              <w:bottom w:val="nil"/>
              <w:right w:val="nil"/>
            </w:tcBorders>
            <w:shd w:val="clear" w:color="auto" w:fill="auto"/>
            <w:noWrap/>
            <w:tcMar>
              <w:left w:w="0" w:type="dxa"/>
              <w:right w:w="28" w:type="dxa"/>
            </w:tcMar>
            <w:vAlign w:val="bottom"/>
            <w:hideMark/>
          </w:tcPr>
          <w:p w14:paraId="58E7F5DB" w14:textId="77777777" w:rsidR="00253629" w:rsidRPr="00253629" w:rsidRDefault="00253629" w:rsidP="00253629">
            <w:pPr>
              <w:spacing w:before="0" w:after="0"/>
              <w:jc w:val="right"/>
              <w:rPr>
                <w:color w:val="auto"/>
                <w:sz w:val="16"/>
                <w:szCs w:val="16"/>
              </w:rPr>
            </w:pPr>
            <w:r w:rsidRPr="00253629">
              <w:rPr>
                <w:color w:val="auto"/>
                <w:sz w:val="16"/>
                <w:szCs w:val="16"/>
              </w:rPr>
              <w:t>831,346</w:t>
            </w:r>
          </w:p>
        </w:tc>
      </w:tr>
      <w:tr w:rsidR="00253629" w:rsidRPr="00253629" w14:paraId="40BA2BC8" w14:textId="77777777" w:rsidTr="00253629">
        <w:trPr>
          <w:trHeight w:val="454"/>
          <w:jc w:val="center"/>
        </w:trPr>
        <w:tc>
          <w:tcPr>
            <w:tcW w:w="2801" w:type="dxa"/>
            <w:tcBorders>
              <w:top w:val="nil"/>
              <w:left w:val="nil"/>
              <w:bottom w:val="nil"/>
              <w:right w:val="nil"/>
            </w:tcBorders>
            <w:shd w:val="clear" w:color="auto" w:fill="auto"/>
            <w:vAlign w:val="bottom"/>
            <w:hideMark/>
          </w:tcPr>
          <w:p w14:paraId="1CD6028E" w14:textId="77777777" w:rsidR="00253629" w:rsidRPr="00253629" w:rsidRDefault="00253629" w:rsidP="00253629">
            <w:pPr>
              <w:spacing w:before="0" w:after="0"/>
              <w:ind w:leftChars="225" w:left="405"/>
              <w:rPr>
                <w:color w:val="auto"/>
                <w:sz w:val="16"/>
                <w:szCs w:val="16"/>
              </w:rPr>
            </w:pPr>
            <w:r w:rsidRPr="00253629">
              <w:rPr>
                <w:i/>
                <w:iCs/>
                <w:color w:val="auto"/>
                <w:sz w:val="16"/>
                <w:szCs w:val="16"/>
              </w:rPr>
              <w:t>Aged Care Act 1997</w:t>
            </w:r>
            <w:r w:rsidRPr="00253629">
              <w:rPr>
                <w:color w:val="auto"/>
                <w:sz w:val="16"/>
                <w:szCs w:val="16"/>
              </w:rPr>
              <w:t xml:space="preserve"> </w:t>
            </w:r>
            <w:r w:rsidRPr="00253629">
              <w:rPr>
                <w:color w:val="auto"/>
                <w:sz w:val="16"/>
                <w:szCs w:val="16"/>
              </w:rPr>
              <w:br/>
              <w:t>- residential and home care</w:t>
            </w:r>
          </w:p>
        </w:tc>
        <w:tc>
          <w:tcPr>
            <w:tcW w:w="903" w:type="dxa"/>
            <w:tcBorders>
              <w:top w:val="nil"/>
              <w:left w:val="nil"/>
              <w:bottom w:val="nil"/>
              <w:right w:val="nil"/>
            </w:tcBorders>
            <w:shd w:val="clear" w:color="auto" w:fill="auto"/>
            <w:noWrap/>
            <w:tcMar>
              <w:left w:w="0" w:type="dxa"/>
              <w:right w:w="28" w:type="dxa"/>
            </w:tcMar>
            <w:vAlign w:val="bottom"/>
            <w:hideMark/>
          </w:tcPr>
          <w:p w14:paraId="592CBDE7" w14:textId="77777777" w:rsidR="00253629" w:rsidRPr="00253629" w:rsidRDefault="00253629" w:rsidP="00253629">
            <w:pPr>
              <w:spacing w:before="0" w:after="0"/>
              <w:jc w:val="right"/>
              <w:rPr>
                <w:color w:val="auto"/>
                <w:sz w:val="16"/>
                <w:szCs w:val="16"/>
              </w:rPr>
            </w:pPr>
            <w:r w:rsidRPr="00253629">
              <w:rPr>
                <w:color w:val="auto"/>
                <w:sz w:val="16"/>
                <w:szCs w:val="16"/>
              </w:rPr>
              <w:t>19,569,139</w:t>
            </w:r>
          </w:p>
        </w:tc>
        <w:tc>
          <w:tcPr>
            <w:tcW w:w="904" w:type="dxa"/>
            <w:tcBorders>
              <w:top w:val="nil"/>
              <w:left w:val="nil"/>
              <w:bottom w:val="nil"/>
              <w:right w:val="nil"/>
            </w:tcBorders>
            <w:shd w:val="clear" w:color="000000" w:fill="D9D9D9"/>
            <w:noWrap/>
            <w:tcMar>
              <w:left w:w="0" w:type="dxa"/>
              <w:right w:w="28" w:type="dxa"/>
            </w:tcMar>
            <w:vAlign w:val="bottom"/>
            <w:hideMark/>
          </w:tcPr>
          <w:p w14:paraId="247E293A" w14:textId="77777777" w:rsidR="00253629" w:rsidRPr="00253629" w:rsidRDefault="00253629" w:rsidP="00253629">
            <w:pPr>
              <w:spacing w:before="0" w:after="0"/>
              <w:jc w:val="right"/>
              <w:rPr>
                <w:color w:val="auto"/>
                <w:sz w:val="16"/>
                <w:szCs w:val="16"/>
              </w:rPr>
            </w:pPr>
            <w:r w:rsidRPr="00253629">
              <w:rPr>
                <w:color w:val="auto"/>
                <w:sz w:val="16"/>
                <w:szCs w:val="16"/>
              </w:rPr>
              <w:t>22,842,315</w:t>
            </w:r>
          </w:p>
        </w:tc>
        <w:tc>
          <w:tcPr>
            <w:tcW w:w="904" w:type="dxa"/>
            <w:tcBorders>
              <w:top w:val="nil"/>
              <w:left w:val="nil"/>
              <w:bottom w:val="nil"/>
              <w:right w:val="nil"/>
            </w:tcBorders>
            <w:shd w:val="clear" w:color="auto" w:fill="auto"/>
            <w:noWrap/>
            <w:tcMar>
              <w:left w:w="0" w:type="dxa"/>
              <w:right w:w="28" w:type="dxa"/>
            </w:tcMar>
            <w:vAlign w:val="bottom"/>
            <w:hideMark/>
          </w:tcPr>
          <w:p w14:paraId="1700558A" w14:textId="77777777" w:rsidR="00253629" w:rsidRPr="00253629" w:rsidRDefault="00253629" w:rsidP="00253629">
            <w:pPr>
              <w:spacing w:before="0" w:after="0"/>
              <w:jc w:val="right"/>
              <w:rPr>
                <w:color w:val="auto"/>
                <w:sz w:val="16"/>
                <w:szCs w:val="16"/>
              </w:rPr>
            </w:pPr>
            <w:r w:rsidRPr="00253629">
              <w:rPr>
                <w:color w:val="auto"/>
                <w:sz w:val="16"/>
                <w:szCs w:val="16"/>
              </w:rPr>
              <w:t>25,223,794</w:t>
            </w:r>
          </w:p>
        </w:tc>
        <w:tc>
          <w:tcPr>
            <w:tcW w:w="904" w:type="dxa"/>
            <w:tcBorders>
              <w:top w:val="nil"/>
              <w:left w:val="nil"/>
              <w:bottom w:val="nil"/>
              <w:right w:val="nil"/>
            </w:tcBorders>
            <w:shd w:val="clear" w:color="auto" w:fill="auto"/>
            <w:noWrap/>
            <w:tcMar>
              <w:left w:w="0" w:type="dxa"/>
              <w:right w:w="28" w:type="dxa"/>
            </w:tcMar>
            <w:vAlign w:val="bottom"/>
            <w:hideMark/>
          </w:tcPr>
          <w:p w14:paraId="02DE3CD8" w14:textId="77777777" w:rsidR="00253629" w:rsidRPr="00253629" w:rsidRDefault="00253629" w:rsidP="00253629">
            <w:pPr>
              <w:spacing w:before="0" w:after="0"/>
              <w:jc w:val="right"/>
              <w:rPr>
                <w:color w:val="auto"/>
                <w:sz w:val="16"/>
                <w:szCs w:val="16"/>
              </w:rPr>
            </w:pPr>
            <w:r w:rsidRPr="00253629">
              <w:rPr>
                <w:color w:val="auto"/>
                <w:sz w:val="16"/>
                <w:szCs w:val="16"/>
              </w:rPr>
              <w:t>26,333,027</w:t>
            </w:r>
          </w:p>
        </w:tc>
        <w:tc>
          <w:tcPr>
            <w:tcW w:w="904" w:type="dxa"/>
            <w:tcBorders>
              <w:top w:val="nil"/>
              <w:left w:val="nil"/>
              <w:bottom w:val="nil"/>
              <w:right w:val="nil"/>
            </w:tcBorders>
            <w:shd w:val="clear" w:color="auto" w:fill="auto"/>
            <w:noWrap/>
            <w:tcMar>
              <w:left w:w="0" w:type="dxa"/>
              <w:right w:w="28" w:type="dxa"/>
            </w:tcMar>
            <w:vAlign w:val="bottom"/>
            <w:hideMark/>
          </w:tcPr>
          <w:p w14:paraId="22D0D64E" w14:textId="77777777" w:rsidR="00253629" w:rsidRPr="00253629" w:rsidRDefault="00253629" w:rsidP="00253629">
            <w:pPr>
              <w:spacing w:before="0" w:after="0"/>
              <w:jc w:val="right"/>
              <w:rPr>
                <w:color w:val="auto"/>
                <w:sz w:val="16"/>
                <w:szCs w:val="16"/>
              </w:rPr>
            </w:pPr>
            <w:r w:rsidRPr="00253629">
              <w:rPr>
                <w:color w:val="auto"/>
                <w:sz w:val="16"/>
                <w:szCs w:val="16"/>
              </w:rPr>
              <w:t>27,649,803</w:t>
            </w:r>
          </w:p>
        </w:tc>
      </w:tr>
      <w:tr w:rsidR="00253629" w:rsidRPr="00253629" w14:paraId="6AAB69A8" w14:textId="77777777" w:rsidTr="00253629">
        <w:trPr>
          <w:trHeight w:val="454"/>
          <w:jc w:val="center"/>
        </w:trPr>
        <w:tc>
          <w:tcPr>
            <w:tcW w:w="2801" w:type="dxa"/>
            <w:tcBorders>
              <w:top w:val="nil"/>
              <w:left w:val="nil"/>
              <w:bottom w:val="nil"/>
              <w:right w:val="nil"/>
            </w:tcBorders>
            <w:shd w:val="clear" w:color="auto" w:fill="auto"/>
            <w:vAlign w:val="bottom"/>
            <w:hideMark/>
          </w:tcPr>
          <w:p w14:paraId="412E600A" w14:textId="77777777" w:rsidR="00253629" w:rsidRPr="00253629" w:rsidRDefault="00253629" w:rsidP="00253629">
            <w:pPr>
              <w:spacing w:before="0" w:after="0"/>
              <w:ind w:leftChars="225" w:left="405"/>
              <w:rPr>
                <w:color w:val="auto"/>
                <w:sz w:val="16"/>
                <w:szCs w:val="16"/>
              </w:rPr>
            </w:pPr>
            <w:r w:rsidRPr="00253629">
              <w:rPr>
                <w:i/>
                <w:iCs/>
                <w:color w:val="auto"/>
                <w:sz w:val="16"/>
                <w:szCs w:val="16"/>
              </w:rPr>
              <w:t xml:space="preserve">National Health Act 1953 </w:t>
            </w:r>
            <w:r w:rsidRPr="00253629">
              <w:rPr>
                <w:i/>
                <w:iCs/>
                <w:color w:val="auto"/>
                <w:sz w:val="16"/>
                <w:szCs w:val="16"/>
              </w:rPr>
              <w:br/>
              <w:t>-</w:t>
            </w:r>
            <w:r w:rsidRPr="00253629">
              <w:rPr>
                <w:color w:val="auto"/>
                <w:sz w:val="16"/>
                <w:szCs w:val="16"/>
              </w:rPr>
              <w:t xml:space="preserve"> continence aids payments</w:t>
            </w:r>
          </w:p>
        </w:tc>
        <w:tc>
          <w:tcPr>
            <w:tcW w:w="903" w:type="dxa"/>
            <w:tcBorders>
              <w:top w:val="nil"/>
              <w:left w:val="nil"/>
              <w:bottom w:val="nil"/>
              <w:right w:val="nil"/>
            </w:tcBorders>
            <w:shd w:val="clear" w:color="auto" w:fill="auto"/>
            <w:noWrap/>
            <w:tcMar>
              <w:left w:w="0" w:type="dxa"/>
              <w:right w:w="28" w:type="dxa"/>
            </w:tcMar>
            <w:vAlign w:val="bottom"/>
            <w:hideMark/>
          </w:tcPr>
          <w:p w14:paraId="2B2724F1" w14:textId="77777777" w:rsidR="00253629" w:rsidRPr="00253629" w:rsidRDefault="00253629" w:rsidP="00253629">
            <w:pPr>
              <w:spacing w:before="0" w:after="0"/>
              <w:jc w:val="right"/>
              <w:rPr>
                <w:color w:val="auto"/>
                <w:sz w:val="16"/>
                <w:szCs w:val="16"/>
              </w:rPr>
            </w:pPr>
            <w:r w:rsidRPr="00253629">
              <w:rPr>
                <w:color w:val="auto"/>
                <w:sz w:val="16"/>
                <w:szCs w:val="16"/>
              </w:rPr>
              <w:t>98,418</w:t>
            </w:r>
          </w:p>
        </w:tc>
        <w:tc>
          <w:tcPr>
            <w:tcW w:w="904" w:type="dxa"/>
            <w:tcBorders>
              <w:top w:val="nil"/>
              <w:left w:val="nil"/>
              <w:bottom w:val="nil"/>
              <w:right w:val="nil"/>
            </w:tcBorders>
            <w:shd w:val="clear" w:color="000000" w:fill="D9D9D9"/>
            <w:noWrap/>
            <w:tcMar>
              <w:left w:w="0" w:type="dxa"/>
              <w:right w:w="28" w:type="dxa"/>
            </w:tcMar>
            <w:vAlign w:val="bottom"/>
            <w:hideMark/>
          </w:tcPr>
          <w:p w14:paraId="17C10C11" w14:textId="77777777" w:rsidR="00253629" w:rsidRPr="00253629" w:rsidRDefault="00253629" w:rsidP="00253629">
            <w:pPr>
              <w:spacing w:before="0" w:after="0"/>
              <w:jc w:val="right"/>
              <w:rPr>
                <w:color w:val="auto"/>
                <w:sz w:val="16"/>
                <w:szCs w:val="16"/>
              </w:rPr>
            </w:pPr>
            <w:r w:rsidRPr="00253629">
              <w:rPr>
                <w:color w:val="auto"/>
                <w:sz w:val="16"/>
                <w:szCs w:val="16"/>
              </w:rPr>
              <w:t>97,858</w:t>
            </w:r>
          </w:p>
        </w:tc>
        <w:tc>
          <w:tcPr>
            <w:tcW w:w="904" w:type="dxa"/>
            <w:tcBorders>
              <w:top w:val="nil"/>
              <w:left w:val="nil"/>
              <w:bottom w:val="nil"/>
              <w:right w:val="nil"/>
            </w:tcBorders>
            <w:shd w:val="clear" w:color="auto" w:fill="auto"/>
            <w:noWrap/>
            <w:tcMar>
              <w:left w:w="0" w:type="dxa"/>
              <w:right w:w="28" w:type="dxa"/>
            </w:tcMar>
            <w:vAlign w:val="bottom"/>
            <w:hideMark/>
          </w:tcPr>
          <w:p w14:paraId="63F8ABD6" w14:textId="77777777" w:rsidR="00253629" w:rsidRPr="00253629" w:rsidRDefault="00253629" w:rsidP="00253629">
            <w:pPr>
              <w:spacing w:before="0" w:after="0"/>
              <w:jc w:val="right"/>
              <w:rPr>
                <w:color w:val="auto"/>
                <w:sz w:val="16"/>
                <w:szCs w:val="16"/>
              </w:rPr>
            </w:pPr>
            <w:r w:rsidRPr="00253629">
              <w:rPr>
                <w:color w:val="auto"/>
                <w:sz w:val="16"/>
                <w:szCs w:val="16"/>
              </w:rPr>
              <w:t>98,487</w:t>
            </w:r>
          </w:p>
        </w:tc>
        <w:tc>
          <w:tcPr>
            <w:tcW w:w="904" w:type="dxa"/>
            <w:tcBorders>
              <w:top w:val="nil"/>
              <w:left w:val="nil"/>
              <w:bottom w:val="nil"/>
              <w:right w:val="nil"/>
            </w:tcBorders>
            <w:shd w:val="clear" w:color="auto" w:fill="auto"/>
            <w:noWrap/>
            <w:tcMar>
              <w:left w:w="0" w:type="dxa"/>
              <w:right w:w="28" w:type="dxa"/>
            </w:tcMar>
            <w:vAlign w:val="bottom"/>
            <w:hideMark/>
          </w:tcPr>
          <w:p w14:paraId="55E50B68" w14:textId="77777777" w:rsidR="00253629" w:rsidRPr="00253629" w:rsidRDefault="00253629" w:rsidP="00253629">
            <w:pPr>
              <w:spacing w:before="0" w:after="0"/>
              <w:jc w:val="right"/>
              <w:rPr>
                <w:color w:val="auto"/>
                <w:sz w:val="16"/>
                <w:szCs w:val="16"/>
              </w:rPr>
            </w:pPr>
            <w:r w:rsidRPr="00253629">
              <w:rPr>
                <w:color w:val="auto"/>
                <w:sz w:val="16"/>
                <w:szCs w:val="16"/>
              </w:rPr>
              <w:t>100,527</w:t>
            </w:r>
          </w:p>
        </w:tc>
        <w:tc>
          <w:tcPr>
            <w:tcW w:w="904" w:type="dxa"/>
            <w:tcBorders>
              <w:top w:val="nil"/>
              <w:left w:val="nil"/>
              <w:bottom w:val="nil"/>
              <w:right w:val="nil"/>
            </w:tcBorders>
            <w:shd w:val="clear" w:color="auto" w:fill="auto"/>
            <w:noWrap/>
            <w:tcMar>
              <w:left w:w="0" w:type="dxa"/>
              <w:right w:w="28" w:type="dxa"/>
            </w:tcMar>
            <w:vAlign w:val="bottom"/>
            <w:hideMark/>
          </w:tcPr>
          <w:p w14:paraId="4EF36661" w14:textId="77777777" w:rsidR="00253629" w:rsidRPr="00253629" w:rsidRDefault="00253629" w:rsidP="00253629">
            <w:pPr>
              <w:spacing w:before="0" w:after="0"/>
              <w:jc w:val="right"/>
              <w:rPr>
                <w:color w:val="auto"/>
                <w:sz w:val="16"/>
                <w:szCs w:val="16"/>
              </w:rPr>
            </w:pPr>
            <w:r w:rsidRPr="00253629">
              <w:rPr>
                <w:color w:val="auto"/>
                <w:sz w:val="16"/>
                <w:szCs w:val="16"/>
              </w:rPr>
              <w:t>102,965</w:t>
            </w:r>
          </w:p>
        </w:tc>
      </w:tr>
      <w:tr w:rsidR="00253629" w:rsidRPr="00253629" w14:paraId="38D5C0CF" w14:textId="77777777" w:rsidTr="00253629">
        <w:trPr>
          <w:trHeight w:val="454"/>
          <w:jc w:val="center"/>
        </w:trPr>
        <w:tc>
          <w:tcPr>
            <w:tcW w:w="2801" w:type="dxa"/>
            <w:tcBorders>
              <w:top w:val="nil"/>
              <w:left w:val="nil"/>
              <w:bottom w:val="nil"/>
              <w:right w:val="nil"/>
            </w:tcBorders>
            <w:shd w:val="clear" w:color="auto" w:fill="auto"/>
            <w:vAlign w:val="bottom"/>
            <w:hideMark/>
          </w:tcPr>
          <w:p w14:paraId="4D014ABE" w14:textId="77777777" w:rsidR="00253629" w:rsidRPr="00253629" w:rsidRDefault="00253629" w:rsidP="00253629">
            <w:pPr>
              <w:spacing w:before="0" w:after="0"/>
              <w:ind w:leftChars="225" w:left="405"/>
              <w:rPr>
                <w:i/>
                <w:iCs/>
                <w:color w:val="auto"/>
                <w:sz w:val="16"/>
                <w:szCs w:val="16"/>
              </w:rPr>
            </w:pPr>
            <w:r w:rsidRPr="00253629">
              <w:rPr>
                <w:i/>
                <w:iCs/>
                <w:color w:val="auto"/>
                <w:sz w:val="16"/>
                <w:szCs w:val="16"/>
              </w:rPr>
              <w:t>Aged Care (Accommodation Payment Security) Act 2006</w:t>
            </w:r>
          </w:p>
        </w:tc>
        <w:tc>
          <w:tcPr>
            <w:tcW w:w="903" w:type="dxa"/>
            <w:tcBorders>
              <w:top w:val="nil"/>
              <w:left w:val="nil"/>
              <w:bottom w:val="nil"/>
              <w:right w:val="nil"/>
            </w:tcBorders>
            <w:shd w:val="clear" w:color="auto" w:fill="auto"/>
            <w:noWrap/>
            <w:tcMar>
              <w:left w:w="0" w:type="dxa"/>
              <w:right w:w="28" w:type="dxa"/>
            </w:tcMar>
            <w:vAlign w:val="bottom"/>
            <w:hideMark/>
          </w:tcPr>
          <w:p w14:paraId="459D2667" w14:textId="77777777" w:rsidR="00253629" w:rsidRPr="00253629" w:rsidRDefault="00253629" w:rsidP="00253629">
            <w:pPr>
              <w:spacing w:before="0" w:after="0"/>
              <w:jc w:val="right"/>
              <w:rPr>
                <w:color w:val="auto"/>
                <w:sz w:val="16"/>
                <w:szCs w:val="16"/>
              </w:rPr>
            </w:pPr>
            <w:r w:rsidRPr="00253629">
              <w:rPr>
                <w:color w:val="auto"/>
                <w:sz w:val="16"/>
                <w:szCs w:val="16"/>
              </w:rPr>
              <w:t>70,581</w:t>
            </w:r>
          </w:p>
        </w:tc>
        <w:tc>
          <w:tcPr>
            <w:tcW w:w="904" w:type="dxa"/>
            <w:tcBorders>
              <w:top w:val="nil"/>
              <w:left w:val="nil"/>
              <w:bottom w:val="nil"/>
              <w:right w:val="nil"/>
            </w:tcBorders>
            <w:shd w:val="clear" w:color="000000" w:fill="D9D9D9"/>
            <w:noWrap/>
            <w:tcMar>
              <w:left w:w="0" w:type="dxa"/>
              <w:right w:w="28" w:type="dxa"/>
            </w:tcMar>
            <w:vAlign w:val="bottom"/>
            <w:hideMark/>
          </w:tcPr>
          <w:p w14:paraId="38D70CEB"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2D17627F"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752A74C8" w14:textId="77777777" w:rsidR="00253629" w:rsidRPr="00253629" w:rsidRDefault="00253629" w:rsidP="00253629">
            <w:pPr>
              <w:spacing w:before="0" w:after="0"/>
              <w:jc w:val="right"/>
              <w:rPr>
                <w:color w:val="auto"/>
                <w:sz w:val="16"/>
                <w:szCs w:val="16"/>
              </w:rPr>
            </w:pPr>
            <w:r w:rsidRPr="00253629">
              <w:rPr>
                <w:color w:val="auto"/>
                <w:sz w:val="16"/>
                <w:szCs w:val="16"/>
              </w:rPr>
              <w:t>-</w:t>
            </w:r>
          </w:p>
        </w:tc>
        <w:tc>
          <w:tcPr>
            <w:tcW w:w="904" w:type="dxa"/>
            <w:tcBorders>
              <w:top w:val="nil"/>
              <w:left w:val="nil"/>
              <w:bottom w:val="nil"/>
              <w:right w:val="nil"/>
            </w:tcBorders>
            <w:shd w:val="clear" w:color="auto" w:fill="auto"/>
            <w:noWrap/>
            <w:tcMar>
              <w:left w:w="0" w:type="dxa"/>
              <w:right w:w="28" w:type="dxa"/>
            </w:tcMar>
            <w:vAlign w:val="bottom"/>
            <w:hideMark/>
          </w:tcPr>
          <w:p w14:paraId="78CF03E8" w14:textId="77777777" w:rsidR="00253629" w:rsidRPr="00253629" w:rsidRDefault="00253629" w:rsidP="00253629">
            <w:pPr>
              <w:spacing w:before="0" w:after="0"/>
              <w:jc w:val="right"/>
              <w:rPr>
                <w:color w:val="auto"/>
                <w:sz w:val="16"/>
                <w:szCs w:val="16"/>
              </w:rPr>
            </w:pPr>
            <w:r w:rsidRPr="00253629">
              <w:rPr>
                <w:color w:val="auto"/>
                <w:sz w:val="16"/>
                <w:szCs w:val="16"/>
              </w:rPr>
              <w:t>-</w:t>
            </w:r>
          </w:p>
        </w:tc>
      </w:tr>
      <w:tr w:rsidR="00253629" w:rsidRPr="00253629" w14:paraId="42C068D8"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7B52A3D5" w14:textId="77777777" w:rsidR="00253629" w:rsidRPr="00253629" w:rsidRDefault="00253629" w:rsidP="00253629">
            <w:pPr>
              <w:spacing w:before="0" w:after="0"/>
              <w:ind w:firstLineChars="100" w:firstLine="160"/>
              <w:rPr>
                <w:color w:val="auto"/>
                <w:sz w:val="16"/>
                <w:szCs w:val="16"/>
              </w:rPr>
            </w:pPr>
            <w:r w:rsidRPr="00253629">
              <w:rPr>
                <w:color w:val="auto"/>
                <w:sz w:val="16"/>
                <w:szCs w:val="16"/>
              </w:rPr>
              <w:t>Departmental expenses</w:t>
            </w:r>
          </w:p>
        </w:tc>
        <w:tc>
          <w:tcPr>
            <w:tcW w:w="903" w:type="dxa"/>
            <w:tcBorders>
              <w:top w:val="nil"/>
              <w:left w:val="nil"/>
              <w:bottom w:val="nil"/>
              <w:right w:val="nil"/>
            </w:tcBorders>
            <w:shd w:val="clear" w:color="auto" w:fill="auto"/>
            <w:noWrap/>
            <w:tcMar>
              <w:left w:w="0" w:type="dxa"/>
              <w:right w:w="28" w:type="dxa"/>
            </w:tcMar>
            <w:vAlign w:val="bottom"/>
            <w:hideMark/>
          </w:tcPr>
          <w:p w14:paraId="2C640C08" w14:textId="77777777" w:rsidR="00253629" w:rsidRPr="00253629" w:rsidRDefault="00253629" w:rsidP="00253629">
            <w:pPr>
              <w:spacing w:before="0" w:after="0"/>
              <w:ind w:firstLineChars="100" w:firstLine="160"/>
              <w:rPr>
                <w:color w:val="auto"/>
                <w:sz w:val="16"/>
                <w:szCs w:val="16"/>
              </w:rPr>
            </w:pPr>
          </w:p>
        </w:tc>
        <w:tc>
          <w:tcPr>
            <w:tcW w:w="904" w:type="dxa"/>
            <w:tcBorders>
              <w:top w:val="nil"/>
              <w:left w:val="nil"/>
              <w:bottom w:val="nil"/>
              <w:right w:val="nil"/>
            </w:tcBorders>
            <w:shd w:val="clear" w:color="000000" w:fill="D9D9D9"/>
            <w:noWrap/>
            <w:tcMar>
              <w:left w:w="0" w:type="dxa"/>
              <w:right w:w="28" w:type="dxa"/>
            </w:tcMar>
            <w:vAlign w:val="bottom"/>
            <w:hideMark/>
          </w:tcPr>
          <w:p w14:paraId="152E46E1" w14:textId="77777777" w:rsidR="00253629" w:rsidRPr="00253629" w:rsidRDefault="00253629" w:rsidP="00253629">
            <w:pPr>
              <w:spacing w:before="0" w:after="0"/>
              <w:jc w:val="right"/>
              <w:rPr>
                <w:color w:val="auto"/>
                <w:sz w:val="16"/>
                <w:szCs w:val="16"/>
              </w:rPr>
            </w:pPr>
            <w:r w:rsidRPr="00253629">
              <w:rPr>
                <w:color w:val="auto"/>
                <w:sz w:val="16"/>
                <w:szCs w:val="16"/>
              </w:rPr>
              <w:t> </w:t>
            </w:r>
          </w:p>
        </w:tc>
        <w:tc>
          <w:tcPr>
            <w:tcW w:w="904" w:type="dxa"/>
            <w:tcBorders>
              <w:top w:val="nil"/>
              <w:left w:val="nil"/>
              <w:bottom w:val="nil"/>
              <w:right w:val="nil"/>
            </w:tcBorders>
            <w:shd w:val="clear" w:color="auto" w:fill="auto"/>
            <w:noWrap/>
            <w:tcMar>
              <w:left w:w="0" w:type="dxa"/>
              <w:right w:w="28" w:type="dxa"/>
            </w:tcMar>
            <w:vAlign w:val="bottom"/>
            <w:hideMark/>
          </w:tcPr>
          <w:p w14:paraId="2B61F384" w14:textId="77777777" w:rsidR="00253629" w:rsidRPr="00253629" w:rsidRDefault="00253629" w:rsidP="00253629">
            <w:pPr>
              <w:spacing w:before="0" w:after="0"/>
              <w:jc w:val="right"/>
              <w:rPr>
                <w:color w:val="auto"/>
                <w:sz w:val="16"/>
                <w:szCs w:val="16"/>
              </w:rPr>
            </w:pPr>
          </w:p>
        </w:tc>
        <w:tc>
          <w:tcPr>
            <w:tcW w:w="904" w:type="dxa"/>
            <w:tcBorders>
              <w:top w:val="nil"/>
              <w:left w:val="nil"/>
              <w:bottom w:val="nil"/>
              <w:right w:val="nil"/>
            </w:tcBorders>
            <w:shd w:val="clear" w:color="auto" w:fill="auto"/>
            <w:noWrap/>
            <w:tcMar>
              <w:left w:w="0" w:type="dxa"/>
              <w:right w:w="28" w:type="dxa"/>
            </w:tcMar>
            <w:vAlign w:val="bottom"/>
            <w:hideMark/>
          </w:tcPr>
          <w:p w14:paraId="67C7D742" w14:textId="77777777" w:rsidR="00253629" w:rsidRPr="00253629" w:rsidRDefault="00253629" w:rsidP="00253629">
            <w:pPr>
              <w:spacing w:before="0" w:after="0"/>
              <w:jc w:val="right"/>
              <w:rPr>
                <w:rFonts w:ascii="Times New Roman" w:hAnsi="Times New Roman" w:cs="Times New Roman"/>
                <w:color w:val="auto"/>
                <w:sz w:val="20"/>
                <w:szCs w:val="20"/>
              </w:rPr>
            </w:pPr>
          </w:p>
        </w:tc>
        <w:tc>
          <w:tcPr>
            <w:tcW w:w="904" w:type="dxa"/>
            <w:tcBorders>
              <w:top w:val="nil"/>
              <w:left w:val="nil"/>
              <w:bottom w:val="nil"/>
              <w:right w:val="nil"/>
            </w:tcBorders>
            <w:shd w:val="clear" w:color="auto" w:fill="auto"/>
            <w:noWrap/>
            <w:tcMar>
              <w:left w:w="0" w:type="dxa"/>
              <w:right w:w="28" w:type="dxa"/>
            </w:tcMar>
            <w:vAlign w:val="bottom"/>
            <w:hideMark/>
          </w:tcPr>
          <w:p w14:paraId="7899E3AD" w14:textId="77777777" w:rsidR="00253629" w:rsidRPr="00253629" w:rsidRDefault="00253629" w:rsidP="00253629">
            <w:pPr>
              <w:spacing w:before="0" w:after="0"/>
              <w:jc w:val="right"/>
              <w:rPr>
                <w:rFonts w:ascii="Times New Roman" w:hAnsi="Times New Roman" w:cs="Times New Roman"/>
                <w:color w:val="auto"/>
                <w:sz w:val="20"/>
                <w:szCs w:val="20"/>
              </w:rPr>
            </w:pPr>
          </w:p>
        </w:tc>
      </w:tr>
      <w:tr w:rsidR="00253629" w:rsidRPr="00253629" w14:paraId="0D1B4094" w14:textId="77777777" w:rsidTr="00253629">
        <w:trPr>
          <w:trHeight w:val="225"/>
          <w:jc w:val="center"/>
        </w:trPr>
        <w:tc>
          <w:tcPr>
            <w:tcW w:w="2801" w:type="dxa"/>
            <w:tcBorders>
              <w:top w:val="nil"/>
              <w:left w:val="nil"/>
              <w:bottom w:val="nil"/>
              <w:right w:val="nil"/>
            </w:tcBorders>
            <w:shd w:val="clear" w:color="auto" w:fill="auto"/>
            <w:noWrap/>
            <w:vAlign w:val="bottom"/>
            <w:hideMark/>
          </w:tcPr>
          <w:p w14:paraId="6A831031" w14:textId="77777777" w:rsidR="00253629" w:rsidRPr="00253629" w:rsidRDefault="00253629" w:rsidP="00253629">
            <w:pPr>
              <w:spacing w:before="0" w:after="0"/>
              <w:ind w:leftChars="150" w:left="270"/>
              <w:rPr>
                <w:color w:val="auto"/>
                <w:sz w:val="16"/>
                <w:szCs w:val="16"/>
              </w:rPr>
            </w:pPr>
            <w:r w:rsidRPr="00253629">
              <w:rPr>
                <w:color w:val="auto"/>
                <w:sz w:val="16"/>
                <w:szCs w:val="16"/>
              </w:rPr>
              <w:t xml:space="preserve">Departmental appropriation </w:t>
            </w:r>
            <w:r w:rsidRPr="00253629">
              <w:rPr>
                <w:color w:val="auto"/>
                <w:sz w:val="16"/>
                <w:szCs w:val="16"/>
                <w:vertAlign w:val="superscript"/>
              </w:rPr>
              <w:t>(b)</w:t>
            </w:r>
          </w:p>
        </w:tc>
        <w:tc>
          <w:tcPr>
            <w:tcW w:w="903" w:type="dxa"/>
            <w:tcBorders>
              <w:top w:val="nil"/>
              <w:left w:val="nil"/>
              <w:bottom w:val="nil"/>
              <w:right w:val="nil"/>
            </w:tcBorders>
            <w:shd w:val="clear" w:color="auto" w:fill="auto"/>
            <w:noWrap/>
            <w:tcMar>
              <w:left w:w="0" w:type="dxa"/>
              <w:right w:w="28" w:type="dxa"/>
            </w:tcMar>
            <w:vAlign w:val="bottom"/>
            <w:hideMark/>
          </w:tcPr>
          <w:p w14:paraId="41110CF4" w14:textId="77777777" w:rsidR="00253629" w:rsidRPr="00253629" w:rsidRDefault="00253629" w:rsidP="00253629">
            <w:pPr>
              <w:spacing w:before="0" w:after="0"/>
              <w:jc w:val="right"/>
              <w:rPr>
                <w:color w:val="auto"/>
                <w:sz w:val="16"/>
                <w:szCs w:val="16"/>
              </w:rPr>
            </w:pPr>
            <w:r w:rsidRPr="00253629">
              <w:rPr>
                <w:color w:val="auto"/>
                <w:sz w:val="16"/>
                <w:szCs w:val="16"/>
              </w:rPr>
              <w:t>58,122</w:t>
            </w:r>
          </w:p>
        </w:tc>
        <w:tc>
          <w:tcPr>
            <w:tcW w:w="904" w:type="dxa"/>
            <w:tcBorders>
              <w:top w:val="nil"/>
              <w:left w:val="nil"/>
              <w:bottom w:val="nil"/>
              <w:right w:val="nil"/>
            </w:tcBorders>
            <w:shd w:val="clear" w:color="000000" w:fill="D9D9D9"/>
            <w:noWrap/>
            <w:tcMar>
              <w:left w:w="0" w:type="dxa"/>
              <w:right w:w="28" w:type="dxa"/>
            </w:tcMar>
            <w:vAlign w:val="bottom"/>
            <w:hideMark/>
          </w:tcPr>
          <w:p w14:paraId="462ACEB9" w14:textId="77777777" w:rsidR="00253629" w:rsidRPr="00253629" w:rsidRDefault="00253629" w:rsidP="00253629">
            <w:pPr>
              <w:spacing w:before="0" w:after="0"/>
              <w:jc w:val="right"/>
              <w:rPr>
                <w:color w:val="auto"/>
                <w:sz w:val="16"/>
                <w:szCs w:val="16"/>
              </w:rPr>
            </w:pPr>
            <w:r w:rsidRPr="00253629">
              <w:rPr>
                <w:color w:val="auto"/>
                <w:sz w:val="16"/>
                <w:szCs w:val="16"/>
              </w:rPr>
              <w:t>54,848</w:t>
            </w:r>
          </w:p>
        </w:tc>
        <w:tc>
          <w:tcPr>
            <w:tcW w:w="904" w:type="dxa"/>
            <w:tcBorders>
              <w:top w:val="nil"/>
              <w:left w:val="nil"/>
              <w:bottom w:val="nil"/>
              <w:right w:val="nil"/>
            </w:tcBorders>
            <w:shd w:val="clear" w:color="auto" w:fill="auto"/>
            <w:noWrap/>
            <w:tcMar>
              <w:left w:w="0" w:type="dxa"/>
              <w:right w:w="28" w:type="dxa"/>
            </w:tcMar>
            <w:vAlign w:val="bottom"/>
            <w:hideMark/>
          </w:tcPr>
          <w:p w14:paraId="73496020" w14:textId="77777777" w:rsidR="00253629" w:rsidRPr="00253629" w:rsidRDefault="00253629" w:rsidP="00253629">
            <w:pPr>
              <w:spacing w:before="0" w:after="0"/>
              <w:jc w:val="right"/>
              <w:rPr>
                <w:color w:val="auto"/>
                <w:sz w:val="16"/>
                <w:szCs w:val="16"/>
              </w:rPr>
            </w:pPr>
            <w:r w:rsidRPr="00253629">
              <w:rPr>
                <w:color w:val="auto"/>
                <w:sz w:val="16"/>
                <w:szCs w:val="16"/>
              </w:rPr>
              <w:t>49,834</w:t>
            </w:r>
          </w:p>
        </w:tc>
        <w:tc>
          <w:tcPr>
            <w:tcW w:w="904" w:type="dxa"/>
            <w:tcBorders>
              <w:top w:val="nil"/>
              <w:left w:val="nil"/>
              <w:bottom w:val="nil"/>
              <w:right w:val="nil"/>
            </w:tcBorders>
            <w:shd w:val="clear" w:color="auto" w:fill="auto"/>
            <w:noWrap/>
            <w:tcMar>
              <w:left w:w="0" w:type="dxa"/>
              <w:right w:w="28" w:type="dxa"/>
            </w:tcMar>
            <w:vAlign w:val="bottom"/>
            <w:hideMark/>
          </w:tcPr>
          <w:p w14:paraId="60F9B26B" w14:textId="77777777" w:rsidR="00253629" w:rsidRPr="00253629" w:rsidRDefault="00253629" w:rsidP="00253629">
            <w:pPr>
              <w:spacing w:before="0" w:after="0"/>
              <w:jc w:val="right"/>
              <w:rPr>
                <w:color w:val="auto"/>
                <w:sz w:val="16"/>
                <w:szCs w:val="16"/>
              </w:rPr>
            </w:pPr>
            <w:r w:rsidRPr="00253629">
              <w:rPr>
                <w:color w:val="auto"/>
                <w:sz w:val="16"/>
                <w:szCs w:val="16"/>
              </w:rPr>
              <w:t>50,001</w:t>
            </w:r>
          </w:p>
        </w:tc>
        <w:tc>
          <w:tcPr>
            <w:tcW w:w="904" w:type="dxa"/>
            <w:tcBorders>
              <w:top w:val="nil"/>
              <w:left w:val="nil"/>
              <w:bottom w:val="nil"/>
              <w:right w:val="nil"/>
            </w:tcBorders>
            <w:shd w:val="clear" w:color="auto" w:fill="auto"/>
            <w:noWrap/>
            <w:tcMar>
              <w:left w:w="0" w:type="dxa"/>
              <w:right w:w="28" w:type="dxa"/>
            </w:tcMar>
            <w:vAlign w:val="bottom"/>
            <w:hideMark/>
          </w:tcPr>
          <w:p w14:paraId="663EAA61" w14:textId="77777777" w:rsidR="00253629" w:rsidRPr="00253629" w:rsidRDefault="00253629" w:rsidP="00253629">
            <w:pPr>
              <w:spacing w:before="0" w:after="0"/>
              <w:jc w:val="right"/>
              <w:rPr>
                <w:color w:val="auto"/>
                <w:sz w:val="16"/>
                <w:szCs w:val="16"/>
              </w:rPr>
            </w:pPr>
            <w:r w:rsidRPr="00253629">
              <w:rPr>
                <w:color w:val="auto"/>
                <w:sz w:val="16"/>
                <w:szCs w:val="16"/>
              </w:rPr>
              <w:t>50,102</w:t>
            </w:r>
          </w:p>
        </w:tc>
      </w:tr>
      <w:tr w:rsidR="00253629" w:rsidRPr="00253629" w14:paraId="27144AD4" w14:textId="77777777" w:rsidTr="00253629">
        <w:trPr>
          <w:trHeight w:val="675"/>
          <w:jc w:val="center"/>
        </w:trPr>
        <w:tc>
          <w:tcPr>
            <w:tcW w:w="2801" w:type="dxa"/>
            <w:tcBorders>
              <w:top w:val="nil"/>
              <w:left w:val="nil"/>
              <w:bottom w:val="nil"/>
              <w:right w:val="nil"/>
            </w:tcBorders>
            <w:shd w:val="clear" w:color="auto" w:fill="auto"/>
            <w:vAlign w:val="bottom"/>
            <w:hideMark/>
          </w:tcPr>
          <w:p w14:paraId="69893279" w14:textId="06E5EA25" w:rsidR="00253629" w:rsidRPr="00253629" w:rsidRDefault="00253629" w:rsidP="00253629">
            <w:pPr>
              <w:spacing w:before="0" w:after="0"/>
              <w:ind w:leftChars="150" w:left="270"/>
              <w:rPr>
                <w:color w:val="auto"/>
                <w:sz w:val="16"/>
                <w:szCs w:val="16"/>
              </w:rPr>
            </w:pPr>
            <w:r w:rsidRPr="00253629">
              <w:rPr>
                <w:color w:val="auto"/>
                <w:sz w:val="16"/>
                <w:szCs w:val="16"/>
              </w:rPr>
              <w:t>Expenses not requiring a</w:t>
            </w:r>
            <w:r>
              <w:rPr>
                <w:color w:val="auto"/>
                <w:sz w:val="16"/>
                <w:szCs w:val="16"/>
              </w:rPr>
              <w:t>ppropriation in the Budget year </w:t>
            </w:r>
            <w:r w:rsidRPr="00253629">
              <w:rPr>
                <w:color w:val="auto"/>
                <w:sz w:val="16"/>
                <w:szCs w:val="16"/>
                <w:vertAlign w:val="superscript"/>
              </w:rPr>
              <w:t>(c)</w:t>
            </w:r>
          </w:p>
        </w:tc>
        <w:tc>
          <w:tcPr>
            <w:tcW w:w="903" w:type="dxa"/>
            <w:tcBorders>
              <w:top w:val="nil"/>
              <w:left w:val="nil"/>
              <w:bottom w:val="nil"/>
              <w:right w:val="nil"/>
            </w:tcBorders>
            <w:shd w:val="clear" w:color="auto" w:fill="auto"/>
            <w:noWrap/>
            <w:tcMar>
              <w:left w:w="0" w:type="dxa"/>
              <w:right w:w="28" w:type="dxa"/>
            </w:tcMar>
            <w:vAlign w:val="bottom"/>
            <w:hideMark/>
          </w:tcPr>
          <w:p w14:paraId="4F623B73" w14:textId="77777777" w:rsidR="00253629" w:rsidRPr="00253629" w:rsidRDefault="00253629" w:rsidP="00253629">
            <w:pPr>
              <w:spacing w:before="0" w:after="0"/>
              <w:jc w:val="right"/>
              <w:rPr>
                <w:color w:val="auto"/>
                <w:sz w:val="16"/>
                <w:szCs w:val="16"/>
              </w:rPr>
            </w:pPr>
            <w:r w:rsidRPr="00253629">
              <w:rPr>
                <w:color w:val="auto"/>
                <w:sz w:val="16"/>
                <w:szCs w:val="16"/>
              </w:rPr>
              <w:t>15,511</w:t>
            </w:r>
          </w:p>
        </w:tc>
        <w:tc>
          <w:tcPr>
            <w:tcW w:w="904" w:type="dxa"/>
            <w:tcBorders>
              <w:top w:val="nil"/>
              <w:left w:val="nil"/>
              <w:bottom w:val="nil"/>
              <w:right w:val="nil"/>
            </w:tcBorders>
            <w:shd w:val="clear" w:color="000000" w:fill="D9D9D9"/>
            <w:noWrap/>
            <w:tcMar>
              <w:left w:w="0" w:type="dxa"/>
              <w:right w:w="28" w:type="dxa"/>
            </w:tcMar>
            <w:vAlign w:val="bottom"/>
            <w:hideMark/>
          </w:tcPr>
          <w:p w14:paraId="068F8F69" w14:textId="77777777" w:rsidR="00253629" w:rsidRPr="00253629" w:rsidRDefault="00253629" w:rsidP="00253629">
            <w:pPr>
              <w:spacing w:before="0" w:after="0"/>
              <w:jc w:val="right"/>
              <w:rPr>
                <w:color w:val="auto"/>
                <w:sz w:val="16"/>
                <w:szCs w:val="16"/>
              </w:rPr>
            </w:pPr>
            <w:r w:rsidRPr="00253629">
              <w:rPr>
                <w:color w:val="auto"/>
                <w:sz w:val="16"/>
                <w:szCs w:val="16"/>
              </w:rPr>
              <w:t>9,151</w:t>
            </w:r>
          </w:p>
        </w:tc>
        <w:tc>
          <w:tcPr>
            <w:tcW w:w="904" w:type="dxa"/>
            <w:tcBorders>
              <w:top w:val="nil"/>
              <w:left w:val="nil"/>
              <w:bottom w:val="nil"/>
              <w:right w:val="nil"/>
            </w:tcBorders>
            <w:shd w:val="clear" w:color="auto" w:fill="auto"/>
            <w:noWrap/>
            <w:tcMar>
              <w:left w:w="0" w:type="dxa"/>
              <w:right w:w="28" w:type="dxa"/>
            </w:tcMar>
            <w:vAlign w:val="bottom"/>
            <w:hideMark/>
          </w:tcPr>
          <w:p w14:paraId="4C7D6072" w14:textId="77777777" w:rsidR="00253629" w:rsidRPr="00253629" w:rsidRDefault="00253629" w:rsidP="00253629">
            <w:pPr>
              <w:spacing w:before="0" w:after="0"/>
              <w:jc w:val="right"/>
              <w:rPr>
                <w:color w:val="auto"/>
                <w:sz w:val="16"/>
                <w:szCs w:val="16"/>
              </w:rPr>
            </w:pPr>
            <w:r w:rsidRPr="00253629">
              <w:rPr>
                <w:color w:val="auto"/>
                <w:sz w:val="16"/>
                <w:szCs w:val="16"/>
              </w:rPr>
              <w:t>7,212</w:t>
            </w:r>
          </w:p>
        </w:tc>
        <w:tc>
          <w:tcPr>
            <w:tcW w:w="904" w:type="dxa"/>
            <w:tcBorders>
              <w:top w:val="nil"/>
              <w:left w:val="nil"/>
              <w:bottom w:val="nil"/>
              <w:right w:val="nil"/>
            </w:tcBorders>
            <w:shd w:val="clear" w:color="auto" w:fill="auto"/>
            <w:noWrap/>
            <w:tcMar>
              <w:left w:w="0" w:type="dxa"/>
              <w:right w:w="28" w:type="dxa"/>
            </w:tcMar>
            <w:vAlign w:val="bottom"/>
            <w:hideMark/>
          </w:tcPr>
          <w:p w14:paraId="00E9E330" w14:textId="77777777" w:rsidR="00253629" w:rsidRPr="00253629" w:rsidRDefault="00253629" w:rsidP="00253629">
            <w:pPr>
              <w:spacing w:before="0" w:after="0"/>
              <w:jc w:val="right"/>
              <w:rPr>
                <w:color w:val="auto"/>
                <w:sz w:val="16"/>
                <w:szCs w:val="16"/>
              </w:rPr>
            </w:pPr>
            <w:r w:rsidRPr="00253629">
              <w:rPr>
                <w:color w:val="auto"/>
                <w:sz w:val="16"/>
                <w:szCs w:val="16"/>
              </w:rPr>
              <w:t>6,406</w:t>
            </w:r>
          </w:p>
        </w:tc>
        <w:tc>
          <w:tcPr>
            <w:tcW w:w="904" w:type="dxa"/>
            <w:tcBorders>
              <w:top w:val="nil"/>
              <w:left w:val="nil"/>
              <w:bottom w:val="nil"/>
              <w:right w:val="nil"/>
            </w:tcBorders>
            <w:shd w:val="clear" w:color="auto" w:fill="auto"/>
            <w:noWrap/>
            <w:tcMar>
              <w:left w:w="0" w:type="dxa"/>
              <w:right w:w="28" w:type="dxa"/>
            </w:tcMar>
            <w:vAlign w:val="bottom"/>
            <w:hideMark/>
          </w:tcPr>
          <w:p w14:paraId="27BD5FE3" w14:textId="77777777" w:rsidR="00253629" w:rsidRPr="00253629" w:rsidRDefault="00253629" w:rsidP="00253629">
            <w:pPr>
              <w:spacing w:before="0" w:after="0"/>
              <w:jc w:val="right"/>
              <w:rPr>
                <w:color w:val="auto"/>
                <w:sz w:val="16"/>
                <w:szCs w:val="16"/>
              </w:rPr>
            </w:pPr>
            <w:r w:rsidRPr="00253629">
              <w:rPr>
                <w:color w:val="auto"/>
                <w:sz w:val="16"/>
                <w:szCs w:val="16"/>
              </w:rPr>
              <w:t>5,954</w:t>
            </w:r>
          </w:p>
        </w:tc>
      </w:tr>
      <w:tr w:rsidR="00253629" w:rsidRPr="00253629" w14:paraId="5E1ED9AC" w14:textId="77777777" w:rsidTr="00253629">
        <w:trPr>
          <w:trHeight w:val="300"/>
          <w:jc w:val="center"/>
        </w:trPr>
        <w:tc>
          <w:tcPr>
            <w:tcW w:w="2801" w:type="dxa"/>
            <w:tcBorders>
              <w:top w:val="nil"/>
              <w:left w:val="nil"/>
              <w:bottom w:val="nil"/>
              <w:right w:val="nil"/>
            </w:tcBorders>
            <w:shd w:val="clear" w:color="auto" w:fill="auto"/>
            <w:noWrap/>
            <w:vAlign w:val="bottom"/>
            <w:hideMark/>
          </w:tcPr>
          <w:p w14:paraId="5087714E" w14:textId="77777777" w:rsidR="00253629" w:rsidRPr="00253629" w:rsidRDefault="00253629" w:rsidP="00253629">
            <w:pPr>
              <w:spacing w:before="0" w:after="0"/>
              <w:ind w:firstLineChars="100" w:firstLine="160"/>
              <w:rPr>
                <w:b/>
                <w:bCs/>
                <w:color w:val="auto"/>
                <w:sz w:val="16"/>
                <w:szCs w:val="16"/>
              </w:rPr>
            </w:pPr>
            <w:r w:rsidRPr="00253629">
              <w:rPr>
                <w:b/>
                <w:bCs/>
                <w:color w:val="auto"/>
                <w:sz w:val="16"/>
                <w:szCs w:val="16"/>
              </w:rPr>
              <w:t>Total for Program 3.2</w:t>
            </w:r>
          </w:p>
        </w:tc>
        <w:tc>
          <w:tcPr>
            <w:tcW w:w="903"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7712AE10" w14:textId="77777777" w:rsidR="00253629" w:rsidRPr="00253629" w:rsidRDefault="00253629" w:rsidP="00253629">
            <w:pPr>
              <w:spacing w:before="0" w:after="0"/>
              <w:jc w:val="right"/>
              <w:rPr>
                <w:b/>
                <w:bCs/>
                <w:color w:val="auto"/>
                <w:sz w:val="16"/>
                <w:szCs w:val="16"/>
              </w:rPr>
            </w:pPr>
            <w:r w:rsidRPr="00253629">
              <w:rPr>
                <w:b/>
                <w:bCs/>
                <w:color w:val="auto"/>
                <w:sz w:val="16"/>
                <w:szCs w:val="16"/>
              </w:rPr>
              <w:t>24,628,174</w:t>
            </w:r>
          </w:p>
        </w:tc>
        <w:tc>
          <w:tcPr>
            <w:tcW w:w="904" w:type="dxa"/>
            <w:tcBorders>
              <w:top w:val="single" w:sz="4" w:space="0" w:color="auto"/>
              <w:left w:val="nil"/>
              <w:bottom w:val="single" w:sz="4" w:space="0" w:color="auto"/>
              <w:right w:val="nil"/>
            </w:tcBorders>
            <w:shd w:val="clear" w:color="000000" w:fill="D9D9D9"/>
            <w:noWrap/>
            <w:tcMar>
              <w:left w:w="0" w:type="dxa"/>
              <w:right w:w="28" w:type="dxa"/>
            </w:tcMar>
            <w:vAlign w:val="bottom"/>
            <w:hideMark/>
          </w:tcPr>
          <w:p w14:paraId="22AC938D" w14:textId="77777777" w:rsidR="00253629" w:rsidRPr="00253629" w:rsidRDefault="00253629" w:rsidP="00253629">
            <w:pPr>
              <w:spacing w:before="0" w:after="0"/>
              <w:jc w:val="right"/>
              <w:rPr>
                <w:b/>
                <w:bCs/>
                <w:color w:val="auto"/>
                <w:sz w:val="16"/>
                <w:szCs w:val="16"/>
              </w:rPr>
            </w:pPr>
            <w:r w:rsidRPr="00253629">
              <w:rPr>
                <w:b/>
                <w:bCs/>
                <w:color w:val="auto"/>
                <w:sz w:val="16"/>
                <w:szCs w:val="16"/>
              </w:rPr>
              <w:t>27,836,337</w:t>
            </w:r>
          </w:p>
        </w:tc>
        <w:tc>
          <w:tcPr>
            <w:tcW w:w="904"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51A545E3" w14:textId="77777777" w:rsidR="00253629" w:rsidRPr="00253629" w:rsidRDefault="00253629" w:rsidP="00253629">
            <w:pPr>
              <w:spacing w:before="0" w:after="0"/>
              <w:jc w:val="right"/>
              <w:rPr>
                <w:b/>
                <w:bCs/>
                <w:color w:val="auto"/>
                <w:sz w:val="16"/>
                <w:szCs w:val="16"/>
              </w:rPr>
            </w:pPr>
            <w:r w:rsidRPr="00253629">
              <w:rPr>
                <w:b/>
                <w:bCs/>
                <w:color w:val="auto"/>
                <w:sz w:val="16"/>
                <w:szCs w:val="16"/>
              </w:rPr>
              <w:t>30,140,133</w:t>
            </w:r>
          </w:p>
        </w:tc>
        <w:tc>
          <w:tcPr>
            <w:tcW w:w="904"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4C77021C" w14:textId="77777777" w:rsidR="00253629" w:rsidRPr="00253629" w:rsidRDefault="00253629" w:rsidP="00253629">
            <w:pPr>
              <w:spacing w:before="0" w:after="0"/>
              <w:jc w:val="right"/>
              <w:rPr>
                <w:b/>
                <w:bCs/>
                <w:color w:val="auto"/>
                <w:sz w:val="16"/>
                <w:szCs w:val="16"/>
              </w:rPr>
            </w:pPr>
            <w:r w:rsidRPr="00253629">
              <w:rPr>
                <w:b/>
                <w:bCs/>
                <w:color w:val="auto"/>
                <w:sz w:val="16"/>
                <w:szCs w:val="16"/>
              </w:rPr>
              <w:t>31,488,361</w:t>
            </w:r>
          </w:p>
        </w:tc>
        <w:tc>
          <w:tcPr>
            <w:tcW w:w="904" w:type="dxa"/>
            <w:tcBorders>
              <w:top w:val="single" w:sz="4" w:space="0" w:color="auto"/>
              <w:left w:val="nil"/>
              <w:bottom w:val="single" w:sz="4" w:space="0" w:color="auto"/>
              <w:right w:val="nil"/>
            </w:tcBorders>
            <w:shd w:val="clear" w:color="auto" w:fill="auto"/>
            <w:noWrap/>
            <w:tcMar>
              <w:left w:w="0" w:type="dxa"/>
              <w:right w:w="28" w:type="dxa"/>
            </w:tcMar>
            <w:vAlign w:val="bottom"/>
            <w:hideMark/>
          </w:tcPr>
          <w:p w14:paraId="0C98D48D" w14:textId="77777777" w:rsidR="00253629" w:rsidRPr="00253629" w:rsidRDefault="00253629" w:rsidP="00253629">
            <w:pPr>
              <w:spacing w:before="0" w:after="0"/>
              <w:jc w:val="right"/>
              <w:rPr>
                <w:b/>
                <w:bCs/>
                <w:color w:val="auto"/>
                <w:sz w:val="16"/>
                <w:szCs w:val="16"/>
              </w:rPr>
            </w:pPr>
            <w:r w:rsidRPr="00253629">
              <w:rPr>
                <w:b/>
                <w:bCs/>
                <w:color w:val="auto"/>
                <w:sz w:val="16"/>
                <w:szCs w:val="16"/>
              </w:rPr>
              <w:t>33,065,696</w:t>
            </w:r>
          </w:p>
        </w:tc>
      </w:tr>
    </w:tbl>
    <w:p w14:paraId="7906A03B" w14:textId="77777777" w:rsidR="00B67A1B" w:rsidRDefault="00B67A1B" w:rsidP="00B67A1B">
      <w:pPr>
        <w:pStyle w:val="Tablenumberandreference"/>
        <w:keepNext/>
        <w:spacing w:before="120" w:after="60"/>
        <w:rPr>
          <w:color w:val="auto"/>
        </w:rPr>
      </w:pPr>
      <w:r>
        <w:rPr>
          <w:color w:val="auto"/>
        </w:rPr>
        <w:br w:type="page"/>
      </w:r>
    </w:p>
    <w:p w14:paraId="1D3C154C" w14:textId="42A826C0" w:rsidR="00B67A1B" w:rsidRDefault="00B67A1B" w:rsidP="00B67A1B">
      <w:pPr>
        <w:pStyle w:val="Tablenumberandreference"/>
        <w:keepNext/>
        <w:spacing w:before="120" w:after="60"/>
        <w:rPr>
          <w:color w:val="auto"/>
        </w:rPr>
      </w:pPr>
      <w:r w:rsidRPr="00A956BF">
        <w:rPr>
          <w:color w:val="auto"/>
        </w:rPr>
        <w:lastRenderedPageBreak/>
        <w:t>Table 2.3.1: Budgeted Expenses for Outcome 3</w:t>
      </w:r>
      <w:r w:rsidR="00A81FC1">
        <w:rPr>
          <w:color w:val="auto"/>
        </w:rPr>
        <w:t xml:space="preserve"> (continued)</w:t>
      </w:r>
    </w:p>
    <w:tbl>
      <w:tblPr>
        <w:tblW w:w="7370" w:type="dxa"/>
        <w:jc w:val="center"/>
        <w:tblLayout w:type="fixed"/>
        <w:tblLook w:val="04A0" w:firstRow="1" w:lastRow="0" w:firstColumn="1" w:lastColumn="0" w:noHBand="0" w:noVBand="1"/>
        <w:tblCaption w:val="Table 2.3.1: Budgeted expenses for Outcome 3 (continued)"/>
        <w:tblDescription w:val="This table outlines the budgeted expenses for 2022-23 and over the forward estimates "/>
      </w:tblPr>
      <w:tblGrid>
        <w:gridCol w:w="2625"/>
        <w:gridCol w:w="899"/>
        <w:gridCol w:w="894"/>
        <w:gridCol w:w="984"/>
        <w:gridCol w:w="984"/>
        <w:gridCol w:w="984"/>
      </w:tblGrid>
      <w:tr w:rsidR="00B67A1B" w:rsidRPr="00B67A1B" w14:paraId="1A3B121D" w14:textId="77777777" w:rsidTr="00B67A1B">
        <w:trPr>
          <w:trHeight w:val="765"/>
          <w:jc w:val="center"/>
        </w:trPr>
        <w:tc>
          <w:tcPr>
            <w:tcW w:w="2625" w:type="dxa"/>
            <w:tcBorders>
              <w:top w:val="single" w:sz="4" w:space="0" w:color="auto"/>
              <w:left w:val="nil"/>
              <w:bottom w:val="nil"/>
              <w:right w:val="nil"/>
            </w:tcBorders>
            <w:shd w:val="clear" w:color="auto" w:fill="auto"/>
            <w:tcMar>
              <w:left w:w="57" w:type="dxa"/>
              <w:right w:w="57" w:type="dxa"/>
            </w:tcMar>
            <w:hideMark/>
          </w:tcPr>
          <w:p w14:paraId="712C5E34" w14:textId="77777777" w:rsidR="00B67A1B" w:rsidRPr="00B67A1B" w:rsidRDefault="00B67A1B" w:rsidP="00B67A1B">
            <w:pPr>
              <w:spacing w:after="0"/>
              <w:jc w:val="right"/>
              <w:rPr>
                <w:b/>
                <w:bCs/>
                <w:color w:val="auto"/>
                <w:sz w:val="16"/>
                <w:szCs w:val="16"/>
              </w:rPr>
            </w:pPr>
            <w:r w:rsidRPr="00B67A1B">
              <w:rPr>
                <w:b/>
                <w:bCs/>
                <w:color w:val="auto"/>
                <w:sz w:val="16"/>
                <w:szCs w:val="16"/>
              </w:rPr>
              <w:t> </w:t>
            </w:r>
          </w:p>
        </w:tc>
        <w:tc>
          <w:tcPr>
            <w:tcW w:w="899" w:type="dxa"/>
            <w:tcBorders>
              <w:top w:val="single" w:sz="4" w:space="0" w:color="auto"/>
              <w:left w:val="nil"/>
              <w:bottom w:val="single" w:sz="4" w:space="0" w:color="auto"/>
              <w:right w:val="nil"/>
            </w:tcBorders>
            <w:shd w:val="clear" w:color="auto" w:fill="auto"/>
            <w:tcMar>
              <w:left w:w="57" w:type="dxa"/>
              <w:right w:w="57" w:type="dxa"/>
            </w:tcMar>
            <w:hideMark/>
          </w:tcPr>
          <w:p w14:paraId="173D8B0F" w14:textId="77777777" w:rsidR="00B67A1B" w:rsidRDefault="00B67A1B" w:rsidP="00B67A1B">
            <w:pPr>
              <w:spacing w:after="0"/>
              <w:jc w:val="right"/>
              <w:rPr>
                <w:b/>
                <w:bCs/>
                <w:color w:val="auto"/>
                <w:sz w:val="16"/>
                <w:szCs w:val="16"/>
              </w:rPr>
            </w:pPr>
            <w:r w:rsidRPr="00B67A1B">
              <w:rPr>
                <w:b/>
                <w:bCs/>
                <w:color w:val="auto"/>
                <w:sz w:val="16"/>
                <w:szCs w:val="16"/>
              </w:rPr>
              <w:t>2021–22</w:t>
            </w:r>
          </w:p>
          <w:p w14:paraId="075B6E04" w14:textId="77777777" w:rsidR="00B67A1B" w:rsidRDefault="00B67A1B" w:rsidP="00B67A1B">
            <w:pPr>
              <w:spacing w:after="0"/>
              <w:jc w:val="right"/>
              <w:rPr>
                <w:b/>
                <w:bCs/>
                <w:color w:val="auto"/>
                <w:sz w:val="16"/>
                <w:szCs w:val="16"/>
              </w:rPr>
            </w:pPr>
            <w:r w:rsidRPr="00B67A1B">
              <w:rPr>
                <w:b/>
                <w:bCs/>
                <w:color w:val="auto"/>
                <w:sz w:val="16"/>
                <w:szCs w:val="16"/>
              </w:rPr>
              <w:br w:type="page"/>
              <w:t>Estimated actual</w:t>
            </w:r>
            <w:r w:rsidRPr="00B67A1B">
              <w:rPr>
                <w:b/>
                <w:bCs/>
                <w:color w:val="auto"/>
                <w:sz w:val="16"/>
                <w:szCs w:val="16"/>
              </w:rPr>
              <w:br w:type="page"/>
            </w:r>
          </w:p>
          <w:p w14:paraId="4E26D5BE" w14:textId="682C523A" w:rsidR="00B67A1B" w:rsidRPr="00B67A1B" w:rsidRDefault="00B67A1B" w:rsidP="00B67A1B">
            <w:pPr>
              <w:spacing w:after="0"/>
              <w:jc w:val="right"/>
              <w:rPr>
                <w:b/>
                <w:bCs/>
                <w:color w:val="auto"/>
                <w:sz w:val="16"/>
                <w:szCs w:val="16"/>
              </w:rPr>
            </w:pPr>
            <w:r w:rsidRPr="00B67A1B">
              <w:rPr>
                <w:color w:val="auto"/>
                <w:sz w:val="16"/>
                <w:szCs w:val="16"/>
              </w:rPr>
              <w:t>$'000</w:t>
            </w:r>
          </w:p>
        </w:tc>
        <w:tc>
          <w:tcPr>
            <w:tcW w:w="894" w:type="dxa"/>
            <w:tcBorders>
              <w:top w:val="single" w:sz="4" w:space="0" w:color="auto"/>
              <w:left w:val="nil"/>
              <w:bottom w:val="single" w:sz="4" w:space="0" w:color="auto"/>
              <w:right w:val="nil"/>
            </w:tcBorders>
            <w:shd w:val="clear" w:color="000000" w:fill="D9D9D9"/>
            <w:tcMar>
              <w:left w:w="57" w:type="dxa"/>
              <w:right w:w="57" w:type="dxa"/>
            </w:tcMar>
            <w:hideMark/>
          </w:tcPr>
          <w:p w14:paraId="68DEE634" w14:textId="77777777" w:rsidR="00B67A1B" w:rsidRDefault="00B67A1B" w:rsidP="00B67A1B">
            <w:pPr>
              <w:spacing w:after="0"/>
              <w:jc w:val="right"/>
              <w:rPr>
                <w:b/>
                <w:bCs/>
                <w:color w:val="auto"/>
                <w:sz w:val="16"/>
                <w:szCs w:val="16"/>
              </w:rPr>
            </w:pPr>
            <w:r w:rsidRPr="00B67A1B">
              <w:rPr>
                <w:b/>
                <w:bCs/>
                <w:color w:val="auto"/>
                <w:sz w:val="16"/>
                <w:szCs w:val="16"/>
              </w:rPr>
              <w:t>2022–23 Budget</w:t>
            </w:r>
          </w:p>
          <w:p w14:paraId="2E89058D" w14:textId="77777777" w:rsidR="00B67A1B" w:rsidRDefault="00B67A1B" w:rsidP="00B67A1B">
            <w:pPr>
              <w:spacing w:after="0"/>
              <w:jc w:val="right"/>
              <w:rPr>
                <w:b/>
                <w:bCs/>
                <w:color w:val="auto"/>
                <w:sz w:val="16"/>
                <w:szCs w:val="16"/>
              </w:rPr>
            </w:pPr>
          </w:p>
          <w:p w14:paraId="42E2C6BF" w14:textId="7B66B70A" w:rsidR="00B67A1B" w:rsidRPr="00B67A1B" w:rsidRDefault="00B67A1B" w:rsidP="00B67A1B">
            <w:pPr>
              <w:spacing w:after="0"/>
              <w:jc w:val="right"/>
              <w:rPr>
                <w:b/>
                <w:bCs/>
                <w:color w:val="auto"/>
                <w:sz w:val="16"/>
                <w:szCs w:val="16"/>
              </w:rPr>
            </w:pPr>
            <w:r w:rsidRPr="00B67A1B">
              <w:rPr>
                <w:b/>
                <w:bCs/>
                <w:color w:val="auto"/>
                <w:sz w:val="16"/>
                <w:szCs w:val="16"/>
              </w:rPr>
              <w:br w:type="page"/>
            </w:r>
            <w:r w:rsidRPr="00B67A1B">
              <w:rPr>
                <w:b/>
                <w:bCs/>
                <w:color w:val="auto"/>
                <w:sz w:val="16"/>
                <w:szCs w:val="16"/>
              </w:rPr>
              <w:br w:type="page"/>
            </w:r>
            <w:r w:rsidRPr="00B67A1B">
              <w:rPr>
                <w:color w:val="auto"/>
                <w:sz w:val="16"/>
                <w:szCs w:val="16"/>
              </w:rPr>
              <w:t>$'000</w:t>
            </w:r>
          </w:p>
        </w:tc>
        <w:tc>
          <w:tcPr>
            <w:tcW w:w="984" w:type="dxa"/>
            <w:tcBorders>
              <w:top w:val="single" w:sz="4" w:space="0" w:color="auto"/>
              <w:left w:val="nil"/>
              <w:bottom w:val="single" w:sz="4" w:space="0" w:color="auto"/>
              <w:right w:val="nil"/>
            </w:tcBorders>
            <w:shd w:val="clear" w:color="auto" w:fill="auto"/>
            <w:tcMar>
              <w:left w:w="57" w:type="dxa"/>
              <w:right w:w="57" w:type="dxa"/>
            </w:tcMar>
            <w:hideMark/>
          </w:tcPr>
          <w:p w14:paraId="436D8C06" w14:textId="77777777" w:rsidR="00B67A1B" w:rsidRDefault="00B67A1B" w:rsidP="00B67A1B">
            <w:pPr>
              <w:spacing w:after="0"/>
              <w:jc w:val="right"/>
              <w:rPr>
                <w:b/>
                <w:bCs/>
                <w:color w:val="auto"/>
                <w:sz w:val="16"/>
                <w:szCs w:val="16"/>
              </w:rPr>
            </w:pPr>
            <w:r w:rsidRPr="00B67A1B">
              <w:rPr>
                <w:b/>
                <w:bCs/>
                <w:color w:val="auto"/>
                <w:sz w:val="16"/>
                <w:szCs w:val="16"/>
              </w:rPr>
              <w:t>2023–24 Forward estimate</w:t>
            </w:r>
          </w:p>
          <w:p w14:paraId="10EF565F" w14:textId="1AEAF960" w:rsidR="00B67A1B" w:rsidRPr="00B67A1B" w:rsidRDefault="00B67A1B" w:rsidP="00B67A1B">
            <w:pPr>
              <w:spacing w:after="0"/>
              <w:jc w:val="right"/>
              <w:rPr>
                <w:b/>
                <w:bCs/>
                <w:color w:val="auto"/>
                <w:sz w:val="16"/>
                <w:szCs w:val="16"/>
              </w:rPr>
            </w:pPr>
            <w:r w:rsidRPr="00B67A1B">
              <w:rPr>
                <w:b/>
                <w:bCs/>
                <w:color w:val="auto"/>
                <w:sz w:val="16"/>
                <w:szCs w:val="16"/>
              </w:rPr>
              <w:br w:type="page"/>
            </w:r>
            <w:r w:rsidRPr="00B67A1B">
              <w:rPr>
                <w:color w:val="auto"/>
                <w:sz w:val="16"/>
                <w:szCs w:val="16"/>
              </w:rPr>
              <w:t>$'000</w:t>
            </w:r>
          </w:p>
        </w:tc>
        <w:tc>
          <w:tcPr>
            <w:tcW w:w="984" w:type="dxa"/>
            <w:tcBorders>
              <w:top w:val="single" w:sz="4" w:space="0" w:color="auto"/>
              <w:left w:val="nil"/>
              <w:bottom w:val="single" w:sz="4" w:space="0" w:color="auto"/>
              <w:right w:val="nil"/>
            </w:tcBorders>
            <w:shd w:val="clear" w:color="auto" w:fill="auto"/>
            <w:tcMar>
              <w:left w:w="57" w:type="dxa"/>
              <w:right w:w="57" w:type="dxa"/>
            </w:tcMar>
            <w:hideMark/>
          </w:tcPr>
          <w:p w14:paraId="4166B54D" w14:textId="77777777" w:rsidR="00B67A1B" w:rsidRDefault="00B67A1B" w:rsidP="00B67A1B">
            <w:pPr>
              <w:spacing w:after="0"/>
              <w:jc w:val="right"/>
              <w:rPr>
                <w:b/>
                <w:bCs/>
                <w:color w:val="auto"/>
                <w:sz w:val="16"/>
                <w:szCs w:val="16"/>
              </w:rPr>
            </w:pPr>
            <w:r w:rsidRPr="00B67A1B">
              <w:rPr>
                <w:b/>
                <w:bCs/>
                <w:color w:val="auto"/>
                <w:sz w:val="16"/>
                <w:szCs w:val="16"/>
              </w:rPr>
              <w:t>2024–25 Forward estimate</w:t>
            </w:r>
            <w:r w:rsidRPr="00B67A1B">
              <w:rPr>
                <w:b/>
                <w:bCs/>
                <w:color w:val="auto"/>
                <w:sz w:val="16"/>
                <w:szCs w:val="16"/>
              </w:rPr>
              <w:br w:type="page"/>
            </w:r>
          </w:p>
          <w:p w14:paraId="48D12AD7" w14:textId="0A42D80A" w:rsidR="00B67A1B" w:rsidRPr="00B67A1B" w:rsidRDefault="00B67A1B" w:rsidP="00B67A1B">
            <w:pPr>
              <w:spacing w:after="0"/>
              <w:jc w:val="right"/>
              <w:rPr>
                <w:b/>
                <w:bCs/>
                <w:color w:val="auto"/>
                <w:sz w:val="16"/>
                <w:szCs w:val="16"/>
              </w:rPr>
            </w:pPr>
            <w:r w:rsidRPr="00B67A1B">
              <w:rPr>
                <w:color w:val="auto"/>
                <w:sz w:val="16"/>
                <w:szCs w:val="16"/>
              </w:rPr>
              <w:t>$'000</w:t>
            </w:r>
          </w:p>
        </w:tc>
        <w:tc>
          <w:tcPr>
            <w:tcW w:w="984" w:type="dxa"/>
            <w:tcBorders>
              <w:top w:val="single" w:sz="4" w:space="0" w:color="auto"/>
              <w:left w:val="nil"/>
              <w:bottom w:val="single" w:sz="4" w:space="0" w:color="auto"/>
              <w:right w:val="nil"/>
            </w:tcBorders>
            <w:shd w:val="clear" w:color="auto" w:fill="auto"/>
            <w:tcMar>
              <w:left w:w="57" w:type="dxa"/>
              <w:right w:w="57" w:type="dxa"/>
            </w:tcMar>
            <w:hideMark/>
          </w:tcPr>
          <w:p w14:paraId="69DED3C2" w14:textId="77777777" w:rsidR="00B67A1B" w:rsidRDefault="00B67A1B" w:rsidP="00B67A1B">
            <w:pPr>
              <w:spacing w:after="0"/>
              <w:jc w:val="right"/>
              <w:rPr>
                <w:b/>
                <w:bCs/>
                <w:color w:val="auto"/>
                <w:sz w:val="16"/>
                <w:szCs w:val="16"/>
              </w:rPr>
            </w:pPr>
            <w:r w:rsidRPr="00B67A1B">
              <w:rPr>
                <w:b/>
                <w:bCs/>
                <w:color w:val="auto"/>
                <w:sz w:val="16"/>
                <w:szCs w:val="16"/>
              </w:rPr>
              <w:t>2025–26 Forward estimate</w:t>
            </w:r>
          </w:p>
          <w:p w14:paraId="1B655A04" w14:textId="45A519E2" w:rsidR="00B67A1B" w:rsidRPr="00B67A1B" w:rsidRDefault="00B67A1B" w:rsidP="00B67A1B">
            <w:pPr>
              <w:spacing w:after="0"/>
              <w:jc w:val="right"/>
              <w:rPr>
                <w:b/>
                <w:bCs/>
                <w:color w:val="auto"/>
                <w:sz w:val="16"/>
                <w:szCs w:val="16"/>
              </w:rPr>
            </w:pPr>
            <w:r w:rsidRPr="00B67A1B">
              <w:rPr>
                <w:b/>
                <w:bCs/>
                <w:color w:val="auto"/>
                <w:sz w:val="16"/>
                <w:szCs w:val="16"/>
              </w:rPr>
              <w:br w:type="page"/>
            </w:r>
            <w:r w:rsidRPr="00B67A1B">
              <w:rPr>
                <w:color w:val="auto"/>
                <w:sz w:val="16"/>
                <w:szCs w:val="16"/>
              </w:rPr>
              <w:t>$'000</w:t>
            </w:r>
          </w:p>
        </w:tc>
      </w:tr>
      <w:tr w:rsidR="00B67A1B" w:rsidRPr="00B67A1B" w14:paraId="5D919191"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6732A106" w14:textId="77777777" w:rsidR="00B67A1B" w:rsidRPr="00B67A1B" w:rsidRDefault="00B67A1B" w:rsidP="00B67A1B">
            <w:pPr>
              <w:spacing w:before="0" w:after="0"/>
              <w:rPr>
                <w:b/>
                <w:bCs/>
                <w:color w:val="auto"/>
                <w:sz w:val="16"/>
                <w:szCs w:val="16"/>
              </w:rPr>
            </w:pPr>
            <w:r w:rsidRPr="00B67A1B">
              <w:rPr>
                <w:b/>
                <w:bCs/>
                <w:color w:val="auto"/>
                <w:sz w:val="16"/>
                <w:szCs w:val="16"/>
              </w:rPr>
              <w:t>Program 3.3: Aged Care Quality</w:t>
            </w:r>
          </w:p>
        </w:tc>
        <w:tc>
          <w:tcPr>
            <w:tcW w:w="899" w:type="dxa"/>
            <w:tcBorders>
              <w:top w:val="nil"/>
              <w:left w:val="nil"/>
              <w:bottom w:val="nil"/>
              <w:right w:val="nil"/>
            </w:tcBorders>
            <w:shd w:val="clear" w:color="auto" w:fill="auto"/>
            <w:noWrap/>
            <w:vAlign w:val="bottom"/>
            <w:hideMark/>
          </w:tcPr>
          <w:p w14:paraId="1C584FC1" w14:textId="77777777" w:rsidR="00B67A1B" w:rsidRPr="00B67A1B" w:rsidRDefault="00B67A1B" w:rsidP="00B67A1B">
            <w:pPr>
              <w:spacing w:before="0" w:after="0"/>
              <w:rPr>
                <w:b/>
                <w:bCs/>
                <w:color w:val="auto"/>
                <w:sz w:val="16"/>
                <w:szCs w:val="16"/>
              </w:rPr>
            </w:pPr>
          </w:p>
        </w:tc>
        <w:tc>
          <w:tcPr>
            <w:tcW w:w="894" w:type="dxa"/>
            <w:tcBorders>
              <w:top w:val="nil"/>
              <w:left w:val="nil"/>
              <w:bottom w:val="nil"/>
              <w:right w:val="nil"/>
            </w:tcBorders>
            <w:shd w:val="clear" w:color="auto" w:fill="auto"/>
            <w:noWrap/>
            <w:vAlign w:val="bottom"/>
            <w:hideMark/>
          </w:tcPr>
          <w:p w14:paraId="02F85A29"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vAlign w:val="bottom"/>
            <w:hideMark/>
          </w:tcPr>
          <w:p w14:paraId="0CA78F78"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vAlign w:val="bottom"/>
            <w:hideMark/>
          </w:tcPr>
          <w:p w14:paraId="1337A765"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vAlign w:val="bottom"/>
            <w:hideMark/>
          </w:tcPr>
          <w:p w14:paraId="591D8C05"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4F38D3DB"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348A3F7E" w14:textId="77777777" w:rsidR="00B67A1B" w:rsidRPr="00B67A1B" w:rsidRDefault="00B67A1B" w:rsidP="00B67A1B">
            <w:pPr>
              <w:spacing w:before="0" w:after="0"/>
              <w:ind w:firstLineChars="100" w:firstLine="160"/>
              <w:rPr>
                <w:color w:val="auto"/>
                <w:sz w:val="16"/>
                <w:szCs w:val="16"/>
              </w:rPr>
            </w:pPr>
            <w:r w:rsidRPr="00B67A1B">
              <w:rPr>
                <w:color w:val="auto"/>
                <w:sz w:val="16"/>
                <w:szCs w:val="16"/>
              </w:rPr>
              <w:t>Administered expenses</w:t>
            </w:r>
          </w:p>
        </w:tc>
        <w:tc>
          <w:tcPr>
            <w:tcW w:w="899" w:type="dxa"/>
            <w:tcBorders>
              <w:top w:val="nil"/>
              <w:left w:val="nil"/>
              <w:bottom w:val="nil"/>
              <w:right w:val="nil"/>
            </w:tcBorders>
            <w:shd w:val="clear" w:color="auto" w:fill="auto"/>
            <w:noWrap/>
            <w:tcMar>
              <w:left w:w="28" w:type="dxa"/>
              <w:right w:w="28" w:type="dxa"/>
            </w:tcMar>
            <w:vAlign w:val="bottom"/>
            <w:hideMark/>
          </w:tcPr>
          <w:p w14:paraId="36B29A1E" w14:textId="77777777" w:rsidR="00B67A1B" w:rsidRPr="00B67A1B" w:rsidRDefault="00B67A1B" w:rsidP="00B67A1B">
            <w:pPr>
              <w:spacing w:before="0" w:after="0"/>
              <w:ind w:firstLineChars="100" w:firstLine="160"/>
              <w:rPr>
                <w:color w:val="auto"/>
                <w:sz w:val="16"/>
                <w:szCs w:val="16"/>
              </w:rPr>
            </w:pPr>
          </w:p>
        </w:tc>
        <w:tc>
          <w:tcPr>
            <w:tcW w:w="894" w:type="dxa"/>
            <w:tcBorders>
              <w:top w:val="nil"/>
              <w:left w:val="nil"/>
              <w:bottom w:val="nil"/>
              <w:right w:val="nil"/>
            </w:tcBorders>
            <w:shd w:val="clear" w:color="000000" w:fill="D9D9D9"/>
            <w:noWrap/>
            <w:tcMar>
              <w:left w:w="28" w:type="dxa"/>
              <w:right w:w="28" w:type="dxa"/>
            </w:tcMar>
            <w:vAlign w:val="bottom"/>
            <w:hideMark/>
          </w:tcPr>
          <w:p w14:paraId="7CCF4677" w14:textId="77777777" w:rsidR="00B67A1B" w:rsidRPr="00B67A1B" w:rsidRDefault="00B67A1B" w:rsidP="00B67A1B">
            <w:pPr>
              <w:spacing w:before="0" w:after="0"/>
              <w:jc w:val="right"/>
              <w:rPr>
                <w:color w:val="auto"/>
                <w:sz w:val="16"/>
                <w:szCs w:val="16"/>
              </w:rPr>
            </w:pPr>
            <w:r w:rsidRPr="00B67A1B">
              <w:rPr>
                <w:color w:val="auto"/>
                <w:sz w:val="16"/>
                <w:szCs w:val="16"/>
              </w:rPr>
              <w:t> </w:t>
            </w:r>
          </w:p>
        </w:tc>
        <w:tc>
          <w:tcPr>
            <w:tcW w:w="984" w:type="dxa"/>
            <w:tcBorders>
              <w:top w:val="nil"/>
              <w:left w:val="nil"/>
              <w:bottom w:val="nil"/>
              <w:right w:val="nil"/>
            </w:tcBorders>
            <w:shd w:val="clear" w:color="auto" w:fill="auto"/>
            <w:noWrap/>
            <w:tcMar>
              <w:left w:w="28" w:type="dxa"/>
              <w:right w:w="28" w:type="dxa"/>
            </w:tcMar>
            <w:vAlign w:val="bottom"/>
            <w:hideMark/>
          </w:tcPr>
          <w:p w14:paraId="36CF2DB4" w14:textId="77777777" w:rsidR="00B67A1B" w:rsidRPr="00B67A1B" w:rsidRDefault="00B67A1B" w:rsidP="00B67A1B">
            <w:pPr>
              <w:spacing w:before="0" w:after="0"/>
              <w:jc w:val="right"/>
              <w:rPr>
                <w:color w:val="auto"/>
                <w:sz w:val="16"/>
                <w:szCs w:val="16"/>
              </w:rPr>
            </w:pPr>
          </w:p>
        </w:tc>
        <w:tc>
          <w:tcPr>
            <w:tcW w:w="984" w:type="dxa"/>
            <w:tcBorders>
              <w:top w:val="nil"/>
              <w:left w:val="nil"/>
              <w:bottom w:val="nil"/>
              <w:right w:val="nil"/>
            </w:tcBorders>
            <w:shd w:val="clear" w:color="auto" w:fill="auto"/>
            <w:noWrap/>
            <w:tcMar>
              <w:left w:w="28" w:type="dxa"/>
              <w:right w:w="28" w:type="dxa"/>
            </w:tcMar>
            <w:vAlign w:val="bottom"/>
            <w:hideMark/>
          </w:tcPr>
          <w:p w14:paraId="45193093"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72695D9A"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2E560937"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52245C96"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Ordinary annual services </w:t>
            </w:r>
            <w:r w:rsidRPr="00B67A1B">
              <w:rPr>
                <w:color w:val="auto"/>
                <w:sz w:val="16"/>
                <w:szCs w:val="16"/>
                <w:vertAlign w:val="superscript"/>
              </w:rPr>
              <w:t>(a)</w:t>
            </w:r>
          </w:p>
        </w:tc>
        <w:tc>
          <w:tcPr>
            <w:tcW w:w="899" w:type="dxa"/>
            <w:tcBorders>
              <w:top w:val="nil"/>
              <w:left w:val="nil"/>
              <w:bottom w:val="nil"/>
              <w:right w:val="nil"/>
            </w:tcBorders>
            <w:shd w:val="clear" w:color="auto" w:fill="auto"/>
            <w:noWrap/>
            <w:tcMar>
              <w:left w:w="28" w:type="dxa"/>
              <w:right w:w="28" w:type="dxa"/>
            </w:tcMar>
            <w:vAlign w:val="bottom"/>
            <w:hideMark/>
          </w:tcPr>
          <w:p w14:paraId="5800D323" w14:textId="77777777" w:rsidR="00B67A1B" w:rsidRPr="00B67A1B" w:rsidRDefault="00B67A1B" w:rsidP="00B67A1B">
            <w:pPr>
              <w:spacing w:before="0" w:after="0"/>
              <w:jc w:val="right"/>
              <w:rPr>
                <w:color w:val="auto"/>
                <w:sz w:val="16"/>
                <w:szCs w:val="16"/>
              </w:rPr>
            </w:pPr>
            <w:r w:rsidRPr="00B67A1B">
              <w:rPr>
                <w:color w:val="auto"/>
                <w:sz w:val="16"/>
                <w:szCs w:val="16"/>
              </w:rPr>
              <w:t>886,929</w:t>
            </w:r>
          </w:p>
        </w:tc>
        <w:tc>
          <w:tcPr>
            <w:tcW w:w="894" w:type="dxa"/>
            <w:tcBorders>
              <w:top w:val="nil"/>
              <w:left w:val="nil"/>
              <w:bottom w:val="nil"/>
              <w:right w:val="nil"/>
            </w:tcBorders>
            <w:shd w:val="clear" w:color="000000" w:fill="D9D9D9"/>
            <w:noWrap/>
            <w:tcMar>
              <w:left w:w="28" w:type="dxa"/>
              <w:right w:w="28" w:type="dxa"/>
            </w:tcMar>
            <w:vAlign w:val="bottom"/>
            <w:hideMark/>
          </w:tcPr>
          <w:p w14:paraId="32B0CE17" w14:textId="77777777" w:rsidR="00B67A1B" w:rsidRPr="00B67A1B" w:rsidRDefault="00B67A1B" w:rsidP="00B67A1B">
            <w:pPr>
              <w:spacing w:before="0" w:after="0"/>
              <w:jc w:val="right"/>
              <w:rPr>
                <w:color w:val="auto"/>
                <w:sz w:val="16"/>
                <w:szCs w:val="16"/>
              </w:rPr>
            </w:pPr>
            <w:r w:rsidRPr="00B67A1B">
              <w:rPr>
                <w:color w:val="auto"/>
                <w:sz w:val="16"/>
                <w:szCs w:val="16"/>
              </w:rPr>
              <w:t>631,092</w:t>
            </w:r>
          </w:p>
        </w:tc>
        <w:tc>
          <w:tcPr>
            <w:tcW w:w="984" w:type="dxa"/>
            <w:tcBorders>
              <w:top w:val="nil"/>
              <w:left w:val="nil"/>
              <w:bottom w:val="nil"/>
              <w:right w:val="nil"/>
            </w:tcBorders>
            <w:shd w:val="clear" w:color="auto" w:fill="auto"/>
            <w:noWrap/>
            <w:tcMar>
              <w:left w:w="28" w:type="dxa"/>
              <w:right w:w="28" w:type="dxa"/>
            </w:tcMar>
            <w:vAlign w:val="bottom"/>
            <w:hideMark/>
          </w:tcPr>
          <w:p w14:paraId="43DF232B" w14:textId="77777777" w:rsidR="00B67A1B" w:rsidRPr="00B67A1B" w:rsidRDefault="00B67A1B" w:rsidP="00B67A1B">
            <w:pPr>
              <w:spacing w:before="0" w:after="0"/>
              <w:jc w:val="right"/>
              <w:rPr>
                <w:color w:val="auto"/>
                <w:sz w:val="16"/>
                <w:szCs w:val="16"/>
              </w:rPr>
            </w:pPr>
            <w:r w:rsidRPr="00B67A1B">
              <w:rPr>
                <w:color w:val="auto"/>
                <w:sz w:val="16"/>
                <w:szCs w:val="16"/>
              </w:rPr>
              <w:t>336,419</w:t>
            </w:r>
          </w:p>
        </w:tc>
        <w:tc>
          <w:tcPr>
            <w:tcW w:w="984" w:type="dxa"/>
            <w:tcBorders>
              <w:top w:val="nil"/>
              <w:left w:val="nil"/>
              <w:bottom w:val="nil"/>
              <w:right w:val="nil"/>
            </w:tcBorders>
            <w:shd w:val="clear" w:color="auto" w:fill="auto"/>
            <w:noWrap/>
            <w:tcMar>
              <w:left w:w="28" w:type="dxa"/>
              <w:right w:w="28" w:type="dxa"/>
            </w:tcMar>
            <w:vAlign w:val="bottom"/>
            <w:hideMark/>
          </w:tcPr>
          <w:p w14:paraId="62550827" w14:textId="77777777" w:rsidR="00B67A1B" w:rsidRPr="00B67A1B" w:rsidRDefault="00B67A1B" w:rsidP="00B67A1B">
            <w:pPr>
              <w:spacing w:before="0" w:after="0"/>
              <w:jc w:val="right"/>
              <w:rPr>
                <w:color w:val="auto"/>
                <w:sz w:val="16"/>
                <w:szCs w:val="16"/>
              </w:rPr>
            </w:pPr>
            <w:r w:rsidRPr="00B67A1B">
              <w:rPr>
                <w:color w:val="auto"/>
                <w:sz w:val="16"/>
                <w:szCs w:val="16"/>
              </w:rPr>
              <w:t>213,105</w:t>
            </w:r>
          </w:p>
        </w:tc>
        <w:tc>
          <w:tcPr>
            <w:tcW w:w="984" w:type="dxa"/>
            <w:tcBorders>
              <w:top w:val="nil"/>
              <w:left w:val="nil"/>
              <w:bottom w:val="nil"/>
              <w:right w:val="nil"/>
            </w:tcBorders>
            <w:shd w:val="clear" w:color="auto" w:fill="auto"/>
            <w:noWrap/>
            <w:tcMar>
              <w:left w:w="28" w:type="dxa"/>
              <w:right w:w="28" w:type="dxa"/>
            </w:tcMar>
            <w:vAlign w:val="bottom"/>
            <w:hideMark/>
          </w:tcPr>
          <w:p w14:paraId="7326B0B5" w14:textId="77777777" w:rsidR="00B67A1B" w:rsidRPr="00B67A1B" w:rsidRDefault="00B67A1B" w:rsidP="00B67A1B">
            <w:pPr>
              <w:spacing w:before="0" w:after="0"/>
              <w:jc w:val="right"/>
              <w:rPr>
                <w:color w:val="auto"/>
                <w:sz w:val="16"/>
                <w:szCs w:val="16"/>
              </w:rPr>
            </w:pPr>
            <w:r w:rsidRPr="00B67A1B">
              <w:rPr>
                <w:color w:val="auto"/>
                <w:sz w:val="16"/>
                <w:szCs w:val="16"/>
              </w:rPr>
              <w:t>205,861</w:t>
            </w:r>
          </w:p>
        </w:tc>
      </w:tr>
      <w:tr w:rsidR="00B67A1B" w:rsidRPr="00B67A1B" w14:paraId="04FE0C95"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35AC4764" w14:textId="77777777" w:rsidR="00B67A1B" w:rsidRPr="00B67A1B" w:rsidRDefault="00B67A1B" w:rsidP="00B67A1B">
            <w:pPr>
              <w:spacing w:before="0" w:after="0"/>
              <w:ind w:firstLineChars="100" w:firstLine="160"/>
              <w:rPr>
                <w:color w:val="auto"/>
                <w:sz w:val="16"/>
                <w:szCs w:val="16"/>
              </w:rPr>
            </w:pPr>
            <w:r w:rsidRPr="00B67A1B">
              <w:rPr>
                <w:color w:val="auto"/>
                <w:sz w:val="16"/>
                <w:szCs w:val="16"/>
              </w:rPr>
              <w:t>Departmental expenses</w:t>
            </w:r>
          </w:p>
        </w:tc>
        <w:tc>
          <w:tcPr>
            <w:tcW w:w="899" w:type="dxa"/>
            <w:tcBorders>
              <w:top w:val="nil"/>
              <w:left w:val="nil"/>
              <w:bottom w:val="nil"/>
              <w:right w:val="nil"/>
            </w:tcBorders>
            <w:shd w:val="clear" w:color="auto" w:fill="auto"/>
            <w:noWrap/>
            <w:tcMar>
              <w:left w:w="28" w:type="dxa"/>
              <w:right w:w="28" w:type="dxa"/>
            </w:tcMar>
            <w:vAlign w:val="bottom"/>
            <w:hideMark/>
          </w:tcPr>
          <w:p w14:paraId="2D3B9AF3" w14:textId="77777777" w:rsidR="00B67A1B" w:rsidRPr="00B67A1B" w:rsidRDefault="00B67A1B" w:rsidP="00B67A1B">
            <w:pPr>
              <w:spacing w:before="0" w:after="0"/>
              <w:ind w:firstLineChars="100" w:firstLine="160"/>
              <w:rPr>
                <w:color w:val="auto"/>
                <w:sz w:val="16"/>
                <w:szCs w:val="16"/>
              </w:rPr>
            </w:pPr>
          </w:p>
        </w:tc>
        <w:tc>
          <w:tcPr>
            <w:tcW w:w="894" w:type="dxa"/>
            <w:tcBorders>
              <w:top w:val="nil"/>
              <w:left w:val="nil"/>
              <w:bottom w:val="nil"/>
              <w:right w:val="nil"/>
            </w:tcBorders>
            <w:shd w:val="clear" w:color="000000" w:fill="D9D9D9"/>
            <w:noWrap/>
            <w:tcMar>
              <w:left w:w="28" w:type="dxa"/>
              <w:right w:w="28" w:type="dxa"/>
            </w:tcMar>
            <w:vAlign w:val="bottom"/>
            <w:hideMark/>
          </w:tcPr>
          <w:p w14:paraId="62B42B06" w14:textId="77777777" w:rsidR="00B67A1B" w:rsidRPr="00B67A1B" w:rsidRDefault="00B67A1B" w:rsidP="00B67A1B">
            <w:pPr>
              <w:spacing w:before="0" w:after="0"/>
              <w:jc w:val="right"/>
              <w:rPr>
                <w:color w:val="auto"/>
                <w:sz w:val="16"/>
                <w:szCs w:val="16"/>
              </w:rPr>
            </w:pPr>
            <w:r w:rsidRPr="00B67A1B">
              <w:rPr>
                <w:color w:val="auto"/>
                <w:sz w:val="16"/>
                <w:szCs w:val="16"/>
              </w:rPr>
              <w:t> </w:t>
            </w:r>
          </w:p>
        </w:tc>
        <w:tc>
          <w:tcPr>
            <w:tcW w:w="984" w:type="dxa"/>
            <w:tcBorders>
              <w:top w:val="nil"/>
              <w:left w:val="nil"/>
              <w:bottom w:val="nil"/>
              <w:right w:val="nil"/>
            </w:tcBorders>
            <w:shd w:val="clear" w:color="auto" w:fill="auto"/>
            <w:noWrap/>
            <w:tcMar>
              <w:left w:w="28" w:type="dxa"/>
              <w:right w:w="28" w:type="dxa"/>
            </w:tcMar>
            <w:vAlign w:val="bottom"/>
            <w:hideMark/>
          </w:tcPr>
          <w:p w14:paraId="34E381B6" w14:textId="77777777" w:rsidR="00B67A1B" w:rsidRPr="00B67A1B" w:rsidRDefault="00B67A1B" w:rsidP="00B67A1B">
            <w:pPr>
              <w:spacing w:before="0" w:after="0"/>
              <w:jc w:val="right"/>
              <w:rPr>
                <w:color w:val="auto"/>
                <w:sz w:val="16"/>
                <w:szCs w:val="16"/>
              </w:rPr>
            </w:pPr>
          </w:p>
        </w:tc>
        <w:tc>
          <w:tcPr>
            <w:tcW w:w="984" w:type="dxa"/>
            <w:tcBorders>
              <w:top w:val="nil"/>
              <w:left w:val="nil"/>
              <w:bottom w:val="nil"/>
              <w:right w:val="nil"/>
            </w:tcBorders>
            <w:shd w:val="clear" w:color="auto" w:fill="auto"/>
            <w:noWrap/>
            <w:tcMar>
              <w:left w:w="28" w:type="dxa"/>
              <w:right w:w="28" w:type="dxa"/>
            </w:tcMar>
            <w:vAlign w:val="bottom"/>
            <w:hideMark/>
          </w:tcPr>
          <w:p w14:paraId="16F3F89D"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28955C2E"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44F2BC79"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213568A1"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Departmental appropriation </w:t>
            </w:r>
            <w:r w:rsidRPr="00B67A1B">
              <w:rPr>
                <w:color w:val="auto"/>
                <w:sz w:val="16"/>
                <w:szCs w:val="16"/>
                <w:vertAlign w:val="superscript"/>
              </w:rPr>
              <w:t>(b)</w:t>
            </w:r>
          </w:p>
        </w:tc>
        <w:tc>
          <w:tcPr>
            <w:tcW w:w="899" w:type="dxa"/>
            <w:tcBorders>
              <w:top w:val="nil"/>
              <w:left w:val="nil"/>
              <w:bottom w:val="nil"/>
              <w:right w:val="nil"/>
            </w:tcBorders>
            <w:shd w:val="clear" w:color="auto" w:fill="auto"/>
            <w:noWrap/>
            <w:tcMar>
              <w:left w:w="28" w:type="dxa"/>
              <w:right w:w="28" w:type="dxa"/>
            </w:tcMar>
            <w:vAlign w:val="bottom"/>
            <w:hideMark/>
          </w:tcPr>
          <w:p w14:paraId="18FB9A51" w14:textId="77777777" w:rsidR="00B67A1B" w:rsidRPr="00B67A1B" w:rsidRDefault="00B67A1B" w:rsidP="00B67A1B">
            <w:pPr>
              <w:spacing w:before="0" w:after="0"/>
              <w:jc w:val="right"/>
              <w:rPr>
                <w:color w:val="auto"/>
                <w:sz w:val="16"/>
                <w:szCs w:val="16"/>
              </w:rPr>
            </w:pPr>
            <w:r w:rsidRPr="00B67A1B">
              <w:rPr>
                <w:color w:val="auto"/>
                <w:sz w:val="16"/>
                <w:szCs w:val="16"/>
              </w:rPr>
              <w:t>120,417</w:t>
            </w:r>
          </w:p>
        </w:tc>
        <w:tc>
          <w:tcPr>
            <w:tcW w:w="894" w:type="dxa"/>
            <w:tcBorders>
              <w:top w:val="nil"/>
              <w:left w:val="nil"/>
              <w:bottom w:val="nil"/>
              <w:right w:val="nil"/>
            </w:tcBorders>
            <w:shd w:val="clear" w:color="000000" w:fill="D9D9D9"/>
            <w:noWrap/>
            <w:tcMar>
              <w:left w:w="28" w:type="dxa"/>
              <w:right w:w="28" w:type="dxa"/>
            </w:tcMar>
            <w:vAlign w:val="bottom"/>
            <w:hideMark/>
          </w:tcPr>
          <w:p w14:paraId="075BE740" w14:textId="77777777" w:rsidR="00B67A1B" w:rsidRPr="00B67A1B" w:rsidRDefault="00B67A1B" w:rsidP="00B67A1B">
            <w:pPr>
              <w:spacing w:before="0" w:after="0"/>
              <w:jc w:val="right"/>
              <w:rPr>
                <w:color w:val="auto"/>
                <w:sz w:val="16"/>
                <w:szCs w:val="16"/>
              </w:rPr>
            </w:pPr>
            <w:r w:rsidRPr="00B67A1B">
              <w:rPr>
                <w:color w:val="auto"/>
                <w:sz w:val="16"/>
                <w:szCs w:val="16"/>
              </w:rPr>
              <w:t>108,875</w:t>
            </w:r>
          </w:p>
        </w:tc>
        <w:tc>
          <w:tcPr>
            <w:tcW w:w="984" w:type="dxa"/>
            <w:tcBorders>
              <w:top w:val="nil"/>
              <w:left w:val="nil"/>
              <w:bottom w:val="nil"/>
              <w:right w:val="nil"/>
            </w:tcBorders>
            <w:shd w:val="clear" w:color="auto" w:fill="auto"/>
            <w:noWrap/>
            <w:tcMar>
              <w:left w:w="28" w:type="dxa"/>
              <w:right w:w="28" w:type="dxa"/>
            </w:tcMar>
            <w:vAlign w:val="bottom"/>
            <w:hideMark/>
          </w:tcPr>
          <w:p w14:paraId="6BC34336" w14:textId="77777777" w:rsidR="00B67A1B" w:rsidRPr="00B67A1B" w:rsidRDefault="00B67A1B" w:rsidP="00B67A1B">
            <w:pPr>
              <w:spacing w:before="0" w:after="0"/>
              <w:jc w:val="right"/>
              <w:rPr>
                <w:color w:val="auto"/>
                <w:sz w:val="16"/>
                <w:szCs w:val="16"/>
              </w:rPr>
            </w:pPr>
            <w:r w:rsidRPr="00B67A1B">
              <w:rPr>
                <w:color w:val="auto"/>
                <w:sz w:val="16"/>
                <w:szCs w:val="16"/>
              </w:rPr>
              <w:t>86,432</w:t>
            </w:r>
          </w:p>
        </w:tc>
        <w:tc>
          <w:tcPr>
            <w:tcW w:w="984" w:type="dxa"/>
            <w:tcBorders>
              <w:top w:val="nil"/>
              <w:left w:val="nil"/>
              <w:bottom w:val="nil"/>
              <w:right w:val="nil"/>
            </w:tcBorders>
            <w:shd w:val="clear" w:color="auto" w:fill="auto"/>
            <w:noWrap/>
            <w:tcMar>
              <w:left w:w="28" w:type="dxa"/>
              <w:right w:w="28" w:type="dxa"/>
            </w:tcMar>
            <w:vAlign w:val="bottom"/>
            <w:hideMark/>
          </w:tcPr>
          <w:p w14:paraId="3CF65AF7" w14:textId="77777777" w:rsidR="00B67A1B" w:rsidRPr="00B67A1B" w:rsidRDefault="00B67A1B" w:rsidP="00B67A1B">
            <w:pPr>
              <w:spacing w:before="0" w:after="0"/>
              <w:jc w:val="right"/>
              <w:rPr>
                <w:color w:val="auto"/>
                <w:sz w:val="16"/>
                <w:szCs w:val="16"/>
              </w:rPr>
            </w:pPr>
            <w:r w:rsidRPr="00B67A1B">
              <w:rPr>
                <w:color w:val="auto"/>
                <w:sz w:val="16"/>
                <w:szCs w:val="16"/>
              </w:rPr>
              <w:t>79,481</w:t>
            </w:r>
          </w:p>
        </w:tc>
        <w:tc>
          <w:tcPr>
            <w:tcW w:w="984" w:type="dxa"/>
            <w:tcBorders>
              <w:top w:val="nil"/>
              <w:left w:val="nil"/>
              <w:bottom w:val="nil"/>
              <w:right w:val="nil"/>
            </w:tcBorders>
            <w:shd w:val="clear" w:color="auto" w:fill="auto"/>
            <w:noWrap/>
            <w:tcMar>
              <w:left w:w="28" w:type="dxa"/>
              <w:right w:w="28" w:type="dxa"/>
            </w:tcMar>
            <w:vAlign w:val="bottom"/>
            <w:hideMark/>
          </w:tcPr>
          <w:p w14:paraId="520C8262" w14:textId="77777777" w:rsidR="00B67A1B" w:rsidRPr="00B67A1B" w:rsidRDefault="00B67A1B" w:rsidP="00B67A1B">
            <w:pPr>
              <w:spacing w:before="0" w:after="0"/>
              <w:jc w:val="right"/>
              <w:rPr>
                <w:color w:val="auto"/>
                <w:sz w:val="16"/>
                <w:szCs w:val="16"/>
              </w:rPr>
            </w:pPr>
            <w:r w:rsidRPr="00B67A1B">
              <w:rPr>
                <w:color w:val="auto"/>
                <w:sz w:val="16"/>
                <w:szCs w:val="16"/>
              </w:rPr>
              <w:t>74,632</w:t>
            </w:r>
          </w:p>
        </w:tc>
      </w:tr>
      <w:tr w:rsidR="00B67A1B" w:rsidRPr="00B67A1B" w14:paraId="78FB22B2" w14:textId="77777777" w:rsidTr="00B67A1B">
        <w:trPr>
          <w:trHeight w:val="624"/>
          <w:jc w:val="center"/>
        </w:trPr>
        <w:tc>
          <w:tcPr>
            <w:tcW w:w="2625" w:type="dxa"/>
            <w:tcBorders>
              <w:top w:val="nil"/>
              <w:left w:val="nil"/>
              <w:bottom w:val="nil"/>
              <w:right w:val="nil"/>
            </w:tcBorders>
            <w:shd w:val="clear" w:color="auto" w:fill="auto"/>
            <w:vAlign w:val="bottom"/>
            <w:hideMark/>
          </w:tcPr>
          <w:p w14:paraId="2F3543C0"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Expenses not requiring appropriation in the Budget year </w:t>
            </w:r>
            <w:r w:rsidRPr="00B67A1B">
              <w:rPr>
                <w:color w:val="auto"/>
                <w:sz w:val="16"/>
                <w:szCs w:val="16"/>
                <w:vertAlign w:val="superscript"/>
              </w:rPr>
              <w:t>(c)</w:t>
            </w:r>
          </w:p>
        </w:tc>
        <w:tc>
          <w:tcPr>
            <w:tcW w:w="899" w:type="dxa"/>
            <w:tcBorders>
              <w:top w:val="nil"/>
              <w:left w:val="nil"/>
              <w:bottom w:val="nil"/>
              <w:right w:val="nil"/>
            </w:tcBorders>
            <w:shd w:val="clear" w:color="auto" w:fill="auto"/>
            <w:noWrap/>
            <w:tcMar>
              <w:left w:w="28" w:type="dxa"/>
              <w:right w:w="28" w:type="dxa"/>
            </w:tcMar>
            <w:vAlign w:val="bottom"/>
            <w:hideMark/>
          </w:tcPr>
          <w:p w14:paraId="2974F5C4" w14:textId="77777777" w:rsidR="00B67A1B" w:rsidRPr="00B67A1B" w:rsidRDefault="00B67A1B" w:rsidP="00B67A1B">
            <w:pPr>
              <w:spacing w:before="0" w:after="0"/>
              <w:jc w:val="right"/>
              <w:rPr>
                <w:color w:val="auto"/>
                <w:sz w:val="16"/>
                <w:szCs w:val="16"/>
              </w:rPr>
            </w:pPr>
            <w:r w:rsidRPr="00B67A1B">
              <w:rPr>
                <w:color w:val="auto"/>
                <w:sz w:val="16"/>
                <w:szCs w:val="16"/>
              </w:rPr>
              <w:t>8,639</w:t>
            </w:r>
          </w:p>
        </w:tc>
        <w:tc>
          <w:tcPr>
            <w:tcW w:w="894" w:type="dxa"/>
            <w:tcBorders>
              <w:top w:val="nil"/>
              <w:left w:val="nil"/>
              <w:bottom w:val="nil"/>
              <w:right w:val="nil"/>
            </w:tcBorders>
            <w:shd w:val="clear" w:color="000000" w:fill="D9D9D9"/>
            <w:noWrap/>
            <w:tcMar>
              <w:left w:w="28" w:type="dxa"/>
              <w:right w:w="28" w:type="dxa"/>
            </w:tcMar>
            <w:vAlign w:val="bottom"/>
            <w:hideMark/>
          </w:tcPr>
          <w:p w14:paraId="070531F4" w14:textId="77777777" w:rsidR="00B67A1B" w:rsidRPr="00B67A1B" w:rsidRDefault="00B67A1B" w:rsidP="00B67A1B">
            <w:pPr>
              <w:spacing w:before="0" w:after="0"/>
              <w:jc w:val="right"/>
              <w:rPr>
                <w:color w:val="auto"/>
                <w:sz w:val="16"/>
                <w:szCs w:val="16"/>
              </w:rPr>
            </w:pPr>
            <w:r w:rsidRPr="00B67A1B">
              <w:rPr>
                <w:color w:val="auto"/>
                <w:sz w:val="16"/>
                <w:szCs w:val="16"/>
              </w:rPr>
              <w:t>12,916</w:t>
            </w:r>
          </w:p>
        </w:tc>
        <w:tc>
          <w:tcPr>
            <w:tcW w:w="984" w:type="dxa"/>
            <w:tcBorders>
              <w:top w:val="nil"/>
              <w:left w:val="nil"/>
              <w:bottom w:val="nil"/>
              <w:right w:val="nil"/>
            </w:tcBorders>
            <w:shd w:val="clear" w:color="auto" w:fill="auto"/>
            <w:noWrap/>
            <w:tcMar>
              <w:left w:w="28" w:type="dxa"/>
              <w:right w:w="28" w:type="dxa"/>
            </w:tcMar>
            <w:vAlign w:val="bottom"/>
            <w:hideMark/>
          </w:tcPr>
          <w:p w14:paraId="6D5A17A2" w14:textId="77777777" w:rsidR="00B67A1B" w:rsidRPr="00B67A1B" w:rsidRDefault="00B67A1B" w:rsidP="00B67A1B">
            <w:pPr>
              <w:spacing w:before="0" w:after="0"/>
              <w:jc w:val="right"/>
              <w:rPr>
                <w:color w:val="auto"/>
                <w:sz w:val="16"/>
                <w:szCs w:val="16"/>
              </w:rPr>
            </w:pPr>
            <w:r w:rsidRPr="00B67A1B">
              <w:rPr>
                <w:color w:val="auto"/>
                <w:sz w:val="16"/>
                <w:szCs w:val="16"/>
              </w:rPr>
              <w:t>11,834</w:t>
            </w:r>
          </w:p>
        </w:tc>
        <w:tc>
          <w:tcPr>
            <w:tcW w:w="984" w:type="dxa"/>
            <w:tcBorders>
              <w:top w:val="nil"/>
              <w:left w:val="nil"/>
              <w:bottom w:val="nil"/>
              <w:right w:val="nil"/>
            </w:tcBorders>
            <w:shd w:val="clear" w:color="auto" w:fill="auto"/>
            <w:noWrap/>
            <w:tcMar>
              <w:left w:w="28" w:type="dxa"/>
              <w:right w:w="28" w:type="dxa"/>
            </w:tcMar>
            <w:vAlign w:val="bottom"/>
            <w:hideMark/>
          </w:tcPr>
          <w:p w14:paraId="34499252" w14:textId="77777777" w:rsidR="00B67A1B" w:rsidRPr="00B67A1B" w:rsidRDefault="00B67A1B" w:rsidP="00B67A1B">
            <w:pPr>
              <w:spacing w:before="0" w:after="0"/>
              <w:jc w:val="right"/>
              <w:rPr>
                <w:color w:val="auto"/>
                <w:sz w:val="16"/>
                <w:szCs w:val="16"/>
              </w:rPr>
            </w:pPr>
            <w:r w:rsidRPr="00B67A1B">
              <w:rPr>
                <w:color w:val="auto"/>
                <w:sz w:val="16"/>
                <w:szCs w:val="16"/>
              </w:rPr>
              <w:t>11,181</w:t>
            </w:r>
          </w:p>
        </w:tc>
        <w:tc>
          <w:tcPr>
            <w:tcW w:w="984" w:type="dxa"/>
            <w:tcBorders>
              <w:top w:val="nil"/>
              <w:left w:val="nil"/>
              <w:bottom w:val="nil"/>
              <w:right w:val="nil"/>
            </w:tcBorders>
            <w:shd w:val="clear" w:color="auto" w:fill="auto"/>
            <w:noWrap/>
            <w:tcMar>
              <w:left w:w="28" w:type="dxa"/>
              <w:right w:w="28" w:type="dxa"/>
            </w:tcMar>
            <w:vAlign w:val="bottom"/>
            <w:hideMark/>
          </w:tcPr>
          <w:p w14:paraId="057F1FFF" w14:textId="77777777" w:rsidR="00B67A1B" w:rsidRPr="00B67A1B" w:rsidRDefault="00B67A1B" w:rsidP="00B67A1B">
            <w:pPr>
              <w:spacing w:before="0" w:after="0"/>
              <w:jc w:val="right"/>
              <w:rPr>
                <w:color w:val="auto"/>
                <w:sz w:val="16"/>
                <w:szCs w:val="16"/>
              </w:rPr>
            </w:pPr>
            <w:r w:rsidRPr="00B67A1B">
              <w:rPr>
                <w:color w:val="auto"/>
                <w:sz w:val="16"/>
                <w:szCs w:val="16"/>
              </w:rPr>
              <w:t>9,899</w:t>
            </w:r>
          </w:p>
        </w:tc>
      </w:tr>
      <w:tr w:rsidR="00B67A1B" w:rsidRPr="00B67A1B" w14:paraId="03DA3262"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556EF52F" w14:textId="77777777" w:rsidR="00B67A1B" w:rsidRPr="00B67A1B" w:rsidRDefault="00B67A1B" w:rsidP="00B67A1B">
            <w:pPr>
              <w:spacing w:before="0" w:after="0"/>
              <w:ind w:firstLineChars="100" w:firstLine="160"/>
              <w:rPr>
                <w:b/>
                <w:bCs/>
                <w:color w:val="auto"/>
                <w:sz w:val="16"/>
                <w:szCs w:val="16"/>
              </w:rPr>
            </w:pPr>
            <w:r w:rsidRPr="00B67A1B">
              <w:rPr>
                <w:b/>
                <w:bCs/>
                <w:color w:val="auto"/>
                <w:sz w:val="16"/>
                <w:szCs w:val="16"/>
              </w:rPr>
              <w:t>Total for Program 3.3</w:t>
            </w:r>
          </w:p>
        </w:tc>
        <w:tc>
          <w:tcPr>
            <w:tcW w:w="899"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1CC0E2EB" w14:textId="77777777" w:rsidR="00B67A1B" w:rsidRPr="00B67A1B" w:rsidRDefault="00B67A1B" w:rsidP="00B67A1B">
            <w:pPr>
              <w:spacing w:before="0" w:after="0"/>
              <w:jc w:val="right"/>
              <w:rPr>
                <w:b/>
                <w:bCs/>
                <w:color w:val="auto"/>
                <w:sz w:val="16"/>
                <w:szCs w:val="16"/>
              </w:rPr>
            </w:pPr>
            <w:r w:rsidRPr="00B67A1B">
              <w:rPr>
                <w:b/>
                <w:bCs/>
                <w:color w:val="auto"/>
                <w:sz w:val="16"/>
                <w:szCs w:val="16"/>
              </w:rPr>
              <w:t>1,015,985</w:t>
            </w:r>
          </w:p>
        </w:tc>
        <w:tc>
          <w:tcPr>
            <w:tcW w:w="894" w:type="dxa"/>
            <w:tcBorders>
              <w:top w:val="single" w:sz="4" w:space="0" w:color="auto"/>
              <w:left w:val="nil"/>
              <w:bottom w:val="single" w:sz="4" w:space="0" w:color="auto"/>
              <w:right w:val="nil"/>
            </w:tcBorders>
            <w:shd w:val="clear" w:color="000000" w:fill="D9D9D9"/>
            <w:noWrap/>
            <w:tcMar>
              <w:left w:w="28" w:type="dxa"/>
              <w:right w:w="28" w:type="dxa"/>
            </w:tcMar>
            <w:vAlign w:val="bottom"/>
            <w:hideMark/>
          </w:tcPr>
          <w:p w14:paraId="2ECE18DB" w14:textId="77777777" w:rsidR="00B67A1B" w:rsidRPr="00B67A1B" w:rsidRDefault="00B67A1B" w:rsidP="00B67A1B">
            <w:pPr>
              <w:spacing w:before="0" w:after="0"/>
              <w:jc w:val="right"/>
              <w:rPr>
                <w:b/>
                <w:bCs/>
                <w:color w:val="auto"/>
                <w:sz w:val="16"/>
                <w:szCs w:val="16"/>
              </w:rPr>
            </w:pPr>
            <w:r w:rsidRPr="00B67A1B">
              <w:rPr>
                <w:b/>
                <w:bCs/>
                <w:color w:val="auto"/>
                <w:sz w:val="16"/>
                <w:szCs w:val="16"/>
              </w:rPr>
              <w:t>752,883</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339C47FA" w14:textId="77777777" w:rsidR="00B67A1B" w:rsidRPr="00B67A1B" w:rsidRDefault="00B67A1B" w:rsidP="00B67A1B">
            <w:pPr>
              <w:spacing w:before="0" w:after="0"/>
              <w:jc w:val="right"/>
              <w:rPr>
                <w:b/>
                <w:bCs/>
                <w:color w:val="auto"/>
                <w:sz w:val="16"/>
                <w:szCs w:val="16"/>
              </w:rPr>
            </w:pPr>
            <w:r w:rsidRPr="00B67A1B">
              <w:rPr>
                <w:b/>
                <w:bCs/>
                <w:color w:val="auto"/>
                <w:sz w:val="16"/>
                <w:szCs w:val="16"/>
              </w:rPr>
              <w:t>434,685</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0D820110" w14:textId="77777777" w:rsidR="00B67A1B" w:rsidRPr="00B67A1B" w:rsidRDefault="00B67A1B" w:rsidP="00B67A1B">
            <w:pPr>
              <w:spacing w:before="0" w:after="0"/>
              <w:jc w:val="right"/>
              <w:rPr>
                <w:b/>
                <w:bCs/>
                <w:color w:val="auto"/>
                <w:sz w:val="16"/>
                <w:szCs w:val="16"/>
              </w:rPr>
            </w:pPr>
            <w:r w:rsidRPr="00B67A1B">
              <w:rPr>
                <w:b/>
                <w:bCs/>
                <w:color w:val="auto"/>
                <w:sz w:val="16"/>
                <w:szCs w:val="16"/>
              </w:rPr>
              <w:t>303,767</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4F6F81FA" w14:textId="77777777" w:rsidR="00B67A1B" w:rsidRPr="00B67A1B" w:rsidRDefault="00B67A1B" w:rsidP="00B67A1B">
            <w:pPr>
              <w:spacing w:before="0" w:after="0"/>
              <w:jc w:val="right"/>
              <w:rPr>
                <w:b/>
                <w:bCs/>
                <w:color w:val="auto"/>
                <w:sz w:val="16"/>
                <w:szCs w:val="16"/>
              </w:rPr>
            </w:pPr>
            <w:r w:rsidRPr="00B67A1B">
              <w:rPr>
                <w:b/>
                <w:bCs/>
                <w:color w:val="auto"/>
                <w:sz w:val="16"/>
                <w:szCs w:val="16"/>
              </w:rPr>
              <w:t>290,392</w:t>
            </w:r>
          </w:p>
        </w:tc>
      </w:tr>
      <w:tr w:rsidR="00B67A1B" w:rsidRPr="00B67A1B" w14:paraId="6E69815E" w14:textId="77777777" w:rsidTr="00B67A1B">
        <w:trPr>
          <w:trHeight w:val="283"/>
          <w:jc w:val="center"/>
        </w:trPr>
        <w:tc>
          <w:tcPr>
            <w:tcW w:w="3524" w:type="dxa"/>
            <w:gridSpan w:val="2"/>
            <w:tcBorders>
              <w:top w:val="nil"/>
              <w:left w:val="nil"/>
              <w:bottom w:val="nil"/>
              <w:right w:val="nil"/>
            </w:tcBorders>
            <w:shd w:val="clear" w:color="auto" w:fill="auto"/>
            <w:noWrap/>
            <w:tcMar>
              <w:left w:w="28" w:type="dxa"/>
              <w:right w:w="28" w:type="dxa"/>
            </w:tcMar>
            <w:vAlign w:val="bottom"/>
            <w:hideMark/>
          </w:tcPr>
          <w:p w14:paraId="64CB95EB" w14:textId="77777777" w:rsidR="00B67A1B" w:rsidRPr="00B67A1B" w:rsidRDefault="00B67A1B" w:rsidP="00B67A1B">
            <w:pPr>
              <w:spacing w:before="0" w:after="0"/>
              <w:rPr>
                <w:b/>
                <w:bCs/>
                <w:color w:val="auto"/>
                <w:sz w:val="16"/>
                <w:szCs w:val="16"/>
              </w:rPr>
            </w:pPr>
            <w:r w:rsidRPr="00B67A1B">
              <w:rPr>
                <w:b/>
                <w:bCs/>
                <w:color w:val="auto"/>
                <w:sz w:val="16"/>
                <w:szCs w:val="16"/>
              </w:rPr>
              <w:t>Outcome 3 totals by appropriation type</w:t>
            </w:r>
          </w:p>
        </w:tc>
        <w:tc>
          <w:tcPr>
            <w:tcW w:w="894" w:type="dxa"/>
            <w:tcBorders>
              <w:top w:val="nil"/>
              <w:left w:val="nil"/>
              <w:bottom w:val="nil"/>
              <w:right w:val="nil"/>
            </w:tcBorders>
            <w:shd w:val="clear" w:color="auto" w:fill="auto"/>
            <w:noWrap/>
            <w:tcMar>
              <w:left w:w="28" w:type="dxa"/>
              <w:right w:w="28" w:type="dxa"/>
            </w:tcMar>
            <w:vAlign w:val="bottom"/>
            <w:hideMark/>
          </w:tcPr>
          <w:p w14:paraId="71433AAD" w14:textId="77777777" w:rsidR="00B67A1B" w:rsidRPr="00B67A1B" w:rsidRDefault="00B67A1B" w:rsidP="00B67A1B">
            <w:pPr>
              <w:spacing w:before="0" w:after="0"/>
              <w:rPr>
                <w:b/>
                <w:bCs/>
                <w:color w:val="auto"/>
                <w:sz w:val="16"/>
                <w:szCs w:val="16"/>
              </w:rPr>
            </w:pPr>
          </w:p>
        </w:tc>
        <w:tc>
          <w:tcPr>
            <w:tcW w:w="984" w:type="dxa"/>
            <w:tcBorders>
              <w:top w:val="nil"/>
              <w:left w:val="nil"/>
              <w:bottom w:val="nil"/>
              <w:right w:val="nil"/>
            </w:tcBorders>
            <w:shd w:val="clear" w:color="auto" w:fill="auto"/>
            <w:noWrap/>
            <w:tcMar>
              <w:left w:w="28" w:type="dxa"/>
              <w:right w:w="28" w:type="dxa"/>
            </w:tcMar>
            <w:vAlign w:val="bottom"/>
            <w:hideMark/>
          </w:tcPr>
          <w:p w14:paraId="3B2EE4AD"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110794FF"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6AEBAD70"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68BE156E"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6094F1B3" w14:textId="77777777" w:rsidR="00B67A1B" w:rsidRPr="00B67A1B" w:rsidRDefault="00B67A1B" w:rsidP="00B67A1B">
            <w:pPr>
              <w:spacing w:before="0" w:after="0"/>
              <w:ind w:firstLineChars="100" w:firstLine="160"/>
              <w:rPr>
                <w:color w:val="auto"/>
                <w:sz w:val="16"/>
                <w:szCs w:val="16"/>
              </w:rPr>
            </w:pPr>
            <w:r w:rsidRPr="00B67A1B">
              <w:rPr>
                <w:color w:val="auto"/>
                <w:sz w:val="16"/>
                <w:szCs w:val="16"/>
              </w:rPr>
              <w:t>Administered expenses</w:t>
            </w:r>
          </w:p>
        </w:tc>
        <w:tc>
          <w:tcPr>
            <w:tcW w:w="899" w:type="dxa"/>
            <w:tcBorders>
              <w:top w:val="nil"/>
              <w:left w:val="nil"/>
              <w:bottom w:val="nil"/>
              <w:right w:val="nil"/>
            </w:tcBorders>
            <w:shd w:val="clear" w:color="auto" w:fill="auto"/>
            <w:noWrap/>
            <w:tcMar>
              <w:left w:w="28" w:type="dxa"/>
              <w:right w:w="28" w:type="dxa"/>
            </w:tcMar>
            <w:vAlign w:val="bottom"/>
            <w:hideMark/>
          </w:tcPr>
          <w:p w14:paraId="4D095849" w14:textId="77777777" w:rsidR="00B67A1B" w:rsidRPr="00B67A1B" w:rsidRDefault="00B67A1B" w:rsidP="00B67A1B">
            <w:pPr>
              <w:spacing w:before="0" w:after="0"/>
              <w:ind w:firstLineChars="100" w:firstLine="160"/>
              <w:rPr>
                <w:color w:val="auto"/>
                <w:sz w:val="16"/>
                <w:szCs w:val="16"/>
              </w:rPr>
            </w:pPr>
          </w:p>
        </w:tc>
        <w:tc>
          <w:tcPr>
            <w:tcW w:w="894" w:type="dxa"/>
            <w:tcBorders>
              <w:top w:val="nil"/>
              <w:left w:val="nil"/>
              <w:bottom w:val="nil"/>
              <w:right w:val="nil"/>
            </w:tcBorders>
            <w:shd w:val="clear" w:color="000000" w:fill="D9D9D9"/>
            <w:noWrap/>
            <w:tcMar>
              <w:left w:w="28" w:type="dxa"/>
              <w:right w:w="28" w:type="dxa"/>
            </w:tcMar>
            <w:vAlign w:val="bottom"/>
            <w:hideMark/>
          </w:tcPr>
          <w:p w14:paraId="7A8CD6D0" w14:textId="77777777" w:rsidR="00B67A1B" w:rsidRPr="00B67A1B" w:rsidRDefault="00B67A1B" w:rsidP="00B67A1B">
            <w:pPr>
              <w:spacing w:before="0" w:after="0"/>
              <w:jc w:val="right"/>
              <w:rPr>
                <w:color w:val="auto"/>
                <w:sz w:val="16"/>
                <w:szCs w:val="16"/>
              </w:rPr>
            </w:pPr>
            <w:r w:rsidRPr="00B67A1B">
              <w:rPr>
                <w:color w:val="auto"/>
                <w:sz w:val="16"/>
                <w:szCs w:val="16"/>
              </w:rPr>
              <w:t> </w:t>
            </w:r>
          </w:p>
        </w:tc>
        <w:tc>
          <w:tcPr>
            <w:tcW w:w="984" w:type="dxa"/>
            <w:tcBorders>
              <w:top w:val="nil"/>
              <w:left w:val="nil"/>
              <w:bottom w:val="nil"/>
              <w:right w:val="nil"/>
            </w:tcBorders>
            <w:shd w:val="clear" w:color="auto" w:fill="auto"/>
            <w:noWrap/>
            <w:tcMar>
              <w:left w:w="28" w:type="dxa"/>
              <w:right w:w="28" w:type="dxa"/>
            </w:tcMar>
            <w:vAlign w:val="bottom"/>
            <w:hideMark/>
          </w:tcPr>
          <w:p w14:paraId="0819D1CB" w14:textId="77777777" w:rsidR="00B67A1B" w:rsidRPr="00B67A1B" w:rsidRDefault="00B67A1B" w:rsidP="00B67A1B">
            <w:pPr>
              <w:spacing w:before="0" w:after="0"/>
              <w:jc w:val="right"/>
              <w:rPr>
                <w:color w:val="auto"/>
                <w:sz w:val="16"/>
                <w:szCs w:val="16"/>
              </w:rPr>
            </w:pPr>
          </w:p>
        </w:tc>
        <w:tc>
          <w:tcPr>
            <w:tcW w:w="984" w:type="dxa"/>
            <w:tcBorders>
              <w:top w:val="nil"/>
              <w:left w:val="nil"/>
              <w:bottom w:val="nil"/>
              <w:right w:val="nil"/>
            </w:tcBorders>
            <w:shd w:val="clear" w:color="auto" w:fill="auto"/>
            <w:noWrap/>
            <w:tcMar>
              <w:left w:w="28" w:type="dxa"/>
              <w:right w:w="28" w:type="dxa"/>
            </w:tcMar>
            <w:vAlign w:val="bottom"/>
            <w:hideMark/>
          </w:tcPr>
          <w:p w14:paraId="6191FF55"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38FD4EA0"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5435C2BD"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5F491DD6"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Ordinary annual services </w:t>
            </w:r>
            <w:r w:rsidRPr="00B67A1B">
              <w:rPr>
                <w:color w:val="auto"/>
                <w:sz w:val="16"/>
                <w:szCs w:val="16"/>
                <w:vertAlign w:val="superscript"/>
              </w:rPr>
              <w:t>(a)</w:t>
            </w:r>
          </w:p>
        </w:tc>
        <w:tc>
          <w:tcPr>
            <w:tcW w:w="899" w:type="dxa"/>
            <w:tcBorders>
              <w:top w:val="nil"/>
              <w:left w:val="nil"/>
              <w:bottom w:val="nil"/>
              <w:right w:val="nil"/>
            </w:tcBorders>
            <w:shd w:val="clear" w:color="auto" w:fill="auto"/>
            <w:noWrap/>
            <w:tcMar>
              <w:left w:w="28" w:type="dxa"/>
              <w:right w:w="28" w:type="dxa"/>
            </w:tcMar>
            <w:vAlign w:val="bottom"/>
            <w:hideMark/>
          </w:tcPr>
          <w:p w14:paraId="130A84C5" w14:textId="77777777" w:rsidR="00B67A1B" w:rsidRPr="00B67A1B" w:rsidRDefault="00B67A1B" w:rsidP="00B67A1B">
            <w:pPr>
              <w:spacing w:before="0" w:after="0"/>
              <w:jc w:val="right"/>
              <w:rPr>
                <w:color w:val="auto"/>
                <w:sz w:val="16"/>
                <w:szCs w:val="16"/>
              </w:rPr>
            </w:pPr>
            <w:r w:rsidRPr="00B67A1B">
              <w:rPr>
                <w:color w:val="auto"/>
                <w:sz w:val="16"/>
                <w:szCs w:val="16"/>
              </w:rPr>
              <w:t>5,394,477</w:t>
            </w:r>
          </w:p>
        </w:tc>
        <w:tc>
          <w:tcPr>
            <w:tcW w:w="894" w:type="dxa"/>
            <w:tcBorders>
              <w:top w:val="nil"/>
              <w:left w:val="nil"/>
              <w:bottom w:val="nil"/>
              <w:right w:val="nil"/>
            </w:tcBorders>
            <w:shd w:val="clear" w:color="000000" w:fill="D9D9D9"/>
            <w:noWrap/>
            <w:tcMar>
              <w:left w:w="28" w:type="dxa"/>
              <w:right w:w="28" w:type="dxa"/>
            </w:tcMar>
            <w:vAlign w:val="bottom"/>
            <w:hideMark/>
          </w:tcPr>
          <w:p w14:paraId="15942DDF" w14:textId="77777777" w:rsidR="00B67A1B" w:rsidRPr="00B67A1B" w:rsidRDefault="00B67A1B" w:rsidP="00B67A1B">
            <w:pPr>
              <w:spacing w:before="0" w:after="0"/>
              <w:jc w:val="right"/>
              <w:rPr>
                <w:color w:val="auto"/>
                <w:sz w:val="16"/>
                <w:szCs w:val="16"/>
              </w:rPr>
            </w:pPr>
            <w:r w:rsidRPr="00B67A1B">
              <w:rPr>
                <w:color w:val="auto"/>
                <w:sz w:val="16"/>
                <w:szCs w:val="16"/>
              </w:rPr>
              <w:t>5,190,577</w:t>
            </w:r>
          </w:p>
        </w:tc>
        <w:tc>
          <w:tcPr>
            <w:tcW w:w="984" w:type="dxa"/>
            <w:tcBorders>
              <w:top w:val="nil"/>
              <w:left w:val="nil"/>
              <w:bottom w:val="nil"/>
              <w:right w:val="nil"/>
            </w:tcBorders>
            <w:shd w:val="clear" w:color="auto" w:fill="auto"/>
            <w:noWrap/>
            <w:tcMar>
              <w:left w:w="28" w:type="dxa"/>
              <w:right w:w="28" w:type="dxa"/>
            </w:tcMar>
            <w:vAlign w:val="bottom"/>
            <w:hideMark/>
          </w:tcPr>
          <w:p w14:paraId="70B06F3E" w14:textId="77777777" w:rsidR="00B67A1B" w:rsidRPr="00B67A1B" w:rsidRDefault="00B67A1B" w:rsidP="00B67A1B">
            <w:pPr>
              <w:spacing w:before="0" w:after="0"/>
              <w:jc w:val="right"/>
              <w:rPr>
                <w:color w:val="auto"/>
                <w:sz w:val="16"/>
                <w:szCs w:val="16"/>
              </w:rPr>
            </w:pPr>
            <w:r w:rsidRPr="00B67A1B">
              <w:rPr>
                <w:color w:val="auto"/>
                <w:sz w:val="16"/>
                <w:szCs w:val="16"/>
              </w:rPr>
              <w:t>4,805,202</w:t>
            </w:r>
          </w:p>
        </w:tc>
        <w:tc>
          <w:tcPr>
            <w:tcW w:w="984" w:type="dxa"/>
            <w:tcBorders>
              <w:top w:val="nil"/>
              <w:left w:val="nil"/>
              <w:bottom w:val="nil"/>
              <w:right w:val="nil"/>
            </w:tcBorders>
            <w:shd w:val="clear" w:color="auto" w:fill="auto"/>
            <w:noWrap/>
            <w:tcMar>
              <w:left w:w="28" w:type="dxa"/>
              <w:right w:w="28" w:type="dxa"/>
            </w:tcMar>
            <w:vAlign w:val="bottom"/>
            <w:hideMark/>
          </w:tcPr>
          <w:p w14:paraId="3BA8964F" w14:textId="77777777" w:rsidR="00B67A1B" w:rsidRPr="00B67A1B" w:rsidRDefault="00B67A1B" w:rsidP="00B67A1B">
            <w:pPr>
              <w:spacing w:before="0" w:after="0"/>
              <w:jc w:val="right"/>
              <w:rPr>
                <w:color w:val="auto"/>
                <w:sz w:val="16"/>
                <w:szCs w:val="16"/>
              </w:rPr>
            </w:pPr>
            <w:r w:rsidRPr="00B67A1B">
              <w:rPr>
                <w:color w:val="auto"/>
                <w:sz w:val="16"/>
                <w:szCs w:val="16"/>
              </w:rPr>
              <w:t>4,892,826</w:t>
            </w:r>
          </w:p>
        </w:tc>
        <w:tc>
          <w:tcPr>
            <w:tcW w:w="984" w:type="dxa"/>
            <w:tcBorders>
              <w:top w:val="nil"/>
              <w:left w:val="nil"/>
              <w:bottom w:val="nil"/>
              <w:right w:val="nil"/>
            </w:tcBorders>
            <w:shd w:val="clear" w:color="auto" w:fill="auto"/>
            <w:noWrap/>
            <w:tcMar>
              <w:left w:w="28" w:type="dxa"/>
              <w:right w:w="28" w:type="dxa"/>
            </w:tcMar>
            <w:vAlign w:val="bottom"/>
            <w:hideMark/>
          </w:tcPr>
          <w:p w14:paraId="4D9B270B" w14:textId="77777777" w:rsidR="00B67A1B" w:rsidRPr="00B67A1B" w:rsidRDefault="00B67A1B" w:rsidP="00B67A1B">
            <w:pPr>
              <w:spacing w:before="0" w:after="0"/>
              <w:jc w:val="right"/>
              <w:rPr>
                <w:color w:val="auto"/>
                <w:sz w:val="16"/>
                <w:szCs w:val="16"/>
              </w:rPr>
            </w:pPr>
            <w:r w:rsidRPr="00B67A1B">
              <w:rPr>
                <w:color w:val="auto"/>
                <w:sz w:val="16"/>
                <w:szCs w:val="16"/>
              </w:rPr>
              <w:t>5,120,616</w:t>
            </w:r>
          </w:p>
        </w:tc>
      </w:tr>
      <w:tr w:rsidR="00B67A1B" w:rsidRPr="00B67A1B" w14:paraId="0B97B56F"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2D7C9C29" w14:textId="77777777" w:rsidR="00B67A1B" w:rsidRPr="00B67A1B" w:rsidRDefault="00B67A1B" w:rsidP="00B67A1B">
            <w:pPr>
              <w:spacing w:before="0" w:after="0"/>
              <w:ind w:firstLineChars="300" w:firstLine="480"/>
              <w:rPr>
                <w:color w:val="auto"/>
                <w:sz w:val="16"/>
                <w:szCs w:val="16"/>
              </w:rPr>
            </w:pPr>
            <w:r w:rsidRPr="00B67A1B">
              <w:rPr>
                <w:color w:val="auto"/>
                <w:sz w:val="16"/>
                <w:szCs w:val="16"/>
              </w:rPr>
              <w:t xml:space="preserve">- expense adjustment </w:t>
            </w:r>
            <w:r w:rsidRPr="00B67A1B">
              <w:rPr>
                <w:color w:val="auto"/>
                <w:sz w:val="16"/>
                <w:szCs w:val="16"/>
                <w:vertAlign w:val="superscript"/>
              </w:rPr>
              <w:t>(f)</w:t>
            </w:r>
          </w:p>
        </w:tc>
        <w:tc>
          <w:tcPr>
            <w:tcW w:w="899" w:type="dxa"/>
            <w:tcBorders>
              <w:top w:val="nil"/>
              <w:left w:val="nil"/>
              <w:bottom w:val="nil"/>
              <w:right w:val="nil"/>
            </w:tcBorders>
            <w:shd w:val="clear" w:color="auto" w:fill="auto"/>
            <w:noWrap/>
            <w:tcMar>
              <w:left w:w="28" w:type="dxa"/>
              <w:right w:w="28" w:type="dxa"/>
            </w:tcMar>
            <w:vAlign w:val="bottom"/>
            <w:hideMark/>
          </w:tcPr>
          <w:p w14:paraId="207FA005" w14:textId="77777777" w:rsidR="00B67A1B" w:rsidRPr="00B67A1B" w:rsidRDefault="00B67A1B" w:rsidP="00B67A1B">
            <w:pPr>
              <w:spacing w:before="0" w:after="0"/>
              <w:jc w:val="right"/>
              <w:rPr>
                <w:color w:val="auto"/>
                <w:sz w:val="16"/>
                <w:szCs w:val="16"/>
              </w:rPr>
            </w:pPr>
            <w:r w:rsidRPr="00B67A1B">
              <w:rPr>
                <w:color w:val="auto"/>
                <w:sz w:val="16"/>
                <w:szCs w:val="16"/>
              </w:rPr>
              <w:t>(4,442)</w:t>
            </w:r>
          </w:p>
        </w:tc>
        <w:tc>
          <w:tcPr>
            <w:tcW w:w="894" w:type="dxa"/>
            <w:tcBorders>
              <w:top w:val="nil"/>
              <w:left w:val="nil"/>
              <w:bottom w:val="nil"/>
              <w:right w:val="nil"/>
            </w:tcBorders>
            <w:shd w:val="clear" w:color="000000" w:fill="D9D9D9"/>
            <w:noWrap/>
            <w:tcMar>
              <w:left w:w="28" w:type="dxa"/>
              <w:right w:w="28" w:type="dxa"/>
            </w:tcMar>
            <w:vAlign w:val="bottom"/>
            <w:hideMark/>
          </w:tcPr>
          <w:p w14:paraId="5B2AB276"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100D401F"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6761A446"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27E8086B" w14:textId="77777777" w:rsidR="00B67A1B" w:rsidRPr="00B67A1B" w:rsidRDefault="00B67A1B" w:rsidP="00B67A1B">
            <w:pPr>
              <w:spacing w:before="0" w:after="0"/>
              <w:jc w:val="right"/>
              <w:rPr>
                <w:color w:val="auto"/>
                <w:sz w:val="16"/>
                <w:szCs w:val="16"/>
              </w:rPr>
            </w:pPr>
            <w:r w:rsidRPr="00B67A1B">
              <w:rPr>
                <w:color w:val="auto"/>
                <w:sz w:val="16"/>
                <w:szCs w:val="16"/>
              </w:rPr>
              <w:t>-</w:t>
            </w:r>
          </w:p>
        </w:tc>
      </w:tr>
      <w:tr w:rsidR="00B67A1B" w:rsidRPr="00B67A1B" w14:paraId="608E222C"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56181E84" w14:textId="77777777" w:rsidR="00B67A1B" w:rsidRPr="00B67A1B" w:rsidRDefault="00B67A1B" w:rsidP="00B67A1B">
            <w:pPr>
              <w:spacing w:before="0" w:after="0"/>
              <w:ind w:leftChars="150" w:left="270"/>
              <w:rPr>
                <w:color w:val="auto"/>
                <w:sz w:val="16"/>
                <w:szCs w:val="16"/>
              </w:rPr>
            </w:pPr>
            <w:r w:rsidRPr="00B67A1B">
              <w:rPr>
                <w:color w:val="auto"/>
                <w:sz w:val="16"/>
                <w:szCs w:val="16"/>
              </w:rPr>
              <w:t>Other services</w:t>
            </w:r>
          </w:p>
        </w:tc>
        <w:tc>
          <w:tcPr>
            <w:tcW w:w="899" w:type="dxa"/>
            <w:tcBorders>
              <w:top w:val="nil"/>
              <w:left w:val="nil"/>
              <w:bottom w:val="nil"/>
              <w:right w:val="nil"/>
            </w:tcBorders>
            <w:shd w:val="clear" w:color="auto" w:fill="auto"/>
            <w:noWrap/>
            <w:tcMar>
              <w:left w:w="28" w:type="dxa"/>
              <w:right w:w="28" w:type="dxa"/>
            </w:tcMar>
            <w:vAlign w:val="bottom"/>
            <w:hideMark/>
          </w:tcPr>
          <w:p w14:paraId="76579AD2" w14:textId="77777777" w:rsidR="00B67A1B" w:rsidRPr="00B67A1B" w:rsidRDefault="00B67A1B" w:rsidP="00B67A1B">
            <w:pPr>
              <w:spacing w:before="0" w:after="0"/>
              <w:jc w:val="right"/>
              <w:rPr>
                <w:color w:val="auto"/>
                <w:sz w:val="16"/>
                <w:szCs w:val="16"/>
              </w:rPr>
            </w:pPr>
            <w:r w:rsidRPr="00B67A1B">
              <w:rPr>
                <w:color w:val="auto"/>
                <w:sz w:val="16"/>
                <w:szCs w:val="16"/>
              </w:rPr>
              <w:t>90,179</w:t>
            </w:r>
          </w:p>
        </w:tc>
        <w:tc>
          <w:tcPr>
            <w:tcW w:w="894" w:type="dxa"/>
            <w:tcBorders>
              <w:top w:val="nil"/>
              <w:left w:val="nil"/>
              <w:bottom w:val="nil"/>
              <w:right w:val="nil"/>
            </w:tcBorders>
            <w:shd w:val="clear" w:color="000000" w:fill="D9D9D9"/>
            <w:noWrap/>
            <w:tcMar>
              <w:left w:w="28" w:type="dxa"/>
              <w:right w:w="28" w:type="dxa"/>
            </w:tcMar>
            <w:vAlign w:val="bottom"/>
            <w:hideMark/>
          </w:tcPr>
          <w:p w14:paraId="19DB6792" w14:textId="77777777" w:rsidR="00B67A1B" w:rsidRPr="00B67A1B" w:rsidRDefault="00B67A1B" w:rsidP="00B67A1B">
            <w:pPr>
              <w:spacing w:before="0" w:after="0"/>
              <w:jc w:val="right"/>
              <w:rPr>
                <w:color w:val="auto"/>
                <w:sz w:val="16"/>
                <w:szCs w:val="16"/>
              </w:rPr>
            </w:pPr>
            <w:r w:rsidRPr="00B67A1B">
              <w:rPr>
                <w:color w:val="auto"/>
                <w:sz w:val="16"/>
                <w:szCs w:val="16"/>
              </w:rPr>
              <w:t>38,648</w:t>
            </w:r>
          </w:p>
        </w:tc>
        <w:tc>
          <w:tcPr>
            <w:tcW w:w="984" w:type="dxa"/>
            <w:tcBorders>
              <w:top w:val="nil"/>
              <w:left w:val="nil"/>
              <w:bottom w:val="nil"/>
              <w:right w:val="nil"/>
            </w:tcBorders>
            <w:shd w:val="clear" w:color="auto" w:fill="auto"/>
            <w:noWrap/>
            <w:tcMar>
              <w:left w:w="28" w:type="dxa"/>
              <w:right w:w="28" w:type="dxa"/>
            </w:tcMar>
            <w:vAlign w:val="bottom"/>
            <w:hideMark/>
          </w:tcPr>
          <w:p w14:paraId="11211A7E"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3E020E11"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6FE28827" w14:textId="77777777" w:rsidR="00B67A1B" w:rsidRPr="00B67A1B" w:rsidRDefault="00B67A1B" w:rsidP="00B67A1B">
            <w:pPr>
              <w:spacing w:before="0" w:after="0"/>
              <w:jc w:val="right"/>
              <w:rPr>
                <w:color w:val="auto"/>
                <w:sz w:val="16"/>
                <w:szCs w:val="16"/>
              </w:rPr>
            </w:pPr>
            <w:r w:rsidRPr="00B67A1B">
              <w:rPr>
                <w:color w:val="auto"/>
                <w:sz w:val="16"/>
                <w:szCs w:val="16"/>
              </w:rPr>
              <w:t>-</w:t>
            </w:r>
          </w:p>
        </w:tc>
      </w:tr>
      <w:tr w:rsidR="00B67A1B" w:rsidRPr="00B67A1B" w14:paraId="6B97DE63"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47C1E24D" w14:textId="77777777" w:rsidR="00B67A1B" w:rsidRPr="00B67A1B" w:rsidRDefault="00B67A1B" w:rsidP="00B67A1B">
            <w:pPr>
              <w:spacing w:before="0" w:after="0"/>
              <w:ind w:firstLineChars="300" w:firstLine="480"/>
              <w:rPr>
                <w:color w:val="auto"/>
                <w:sz w:val="16"/>
                <w:szCs w:val="16"/>
              </w:rPr>
            </w:pPr>
            <w:r w:rsidRPr="00B67A1B">
              <w:rPr>
                <w:color w:val="auto"/>
                <w:sz w:val="16"/>
                <w:szCs w:val="16"/>
              </w:rPr>
              <w:t xml:space="preserve">- expense adjustment </w:t>
            </w:r>
            <w:r w:rsidRPr="00B67A1B">
              <w:rPr>
                <w:color w:val="auto"/>
                <w:sz w:val="16"/>
                <w:szCs w:val="16"/>
                <w:vertAlign w:val="superscript"/>
              </w:rPr>
              <w:t>(g)</w:t>
            </w:r>
          </w:p>
        </w:tc>
        <w:tc>
          <w:tcPr>
            <w:tcW w:w="899" w:type="dxa"/>
            <w:tcBorders>
              <w:top w:val="nil"/>
              <w:left w:val="nil"/>
              <w:bottom w:val="nil"/>
              <w:right w:val="nil"/>
            </w:tcBorders>
            <w:shd w:val="clear" w:color="auto" w:fill="auto"/>
            <w:noWrap/>
            <w:tcMar>
              <w:left w:w="28" w:type="dxa"/>
              <w:right w:w="28" w:type="dxa"/>
            </w:tcMar>
            <w:vAlign w:val="bottom"/>
            <w:hideMark/>
          </w:tcPr>
          <w:p w14:paraId="74138886" w14:textId="77777777" w:rsidR="00B67A1B" w:rsidRPr="00B67A1B" w:rsidRDefault="00B67A1B" w:rsidP="00B67A1B">
            <w:pPr>
              <w:spacing w:before="0" w:after="0"/>
              <w:jc w:val="right"/>
              <w:rPr>
                <w:color w:val="auto"/>
                <w:sz w:val="16"/>
                <w:szCs w:val="16"/>
              </w:rPr>
            </w:pPr>
            <w:r w:rsidRPr="00B67A1B">
              <w:rPr>
                <w:color w:val="auto"/>
                <w:sz w:val="16"/>
                <w:szCs w:val="16"/>
              </w:rPr>
              <w:t>(80,577)</w:t>
            </w:r>
          </w:p>
        </w:tc>
        <w:tc>
          <w:tcPr>
            <w:tcW w:w="894" w:type="dxa"/>
            <w:tcBorders>
              <w:top w:val="nil"/>
              <w:left w:val="nil"/>
              <w:bottom w:val="nil"/>
              <w:right w:val="nil"/>
            </w:tcBorders>
            <w:shd w:val="clear" w:color="000000" w:fill="D9D9D9"/>
            <w:noWrap/>
            <w:tcMar>
              <w:left w:w="28" w:type="dxa"/>
              <w:right w:w="28" w:type="dxa"/>
            </w:tcMar>
            <w:vAlign w:val="bottom"/>
            <w:hideMark/>
          </w:tcPr>
          <w:p w14:paraId="2C6973BE" w14:textId="77777777" w:rsidR="00B67A1B" w:rsidRPr="00B67A1B" w:rsidRDefault="00B67A1B" w:rsidP="00B67A1B">
            <w:pPr>
              <w:spacing w:before="0" w:after="0"/>
              <w:jc w:val="right"/>
              <w:rPr>
                <w:color w:val="auto"/>
                <w:sz w:val="16"/>
                <w:szCs w:val="16"/>
              </w:rPr>
            </w:pPr>
            <w:r w:rsidRPr="00B67A1B">
              <w:rPr>
                <w:color w:val="auto"/>
                <w:sz w:val="16"/>
                <w:szCs w:val="16"/>
              </w:rPr>
              <w:t>(34,003)</w:t>
            </w:r>
          </w:p>
        </w:tc>
        <w:tc>
          <w:tcPr>
            <w:tcW w:w="984" w:type="dxa"/>
            <w:tcBorders>
              <w:top w:val="nil"/>
              <w:left w:val="nil"/>
              <w:bottom w:val="nil"/>
              <w:right w:val="nil"/>
            </w:tcBorders>
            <w:shd w:val="clear" w:color="auto" w:fill="auto"/>
            <w:noWrap/>
            <w:tcMar>
              <w:left w:w="28" w:type="dxa"/>
              <w:right w:w="28" w:type="dxa"/>
            </w:tcMar>
            <w:vAlign w:val="bottom"/>
            <w:hideMark/>
          </w:tcPr>
          <w:p w14:paraId="648A0BA0" w14:textId="77777777" w:rsidR="00B67A1B" w:rsidRPr="00B67A1B" w:rsidRDefault="00B67A1B" w:rsidP="00B67A1B">
            <w:pPr>
              <w:spacing w:before="0" w:after="0"/>
              <w:jc w:val="right"/>
              <w:rPr>
                <w:color w:val="auto"/>
                <w:sz w:val="16"/>
                <w:szCs w:val="16"/>
              </w:rPr>
            </w:pPr>
            <w:r w:rsidRPr="00B67A1B">
              <w:rPr>
                <w:color w:val="auto"/>
                <w:sz w:val="16"/>
                <w:szCs w:val="16"/>
              </w:rPr>
              <w:t>531</w:t>
            </w:r>
          </w:p>
        </w:tc>
        <w:tc>
          <w:tcPr>
            <w:tcW w:w="984" w:type="dxa"/>
            <w:tcBorders>
              <w:top w:val="nil"/>
              <w:left w:val="nil"/>
              <w:bottom w:val="nil"/>
              <w:right w:val="nil"/>
            </w:tcBorders>
            <w:shd w:val="clear" w:color="auto" w:fill="auto"/>
            <w:noWrap/>
            <w:tcMar>
              <w:left w:w="28" w:type="dxa"/>
              <w:right w:w="28" w:type="dxa"/>
            </w:tcMar>
            <w:vAlign w:val="bottom"/>
            <w:hideMark/>
          </w:tcPr>
          <w:p w14:paraId="1EECDD88" w14:textId="77777777" w:rsidR="00B67A1B" w:rsidRPr="00B67A1B" w:rsidRDefault="00B67A1B" w:rsidP="00B67A1B">
            <w:pPr>
              <w:spacing w:before="0" w:after="0"/>
              <w:jc w:val="right"/>
              <w:rPr>
                <w:color w:val="auto"/>
                <w:sz w:val="16"/>
                <w:szCs w:val="16"/>
              </w:rPr>
            </w:pPr>
            <w:r w:rsidRPr="00B67A1B">
              <w:rPr>
                <w:color w:val="auto"/>
                <w:sz w:val="16"/>
                <w:szCs w:val="16"/>
              </w:rPr>
              <w:t>-</w:t>
            </w:r>
          </w:p>
        </w:tc>
        <w:tc>
          <w:tcPr>
            <w:tcW w:w="984" w:type="dxa"/>
            <w:tcBorders>
              <w:top w:val="nil"/>
              <w:left w:val="nil"/>
              <w:bottom w:val="nil"/>
              <w:right w:val="nil"/>
            </w:tcBorders>
            <w:shd w:val="clear" w:color="auto" w:fill="auto"/>
            <w:noWrap/>
            <w:tcMar>
              <w:left w:w="28" w:type="dxa"/>
              <w:right w:w="28" w:type="dxa"/>
            </w:tcMar>
            <w:vAlign w:val="bottom"/>
            <w:hideMark/>
          </w:tcPr>
          <w:p w14:paraId="7FFB6D2A" w14:textId="77777777" w:rsidR="00B67A1B" w:rsidRPr="00B67A1B" w:rsidRDefault="00B67A1B" w:rsidP="00B67A1B">
            <w:pPr>
              <w:spacing w:before="0" w:after="0"/>
              <w:jc w:val="right"/>
              <w:rPr>
                <w:color w:val="auto"/>
                <w:sz w:val="16"/>
                <w:szCs w:val="16"/>
              </w:rPr>
            </w:pPr>
            <w:r w:rsidRPr="00B67A1B">
              <w:rPr>
                <w:color w:val="auto"/>
                <w:sz w:val="16"/>
                <w:szCs w:val="16"/>
              </w:rPr>
              <w:t>-</w:t>
            </w:r>
          </w:p>
        </w:tc>
      </w:tr>
      <w:tr w:rsidR="00B67A1B" w:rsidRPr="00B67A1B" w14:paraId="2C80619B"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3C3B7F2A" w14:textId="77777777" w:rsidR="00B67A1B" w:rsidRPr="00B67A1B" w:rsidRDefault="00B67A1B" w:rsidP="00B67A1B">
            <w:pPr>
              <w:spacing w:before="0" w:after="0"/>
              <w:ind w:leftChars="150" w:left="270"/>
              <w:rPr>
                <w:color w:val="auto"/>
                <w:sz w:val="16"/>
                <w:szCs w:val="16"/>
              </w:rPr>
            </w:pPr>
            <w:r w:rsidRPr="00B67A1B">
              <w:rPr>
                <w:color w:val="auto"/>
                <w:sz w:val="16"/>
                <w:szCs w:val="16"/>
              </w:rPr>
              <w:t>Special appropriations</w:t>
            </w:r>
          </w:p>
        </w:tc>
        <w:tc>
          <w:tcPr>
            <w:tcW w:w="899" w:type="dxa"/>
            <w:tcBorders>
              <w:top w:val="nil"/>
              <w:left w:val="nil"/>
              <w:bottom w:val="nil"/>
              <w:right w:val="nil"/>
            </w:tcBorders>
            <w:shd w:val="clear" w:color="auto" w:fill="auto"/>
            <w:noWrap/>
            <w:tcMar>
              <w:left w:w="28" w:type="dxa"/>
              <w:right w:w="28" w:type="dxa"/>
            </w:tcMar>
            <w:vAlign w:val="bottom"/>
            <w:hideMark/>
          </w:tcPr>
          <w:p w14:paraId="518A4A32" w14:textId="77777777" w:rsidR="00B67A1B" w:rsidRPr="00B67A1B" w:rsidRDefault="00B67A1B" w:rsidP="00B67A1B">
            <w:pPr>
              <w:spacing w:before="0" w:after="0"/>
              <w:jc w:val="right"/>
              <w:rPr>
                <w:color w:val="auto"/>
                <w:sz w:val="16"/>
                <w:szCs w:val="16"/>
              </w:rPr>
            </w:pPr>
            <w:r w:rsidRPr="00B67A1B">
              <w:rPr>
                <w:color w:val="auto"/>
                <w:sz w:val="16"/>
                <w:szCs w:val="16"/>
              </w:rPr>
              <w:t>20,412,187</w:t>
            </w:r>
          </w:p>
        </w:tc>
        <w:tc>
          <w:tcPr>
            <w:tcW w:w="894" w:type="dxa"/>
            <w:tcBorders>
              <w:top w:val="nil"/>
              <w:left w:val="nil"/>
              <w:bottom w:val="nil"/>
              <w:right w:val="nil"/>
            </w:tcBorders>
            <w:shd w:val="clear" w:color="000000" w:fill="D9D9D9"/>
            <w:noWrap/>
            <w:tcMar>
              <w:left w:w="28" w:type="dxa"/>
              <w:right w:w="28" w:type="dxa"/>
            </w:tcMar>
            <w:vAlign w:val="bottom"/>
            <w:hideMark/>
          </w:tcPr>
          <w:p w14:paraId="414D3522" w14:textId="77777777" w:rsidR="00B67A1B" w:rsidRPr="00B67A1B" w:rsidRDefault="00B67A1B" w:rsidP="00B67A1B">
            <w:pPr>
              <w:spacing w:before="0" w:after="0"/>
              <w:jc w:val="right"/>
              <w:rPr>
                <w:color w:val="auto"/>
                <w:sz w:val="16"/>
                <w:szCs w:val="16"/>
              </w:rPr>
            </w:pPr>
            <w:r w:rsidRPr="00B67A1B">
              <w:rPr>
                <w:color w:val="auto"/>
                <w:sz w:val="16"/>
                <w:szCs w:val="16"/>
              </w:rPr>
              <w:t>23,671,959</w:t>
            </w:r>
          </w:p>
        </w:tc>
        <w:tc>
          <w:tcPr>
            <w:tcW w:w="984" w:type="dxa"/>
            <w:tcBorders>
              <w:top w:val="nil"/>
              <w:left w:val="nil"/>
              <w:bottom w:val="nil"/>
              <w:right w:val="nil"/>
            </w:tcBorders>
            <w:shd w:val="clear" w:color="auto" w:fill="auto"/>
            <w:noWrap/>
            <w:tcMar>
              <w:left w:w="28" w:type="dxa"/>
              <w:right w:w="28" w:type="dxa"/>
            </w:tcMar>
            <w:vAlign w:val="bottom"/>
            <w:hideMark/>
          </w:tcPr>
          <w:p w14:paraId="49FC3271" w14:textId="77777777" w:rsidR="00B67A1B" w:rsidRPr="00B67A1B" w:rsidRDefault="00B67A1B" w:rsidP="00B67A1B">
            <w:pPr>
              <w:spacing w:before="0" w:after="0"/>
              <w:jc w:val="right"/>
              <w:rPr>
                <w:color w:val="auto"/>
                <w:sz w:val="16"/>
                <w:szCs w:val="16"/>
              </w:rPr>
            </w:pPr>
            <w:r w:rsidRPr="00B67A1B">
              <w:rPr>
                <w:color w:val="auto"/>
                <w:sz w:val="16"/>
                <w:szCs w:val="16"/>
              </w:rPr>
              <w:t>26,091,615</w:t>
            </w:r>
          </w:p>
        </w:tc>
        <w:tc>
          <w:tcPr>
            <w:tcW w:w="984" w:type="dxa"/>
            <w:tcBorders>
              <w:top w:val="nil"/>
              <w:left w:val="nil"/>
              <w:bottom w:val="nil"/>
              <w:right w:val="nil"/>
            </w:tcBorders>
            <w:shd w:val="clear" w:color="auto" w:fill="auto"/>
            <w:noWrap/>
            <w:tcMar>
              <w:left w:w="28" w:type="dxa"/>
              <w:right w:w="28" w:type="dxa"/>
            </w:tcMar>
            <w:vAlign w:val="bottom"/>
            <w:hideMark/>
          </w:tcPr>
          <w:p w14:paraId="6B27F1C3" w14:textId="77777777" w:rsidR="00B67A1B" w:rsidRPr="00B67A1B" w:rsidRDefault="00B67A1B" w:rsidP="00B67A1B">
            <w:pPr>
              <w:spacing w:before="0" w:after="0"/>
              <w:jc w:val="right"/>
              <w:rPr>
                <w:color w:val="auto"/>
                <w:sz w:val="16"/>
                <w:szCs w:val="16"/>
              </w:rPr>
            </w:pPr>
            <w:r w:rsidRPr="00B67A1B">
              <w:rPr>
                <w:color w:val="auto"/>
                <w:sz w:val="16"/>
                <w:szCs w:val="16"/>
              </w:rPr>
              <w:t>27,233,033</w:t>
            </w:r>
          </w:p>
        </w:tc>
        <w:tc>
          <w:tcPr>
            <w:tcW w:w="984" w:type="dxa"/>
            <w:tcBorders>
              <w:top w:val="nil"/>
              <w:left w:val="nil"/>
              <w:bottom w:val="nil"/>
              <w:right w:val="nil"/>
            </w:tcBorders>
            <w:shd w:val="clear" w:color="auto" w:fill="auto"/>
            <w:noWrap/>
            <w:tcMar>
              <w:left w:w="28" w:type="dxa"/>
              <w:right w:w="28" w:type="dxa"/>
            </w:tcMar>
            <w:vAlign w:val="bottom"/>
            <w:hideMark/>
          </w:tcPr>
          <w:p w14:paraId="7672C870" w14:textId="77777777" w:rsidR="00B67A1B" w:rsidRPr="00B67A1B" w:rsidRDefault="00B67A1B" w:rsidP="00B67A1B">
            <w:pPr>
              <w:spacing w:before="0" w:after="0"/>
              <w:jc w:val="right"/>
              <w:rPr>
                <w:color w:val="auto"/>
                <w:sz w:val="16"/>
                <w:szCs w:val="16"/>
              </w:rPr>
            </w:pPr>
            <w:r w:rsidRPr="00B67A1B">
              <w:rPr>
                <w:color w:val="auto"/>
                <w:sz w:val="16"/>
                <w:szCs w:val="16"/>
              </w:rPr>
              <w:t>28,584,114</w:t>
            </w:r>
          </w:p>
        </w:tc>
      </w:tr>
      <w:tr w:rsidR="00B67A1B" w:rsidRPr="00B67A1B" w14:paraId="43E6BFF3" w14:textId="77777777" w:rsidTr="00B67A1B">
        <w:trPr>
          <w:trHeight w:val="300"/>
          <w:jc w:val="center"/>
        </w:trPr>
        <w:tc>
          <w:tcPr>
            <w:tcW w:w="2625" w:type="dxa"/>
            <w:tcBorders>
              <w:top w:val="nil"/>
              <w:left w:val="nil"/>
              <w:bottom w:val="nil"/>
              <w:right w:val="nil"/>
            </w:tcBorders>
            <w:shd w:val="clear" w:color="auto" w:fill="auto"/>
            <w:noWrap/>
            <w:vAlign w:val="bottom"/>
            <w:hideMark/>
          </w:tcPr>
          <w:p w14:paraId="542D46F5" w14:textId="77777777" w:rsidR="00B67A1B" w:rsidRPr="00B67A1B" w:rsidRDefault="00B67A1B" w:rsidP="00B67A1B">
            <w:pPr>
              <w:spacing w:before="0" w:after="0"/>
              <w:ind w:firstLineChars="100" w:firstLine="160"/>
              <w:rPr>
                <w:color w:val="auto"/>
                <w:sz w:val="16"/>
                <w:szCs w:val="16"/>
              </w:rPr>
            </w:pPr>
            <w:r w:rsidRPr="00B67A1B">
              <w:rPr>
                <w:color w:val="auto"/>
                <w:sz w:val="16"/>
                <w:szCs w:val="16"/>
              </w:rPr>
              <w:t>Departmental expenses</w:t>
            </w:r>
          </w:p>
        </w:tc>
        <w:tc>
          <w:tcPr>
            <w:tcW w:w="899" w:type="dxa"/>
            <w:tcBorders>
              <w:top w:val="nil"/>
              <w:left w:val="nil"/>
              <w:bottom w:val="nil"/>
              <w:right w:val="nil"/>
            </w:tcBorders>
            <w:shd w:val="clear" w:color="auto" w:fill="auto"/>
            <w:noWrap/>
            <w:tcMar>
              <w:left w:w="28" w:type="dxa"/>
              <w:right w:w="28" w:type="dxa"/>
            </w:tcMar>
            <w:vAlign w:val="bottom"/>
            <w:hideMark/>
          </w:tcPr>
          <w:p w14:paraId="68080210" w14:textId="77777777" w:rsidR="00B67A1B" w:rsidRPr="00B67A1B" w:rsidRDefault="00B67A1B" w:rsidP="00B67A1B">
            <w:pPr>
              <w:spacing w:before="0" w:after="0"/>
              <w:ind w:firstLineChars="100" w:firstLine="160"/>
              <w:rPr>
                <w:color w:val="auto"/>
                <w:sz w:val="16"/>
                <w:szCs w:val="16"/>
              </w:rPr>
            </w:pPr>
          </w:p>
        </w:tc>
        <w:tc>
          <w:tcPr>
            <w:tcW w:w="894" w:type="dxa"/>
            <w:tcBorders>
              <w:top w:val="nil"/>
              <w:left w:val="nil"/>
              <w:bottom w:val="nil"/>
              <w:right w:val="nil"/>
            </w:tcBorders>
            <w:shd w:val="clear" w:color="000000" w:fill="D9D9D9"/>
            <w:noWrap/>
            <w:tcMar>
              <w:left w:w="28" w:type="dxa"/>
              <w:right w:w="28" w:type="dxa"/>
            </w:tcMar>
            <w:vAlign w:val="bottom"/>
            <w:hideMark/>
          </w:tcPr>
          <w:p w14:paraId="16441095" w14:textId="77777777" w:rsidR="00B67A1B" w:rsidRPr="00B67A1B" w:rsidRDefault="00B67A1B" w:rsidP="00B67A1B">
            <w:pPr>
              <w:spacing w:before="0" w:after="0"/>
              <w:jc w:val="right"/>
              <w:rPr>
                <w:color w:val="auto"/>
                <w:sz w:val="16"/>
                <w:szCs w:val="16"/>
              </w:rPr>
            </w:pPr>
            <w:r w:rsidRPr="00B67A1B">
              <w:rPr>
                <w:color w:val="auto"/>
                <w:sz w:val="16"/>
                <w:szCs w:val="16"/>
              </w:rPr>
              <w:t> </w:t>
            </w:r>
          </w:p>
        </w:tc>
        <w:tc>
          <w:tcPr>
            <w:tcW w:w="984" w:type="dxa"/>
            <w:tcBorders>
              <w:top w:val="nil"/>
              <w:left w:val="nil"/>
              <w:bottom w:val="nil"/>
              <w:right w:val="nil"/>
            </w:tcBorders>
            <w:shd w:val="clear" w:color="auto" w:fill="auto"/>
            <w:noWrap/>
            <w:tcMar>
              <w:left w:w="28" w:type="dxa"/>
              <w:right w:w="28" w:type="dxa"/>
            </w:tcMar>
            <w:vAlign w:val="bottom"/>
            <w:hideMark/>
          </w:tcPr>
          <w:p w14:paraId="4C3CE5C4" w14:textId="77777777" w:rsidR="00B67A1B" w:rsidRPr="00B67A1B" w:rsidRDefault="00B67A1B" w:rsidP="00B67A1B">
            <w:pPr>
              <w:spacing w:before="0" w:after="0"/>
              <w:jc w:val="right"/>
              <w:rPr>
                <w:color w:val="auto"/>
                <w:sz w:val="16"/>
                <w:szCs w:val="16"/>
              </w:rPr>
            </w:pPr>
          </w:p>
        </w:tc>
        <w:tc>
          <w:tcPr>
            <w:tcW w:w="984" w:type="dxa"/>
            <w:tcBorders>
              <w:top w:val="nil"/>
              <w:left w:val="nil"/>
              <w:bottom w:val="nil"/>
              <w:right w:val="nil"/>
            </w:tcBorders>
            <w:shd w:val="clear" w:color="auto" w:fill="auto"/>
            <w:noWrap/>
            <w:tcMar>
              <w:left w:w="28" w:type="dxa"/>
              <w:right w:w="28" w:type="dxa"/>
            </w:tcMar>
            <w:vAlign w:val="bottom"/>
            <w:hideMark/>
          </w:tcPr>
          <w:p w14:paraId="57476E89"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tcMar>
              <w:left w:w="28" w:type="dxa"/>
              <w:right w:w="28" w:type="dxa"/>
            </w:tcMar>
            <w:vAlign w:val="bottom"/>
            <w:hideMark/>
          </w:tcPr>
          <w:p w14:paraId="6A6871E8"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19127AD1"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065EB1FC"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Departmental appropriation </w:t>
            </w:r>
            <w:r w:rsidRPr="00B67A1B">
              <w:rPr>
                <w:color w:val="auto"/>
                <w:sz w:val="16"/>
                <w:szCs w:val="16"/>
                <w:vertAlign w:val="superscript"/>
              </w:rPr>
              <w:t>(b)</w:t>
            </w:r>
          </w:p>
        </w:tc>
        <w:tc>
          <w:tcPr>
            <w:tcW w:w="899" w:type="dxa"/>
            <w:tcBorders>
              <w:top w:val="nil"/>
              <w:left w:val="nil"/>
              <w:bottom w:val="nil"/>
              <w:right w:val="nil"/>
            </w:tcBorders>
            <w:shd w:val="clear" w:color="auto" w:fill="auto"/>
            <w:noWrap/>
            <w:tcMar>
              <w:left w:w="28" w:type="dxa"/>
              <w:right w:w="28" w:type="dxa"/>
            </w:tcMar>
            <w:vAlign w:val="bottom"/>
            <w:hideMark/>
          </w:tcPr>
          <w:p w14:paraId="79DEC8D1" w14:textId="77777777" w:rsidR="00B67A1B" w:rsidRPr="00B67A1B" w:rsidRDefault="00B67A1B" w:rsidP="00B67A1B">
            <w:pPr>
              <w:spacing w:before="0" w:after="0"/>
              <w:jc w:val="right"/>
              <w:rPr>
                <w:color w:val="auto"/>
                <w:sz w:val="16"/>
                <w:szCs w:val="16"/>
              </w:rPr>
            </w:pPr>
            <w:r w:rsidRPr="00B67A1B">
              <w:rPr>
                <w:color w:val="auto"/>
                <w:sz w:val="16"/>
                <w:szCs w:val="16"/>
              </w:rPr>
              <w:t>305,064</w:t>
            </w:r>
          </w:p>
        </w:tc>
        <w:tc>
          <w:tcPr>
            <w:tcW w:w="894" w:type="dxa"/>
            <w:tcBorders>
              <w:top w:val="nil"/>
              <w:left w:val="nil"/>
              <w:bottom w:val="nil"/>
              <w:right w:val="nil"/>
            </w:tcBorders>
            <w:shd w:val="clear" w:color="000000" w:fill="D9D9D9"/>
            <w:noWrap/>
            <w:tcMar>
              <w:left w:w="28" w:type="dxa"/>
              <w:right w:w="28" w:type="dxa"/>
            </w:tcMar>
            <w:vAlign w:val="bottom"/>
            <w:hideMark/>
          </w:tcPr>
          <w:p w14:paraId="72CAE392" w14:textId="77777777" w:rsidR="00B67A1B" w:rsidRPr="00B67A1B" w:rsidRDefault="00B67A1B" w:rsidP="00B67A1B">
            <w:pPr>
              <w:spacing w:before="0" w:after="0"/>
              <w:jc w:val="right"/>
              <w:rPr>
                <w:color w:val="auto"/>
                <w:sz w:val="16"/>
                <w:szCs w:val="16"/>
              </w:rPr>
            </w:pPr>
            <w:r w:rsidRPr="00B67A1B">
              <w:rPr>
                <w:color w:val="auto"/>
                <w:sz w:val="16"/>
                <w:szCs w:val="16"/>
              </w:rPr>
              <w:t>279,966</w:t>
            </w:r>
          </w:p>
        </w:tc>
        <w:tc>
          <w:tcPr>
            <w:tcW w:w="984" w:type="dxa"/>
            <w:tcBorders>
              <w:top w:val="nil"/>
              <w:left w:val="nil"/>
              <w:bottom w:val="nil"/>
              <w:right w:val="nil"/>
            </w:tcBorders>
            <w:shd w:val="clear" w:color="auto" w:fill="auto"/>
            <w:noWrap/>
            <w:tcMar>
              <w:left w:w="28" w:type="dxa"/>
              <w:right w:w="28" w:type="dxa"/>
            </w:tcMar>
            <w:vAlign w:val="bottom"/>
            <w:hideMark/>
          </w:tcPr>
          <w:p w14:paraId="6C895CBC" w14:textId="77777777" w:rsidR="00B67A1B" w:rsidRPr="00B67A1B" w:rsidRDefault="00B67A1B" w:rsidP="00B67A1B">
            <w:pPr>
              <w:spacing w:before="0" w:after="0"/>
              <w:jc w:val="right"/>
              <w:rPr>
                <w:color w:val="auto"/>
                <w:sz w:val="16"/>
                <w:szCs w:val="16"/>
              </w:rPr>
            </w:pPr>
            <w:r w:rsidRPr="00B67A1B">
              <w:rPr>
                <w:color w:val="auto"/>
                <w:sz w:val="16"/>
                <w:szCs w:val="16"/>
              </w:rPr>
              <w:t>204,866</w:t>
            </w:r>
          </w:p>
        </w:tc>
        <w:tc>
          <w:tcPr>
            <w:tcW w:w="984" w:type="dxa"/>
            <w:tcBorders>
              <w:top w:val="nil"/>
              <w:left w:val="nil"/>
              <w:bottom w:val="nil"/>
              <w:right w:val="nil"/>
            </w:tcBorders>
            <w:shd w:val="clear" w:color="auto" w:fill="auto"/>
            <w:noWrap/>
            <w:tcMar>
              <w:left w:w="28" w:type="dxa"/>
              <w:right w:w="28" w:type="dxa"/>
            </w:tcMar>
            <w:vAlign w:val="bottom"/>
            <w:hideMark/>
          </w:tcPr>
          <w:p w14:paraId="6CB78C82" w14:textId="77777777" w:rsidR="00B67A1B" w:rsidRPr="00B67A1B" w:rsidRDefault="00B67A1B" w:rsidP="00B67A1B">
            <w:pPr>
              <w:spacing w:before="0" w:after="0"/>
              <w:jc w:val="right"/>
              <w:rPr>
                <w:color w:val="auto"/>
                <w:sz w:val="16"/>
                <w:szCs w:val="16"/>
              </w:rPr>
            </w:pPr>
            <w:r w:rsidRPr="00B67A1B">
              <w:rPr>
                <w:color w:val="auto"/>
                <w:sz w:val="16"/>
                <w:szCs w:val="16"/>
              </w:rPr>
              <w:t>197,665</w:t>
            </w:r>
          </w:p>
        </w:tc>
        <w:tc>
          <w:tcPr>
            <w:tcW w:w="984" w:type="dxa"/>
            <w:tcBorders>
              <w:top w:val="nil"/>
              <w:left w:val="nil"/>
              <w:bottom w:val="nil"/>
              <w:right w:val="nil"/>
            </w:tcBorders>
            <w:shd w:val="clear" w:color="auto" w:fill="auto"/>
            <w:noWrap/>
            <w:tcMar>
              <w:left w:w="28" w:type="dxa"/>
              <w:right w:w="28" w:type="dxa"/>
            </w:tcMar>
            <w:vAlign w:val="bottom"/>
            <w:hideMark/>
          </w:tcPr>
          <w:p w14:paraId="58964CF0" w14:textId="77777777" w:rsidR="00B67A1B" w:rsidRPr="00B67A1B" w:rsidRDefault="00B67A1B" w:rsidP="00B67A1B">
            <w:pPr>
              <w:spacing w:before="0" w:after="0"/>
              <w:jc w:val="right"/>
              <w:rPr>
                <w:color w:val="auto"/>
                <w:sz w:val="16"/>
                <w:szCs w:val="16"/>
              </w:rPr>
            </w:pPr>
            <w:r w:rsidRPr="00B67A1B">
              <w:rPr>
                <w:color w:val="auto"/>
                <w:sz w:val="16"/>
                <w:szCs w:val="16"/>
              </w:rPr>
              <w:t>192,267</w:t>
            </w:r>
          </w:p>
        </w:tc>
      </w:tr>
      <w:tr w:rsidR="00B67A1B" w:rsidRPr="00B67A1B" w14:paraId="347D695A" w14:textId="77777777" w:rsidTr="00B67A1B">
        <w:trPr>
          <w:trHeight w:val="624"/>
          <w:jc w:val="center"/>
        </w:trPr>
        <w:tc>
          <w:tcPr>
            <w:tcW w:w="2625" w:type="dxa"/>
            <w:tcBorders>
              <w:top w:val="nil"/>
              <w:left w:val="nil"/>
              <w:bottom w:val="nil"/>
              <w:right w:val="nil"/>
            </w:tcBorders>
            <w:shd w:val="clear" w:color="auto" w:fill="auto"/>
            <w:vAlign w:val="bottom"/>
            <w:hideMark/>
          </w:tcPr>
          <w:p w14:paraId="74FE5F6A" w14:textId="77777777" w:rsidR="00B67A1B" w:rsidRPr="00B67A1B" w:rsidRDefault="00B67A1B" w:rsidP="00B67A1B">
            <w:pPr>
              <w:spacing w:before="0" w:after="0"/>
              <w:ind w:leftChars="150" w:left="270"/>
              <w:rPr>
                <w:color w:val="auto"/>
                <w:sz w:val="16"/>
                <w:szCs w:val="16"/>
              </w:rPr>
            </w:pPr>
            <w:r w:rsidRPr="00B67A1B">
              <w:rPr>
                <w:color w:val="auto"/>
                <w:sz w:val="16"/>
                <w:szCs w:val="16"/>
              </w:rPr>
              <w:t xml:space="preserve">Expenses not requiring appropriation in the Budget year </w:t>
            </w:r>
            <w:r w:rsidRPr="00B67A1B">
              <w:rPr>
                <w:color w:val="auto"/>
                <w:sz w:val="16"/>
                <w:szCs w:val="16"/>
                <w:vertAlign w:val="superscript"/>
              </w:rPr>
              <w:t>(c)</w:t>
            </w:r>
          </w:p>
        </w:tc>
        <w:tc>
          <w:tcPr>
            <w:tcW w:w="899" w:type="dxa"/>
            <w:tcBorders>
              <w:top w:val="nil"/>
              <w:left w:val="nil"/>
              <w:bottom w:val="nil"/>
              <w:right w:val="nil"/>
            </w:tcBorders>
            <w:shd w:val="clear" w:color="auto" w:fill="auto"/>
            <w:noWrap/>
            <w:tcMar>
              <w:left w:w="28" w:type="dxa"/>
              <w:right w:w="28" w:type="dxa"/>
            </w:tcMar>
            <w:vAlign w:val="bottom"/>
            <w:hideMark/>
          </w:tcPr>
          <w:p w14:paraId="5D9F6E40" w14:textId="77777777" w:rsidR="00B67A1B" w:rsidRPr="00B67A1B" w:rsidRDefault="00B67A1B" w:rsidP="00B67A1B">
            <w:pPr>
              <w:spacing w:before="0" w:after="0"/>
              <w:jc w:val="right"/>
              <w:rPr>
                <w:color w:val="auto"/>
                <w:sz w:val="16"/>
                <w:szCs w:val="16"/>
              </w:rPr>
            </w:pPr>
            <w:r w:rsidRPr="00B67A1B">
              <w:rPr>
                <w:color w:val="auto"/>
                <w:sz w:val="16"/>
                <w:szCs w:val="16"/>
              </w:rPr>
              <w:t>73,954</w:t>
            </w:r>
          </w:p>
        </w:tc>
        <w:tc>
          <w:tcPr>
            <w:tcW w:w="894" w:type="dxa"/>
            <w:tcBorders>
              <w:top w:val="nil"/>
              <w:left w:val="nil"/>
              <w:bottom w:val="nil"/>
              <w:right w:val="nil"/>
            </w:tcBorders>
            <w:shd w:val="clear" w:color="000000" w:fill="D9D9D9"/>
            <w:noWrap/>
            <w:tcMar>
              <w:left w:w="28" w:type="dxa"/>
              <w:right w:w="28" w:type="dxa"/>
            </w:tcMar>
            <w:vAlign w:val="bottom"/>
            <w:hideMark/>
          </w:tcPr>
          <w:p w14:paraId="48557A1F" w14:textId="77777777" w:rsidR="00B67A1B" w:rsidRPr="00B67A1B" w:rsidRDefault="00B67A1B" w:rsidP="00B67A1B">
            <w:pPr>
              <w:spacing w:before="0" w:after="0"/>
              <w:jc w:val="right"/>
              <w:rPr>
                <w:color w:val="auto"/>
                <w:sz w:val="16"/>
                <w:szCs w:val="16"/>
              </w:rPr>
            </w:pPr>
            <w:r w:rsidRPr="00B67A1B">
              <w:rPr>
                <w:color w:val="auto"/>
                <w:sz w:val="16"/>
                <w:szCs w:val="16"/>
              </w:rPr>
              <w:t>46,888</w:t>
            </w:r>
          </w:p>
        </w:tc>
        <w:tc>
          <w:tcPr>
            <w:tcW w:w="984" w:type="dxa"/>
            <w:tcBorders>
              <w:top w:val="nil"/>
              <w:left w:val="nil"/>
              <w:bottom w:val="nil"/>
              <w:right w:val="nil"/>
            </w:tcBorders>
            <w:shd w:val="clear" w:color="auto" w:fill="auto"/>
            <w:noWrap/>
            <w:tcMar>
              <w:left w:w="28" w:type="dxa"/>
              <w:right w:w="28" w:type="dxa"/>
            </w:tcMar>
            <w:vAlign w:val="bottom"/>
            <w:hideMark/>
          </w:tcPr>
          <w:p w14:paraId="123ACE2F" w14:textId="77777777" w:rsidR="00B67A1B" w:rsidRPr="00B67A1B" w:rsidRDefault="00B67A1B" w:rsidP="00B67A1B">
            <w:pPr>
              <w:spacing w:before="0" w:after="0"/>
              <w:jc w:val="right"/>
              <w:rPr>
                <w:color w:val="auto"/>
                <w:sz w:val="16"/>
                <w:szCs w:val="16"/>
              </w:rPr>
            </w:pPr>
            <w:r w:rsidRPr="00B67A1B">
              <w:rPr>
                <w:color w:val="auto"/>
                <w:sz w:val="16"/>
                <w:szCs w:val="16"/>
              </w:rPr>
              <w:t>37,643</w:t>
            </w:r>
          </w:p>
        </w:tc>
        <w:tc>
          <w:tcPr>
            <w:tcW w:w="984" w:type="dxa"/>
            <w:tcBorders>
              <w:top w:val="nil"/>
              <w:left w:val="nil"/>
              <w:bottom w:val="nil"/>
              <w:right w:val="nil"/>
            </w:tcBorders>
            <w:shd w:val="clear" w:color="auto" w:fill="auto"/>
            <w:noWrap/>
            <w:tcMar>
              <w:left w:w="28" w:type="dxa"/>
              <w:right w:w="28" w:type="dxa"/>
            </w:tcMar>
            <w:vAlign w:val="bottom"/>
            <w:hideMark/>
          </w:tcPr>
          <w:p w14:paraId="75048928" w14:textId="77777777" w:rsidR="00B67A1B" w:rsidRPr="00B67A1B" w:rsidRDefault="00B67A1B" w:rsidP="00B67A1B">
            <w:pPr>
              <w:spacing w:before="0" w:after="0"/>
              <w:jc w:val="right"/>
              <w:rPr>
                <w:color w:val="auto"/>
                <w:sz w:val="16"/>
                <w:szCs w:val="16"/>
              </w:rPr>
            </w:pPr>
            <w:r w:rsidRPr="00B67A1B">
              <w:rPr>
                <w:color w:val="auto"/>
                <w:sz w:val="16"/>
                <w:szCs w:val="16"/>
              </w:rPr>
              <w:t>33,714</w:t>
            </w:r>
          </w:p>
        </w:tc>
        <w:tc>
          <w:tcPr>
            <w:tcW w:w="984" w:type="dxa"/>
            <w:tcBorders>
              <w:top w:val="nil"/>
              <w:left w:val="nil"/>
              <w:bottom w:val="nil"/>
              <w:right w:val="nil"/>
            </w:tcBorders>
            <w:shd w:val="clear" w:color="auto" w:fill="auto"/>
            <w:noWrap/>
            <w:tcMar>
              <w:left w:w="28" w:type="dxa"/>
              <w:right w:w="28" w:type="dxa"/>
            </w:tcMar>
            <w:vAlign w:val="bottom"/>
            <w:hideMark/>
          </w:tcPr>
          <w:p w14:paraId="4A0ECA8D" w14:textId="77777777" w:rsidR="00B67A1B" w:rsidRPr="00B67A1B" w:rsidRDefault="00B67A1B" w:rsidP="00B67A1B">
            <w:pPr>
              <w:spacing w:before="0" w:after="0"/>
              <w:jc w:val="right"/>
              <w:rPr>
                <w:color w:val="auto"/>
                <w:sz w:val="16"/>
                <w:szCs w:val="16"/>
              </w:rPr>
            </w:pPr>
            <w:r w:rsidRPr="00B67A1B">
              <w:rPr>
                <w:color w:val="auto"/>
                <w:sz w:val="16"/>
                <w:szCs w:val="16"/>
              </w:rPr>
              <w:t>31,131</w:t>
            </w:r>
          </w:p>
        </w:tc>
      </w:tr>
      <w:tr w:rsidR="00B67A1B" w:rsidRPr="00B67A1B" w14:paraId="05FB871C" w14:textId="77777777" w:rsidTr="00B67A1B">
        <w:trPr>
          <w:trHeight w:val="300"/>
          <w:jc w:val="center"/>
        </w:trPr>
        <w:tc>
          <w:tcPr>
            <w:tcW w:w="2625" w:type="dxa"/>
            <w:tcBorders>
              <w:top w:val="nil"/>
              <w:left w:val="nil"/>
              <w:bottom w:val="single" w:sz="4" w:space="0" w:color="auto"/>
              <w:right w:val="nil"/>
            </w:tcBorders>
            <w:shd w:val="clear" w:color="auto" w:fill="auto"/>
            <w:noWrap/>
            <w:vAlign w:val="bottom"/>
            <w:hideMark/>
          </w:tcPr>
          <w:p w14:paraId="4A3F6B46" w14:textId="77777777" w:rsidR="00B67A1B" w:rsidRPr="00B67A1B" w:rsidRDefault="00B67A1B" w:rsidP="00B67A1B">
            <w:pPr>
              <w:spacing w:before="0" w:after="0"/>
              <w:rPr>
                <w:b/>
                <w:bCs/>
                <w:color w:val="auto"/>
                <w:sz w:val="16"/>
                <w:szCs w:val="16"/>
              </w:rPr>
            </w:pPr>
            <w:r w:rsidRPr="00B67A1B">
              <w:rPr>
                <w:b/>
                <w:bCs/>
                <w:color w:val="auto"/>
                <w:sz w:val="16"/>
                <w:szCs w:val="16"/>
              </w:rPr>
              <w:t>Total expenses for Outcome 3</w:t>
            </w:r>
          </w:p>
        </w:tc>
        <w:tc>
          <w:tcPr>
            <w:tcW w:w="899"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7E034480" w14:textId="77777777" w:rsidR="00B67A1B" w:rsidRPr="00B67A1B" w:rsidRDefault="00B67A1B" w:rsidP="00B67A1B">
            <w:pPr>
              <w:spacing w:before="0" w:after="0"/>
              <w:jc w:val="right"/>
              <w:rPr>
                <w:b/>
                <w:bCs/>
                <w:color w:val="auto"/>
                <w:sz w:val="16"/>
                <w:szCs w:val="16"/>
              </w:rPr>
            </w:pPr>
            <w:r w:rsidRPr="00B67A1B">
              <w:rPr>
                <w:b/>
                <w:bCs/>
                <w:color w:val="auto"/>
                <w:sz w:val="16"/>
                <w:szCs w:val="16"/>
              </w:rPr>
              <w:t>26,190,842</w:t>
            </w:r>
          </w:p>
        </w:tc>
        <w:tc>
          <w:tcPr>
            <w:tcW w:w="894" w:type="dxa"/>
            <w:tcBorders>
              <w:top w:val="single" w:sz="4" w:space="0" w:color="auto"/>
              <w:left w:val="nil"/>
              <w:bottom w:val="single" w:sz="4" w:space="0" w:color="auto"/>
              <w:right w:val="nil"/>
            </w:tcBorders>
            <w:shd w:val="clear" w:color="000000" w:fill="D9D9D9"/>
            <w:noWrap/>
            <w:tcMar>
              <w:left w:w="28" w:type="dxa"/>
              <w:right w:w="28" w:type="dxa"/>
            </w:tcMar>
            <w:vAlign w:val="bottom"/>
            <w:hideMark/>
          </w:tcPr>
          <w:p w14:paraId="5E67EE2A" w14:textId="77777777" w:rsidR="00B67A1B" w:rsidRPr="00B67A1B" w:rsidRDefault="00B67A1B" w:rsidP="00B67A1B">
            <w:pPr>
              <w:spacing w:before="0" w:after="0"/>
              <w:jc w:val="right"/>
              <w:rPr>
                <w:b/>
                <w:bCs/>
                <w:color w:val="auto"/>
                <w:sz w:val="16"/>
                <w:szCs w:val="16"/>
              </w:rPr>
            </w:pPr>
            <w:r w:rsidRPr="00B67A1B">
              <w:rPr>
                <w:b/>
                <w:bCs/>
                <w:color w:val="auto"/>
                <w:sz w:val="16"/>
                <w:szCs w:val="16"/>
              </w:rPr>
              <w:t>29,194,035</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5428B146" w14:textId="77777777" w:rsidR="00B67A1B" w:rsidRPr="00B67A1B" w:rsidRDefault="00B67A1B" w:rsidP="00B67A1B">
            <w:pPr>
              <w:spacing w:before="0" w:after="0"/>
              <w:jc w:val="right"/>
              <w:rPr>
                <w:b/>
                <w:bCs/>
                <w:color w:val="auto"/>
                <w:sz w:val="16"/>
                <w:szCs w:val="16"/>
              </w:rPr>
            </w:pPr>
            <w:r w:rsidRPr="00B67A1B">
              <w:rPr>
                <w:b/>
                <w:bCs/>
                <w:color w:val="auto"/>
                <w:sz w:val="16"/>
                <w:szCs w:val="16"/>
              </w:rPr>
              <w:t>31,139,857</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3825B979" w14:textId="77777777" w:rsidR="00B67A1B" w:rsidRPr="00B67A1B" w:rsidRDefault="00B67A1B" w:rsidP="00B67A1B">
            <w:pPr>
              <w:spacing w:before="0" w:after="0"/>
              <w:jc w:val="right"/>
              <w:rPr>
                <w:b/>
                <w:bCs/>
                <w:color w:val="auto"/>
                <w:sz w:val="16"/>
                <w:szCs w:val="16"/>
              </w:rPr>
            </w:pPr>
            <w:r w:rsidRPr="00B67A1B">
              <w:rPr>
                <w:b/>
                <w:bCs/>
                <w:color w:val="auto"/>
                <w:sz w:val="16"/>
                <w:szCs w:val="16"/>
              </w:rPr>
              <w:t>32,357,238</w:t>
            </w:r>
          </w:p>
        </w:tc>
        <w:tc>
          <w:tcPr>
            <w:tcW w:w="98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1A493824" w14:textId="77777777" w:rsidR="00B67A1B" w:rsidRPr="00B67A1B" w:rsidRDefault="00B67A1B" w:rsidP="00B67A1B">
            <w:pPr>
              <w:spacing w:before="0" w:after="0"/>
              <w:jc w:val="right"/>
              <w:rPr>
                <w:b/>
                <w:bCs/>
                <w:color w:val="auto"/>
                <w:sz w:val="16"/>
                <w:szCs w:val="16"/>
              </w:rPr>
            </w:pPr>
            <w:r w:rsidRPr="00B67A1B">
              <w:rPr>
                <w:b/>
                <w:bCs/>
                <w:color w:val="auto"/>
                <w:sz w:val="16"/>
                <w:szCs w:val="16"/>
              </w:rPr>
              <w:t>33,928,128</w:t>
            </w:r>
          </w:p>
        </w:tc>
      </w:tr>
      <w:tr w:rsidR="00B67A1B" w:rsidRPr="00B67A1B" w14:paraId="35BA8CE9" w14:textId="77777777" w:rsidTr="00B67A1B">
        <w:trPr>
          <w:trHeight w:val="225"/>
          <w:jc w:val="center"/>
        </w:trPr>
        <w:tc>
          <w:tcPr>
            <w:tcW w:w="2625" w:type="dxa"/>
            <w:tcBorders>
              <w:top w:val="nil"/>
              <w:left w:val="nil"/>
              <w:bottom w:val="nil"/>
              <w:right w:val="nil"/>
            </w:tcBorders>
            <w:shd w:val="clear" w:color="auto" w:fill="auto"/>
            <w:noWrap/>
            <w:vAlign w:val="bottom"/>
            <w:hideMark/>
          </w:tcPr>
          <w:p w14:paraId="1D7B0255" w14:textId="77777777" w:rsidR="00B67A1B" w:rsidRPr="00B67A1B" w:rsidRDefault="00B67A1B" w:rsidP="00B67A1B">
            <w:pPr>
              <w:spacing w:before="0" w:after="0"/>
              <w:jc w:val="right"/>
              <w:rPr>
                <w:b/>
                <w:bCs/>
                <w:color w:val="auto"/>
                <w:sz w:val="16"/>
                <w:szCs w:val="16"/>
              </w:rPr>
            </w:pPr>
          </w:p>
        </w:tc>
        <w:tc>
          <w:tcPr>
            <w:tcW w:w="899" w:type="dxa"/>
            <w:tcBorders>
              <w:top w:val="nil"/>
              <w:left w:val="nil"/>
              <w:bottom w:val="single" w:sz="4" w:space="0" w:color="auto"/>
              <w:right w:val="nil"/>
            </w:tcBorders>
            <w:shd w:val="clear" w:color="auto" w:fill="auto"/>
            <w:noWrap/>
            <w:vAlign w:val="bottom"/>
            <w:hideMark/>
          </w:tcPr>
          <w:p w14:paraId="13154375" w14:textId="77777777" w:rsidR="00B67A1B" w:rsidRPr="00B67A1B" w:rsidRDefault="00B67A1B" w:rsidP="00B67A1B">
            <w:pPr>
              <w:spacing w:before="0" w:after="0"/>
              <w:jc w:val="right"/>
              <w:rPr>
                <w:b/>
                <w:bCs/>
                <w:color w:val="auto"/>
                <w:sz w:val="16"/>
                <w:szCs w:val="16"/>
              </w:rPr>
            </w:pPr>
            <w:r w:rsidRPr="00B67A1B">
              <w:rPr>
                <w:b/>
                <w:bCs/>
                <w:color w:val="auto"/>
                <w:sz w:val="16"/>
                <w:szCs w:val="16"/>
              </w:rPr>
              <w:t> </w:t>
            </w:r>
          </w:p>
        </w:tc>
        <w:tc>
          <w:tcPr>
            <w:tcW w:w="894" w:type="dxa"/>
            <w:tcBorders>
              <w:top w:val="nil"/>
              <w:left w:val="nil"/>
              <w:bottom w:val="single" w:sz="4" w:space="0" w:color="auto"/>
              <w:right w:val="nil"/>
            </w:tcBorders>
            <w:shd w:val="clear" w:color="auto" w:fill="auto"/>
            <w:noWrap/>
            <w:vAlign w:val="bottom"/>
            <w:hideMark/>
          </w:tcPr>
          <w:p w14:paraId="31C9AB68" w14:textId="77777777" w:rsidR="00B67A1B" w:rsidRPr="00B67A1B" w:rsidRDefault="00B67A1B" w:rsidP="00B67A1B">
            <w:pPr>
              <w:spacing w:before="0" w:after="0"/>
              <w:jc w:val="right"/>
              <w:rPr>
                <w:b/>
                <w:bCs/>
                <w:color w:val="auto"/>
                <w:sz w:val="16"/>
                <w:szCs w:val="16"/>
              </w:rPr>
            </w:pPr>
            <w:r w:rsidRPr="00B67A1B">
              <w:rPr>
                <w:b/>
                <w:bCs/>
                <w:color w:val="auto"/>
                <w:sz w:val="16"/>
                <w:szCs w:val="16"/>
              </w:rPr>
              <w:t> </w:t>
            </w:r>
          </w:p>
        </w:tc>
        <w:tc>
          <w:tcPr>
            <w:tcW w:w="984" w:type="dxa"/>
            <w:tcBorders>
              <w:top w:val="nil"/>
              <w:left w:val="nil"/>
              <w:bottom w:val="nil"/>
              <w:right w:val="nil"/>
            </w:tcBorders>
            <w:shd w:val="clear" w:color="auto" w:fill="auto"/>
            <w:noWrap/>
            <w:vAlign w:val="bottom"/>
            <w:hideMark/>
          </w:tcPr>
          <w:p w14:paraId="20C18EB3" w14:textId="77777777" w:rsidR="00B67A1B" w:rsidRPr="00B67A1B" w:rsidRDefault="00B67A1B" w:rsidP="00B67A1B">
            <w:pPr>
              <w:spacing w:before="0" w:after="0"/>
              <w:jc w:val="right"/>
              <w:rPr>
                <w:b/>
                <w:bCs/>
                <w:color w:val="auto"/>
                <w:sz w:val="16"/>
                <w:szCs w:val="16"/>
              </w:rPr>
            </w:pPr>
          </w:p>
        </w:tc>
        <w:tc>
          <w:tcPr>
            <w:tcW w:w="984" w:type="dxa"/>
            <w:tcBorders>
              <w:top w:val="nil"/>
              <w:left w:val="nil"/>
              <w:bottom w:val="nil"/>
              <w:right w:val="nil"/>
            </w:tcBorders>
            <w:shd w:val="clear" w:color="auto" w:fill="auto"/>
            <w:noWrap/>
            <w:vAlign w:val="bottom"/>
            <w:hideMark/>
          </w:tcPr>
          <w:p w14:paraId="3C8C1B4E"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noWrap/>
            <w:vAlign w:val="bottom"/>
            <w:hideMark/>
          </w:tcPr>
          <w:p w14:paraId="6600549A"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0B9BB077" w14:textId="77777777" w:rsidTr="00B67A1B">
        <w:trPr>
          <w:trHeight w:val="225"/>
          <w:jc w:val="center"/>
        </w:trPr>
        <w:tc>
          <w:tcPr>
            <w:tcW w:w="2625" w:type="dxa"/>
            <w:tcBorders>
              <w:top w:val="single" w:sz="4" w:space="0" w:color="auto"/>
              <w:left w:val="nil"/>
              <w:bottom w:val="nil"/>
              <w:right w:val="nil"/>
            </w:tcBorders>
            <w:shd w:val="clear" w:color="auto" w:fill="auto"/>
            <w:noWrap/>
            <w:vAlign w:val="center"/>
            <w:hideMark/>
          </w:tcPr>
          <w:p w14:paraId="50BC8EE0" w14:textId="77777777" w:rsidR="00B67A1B" w:rsidRPr="00B67A1B" w:rsidRDefault="00B67A1B" w:rsidP="00B67A1B">
            <w:pPr>
              <w:spacing w:before="0" w:after="0"/>
              <w:ind w:firstLineChars="100" w:firstLine="160"/>
              <w:rPr>
                <w:color w:val="auto"/>
                <w:sz w:val="16"/>
                <w:szCs w:val="16"/>
              </w:rPr>
            </w:pPr>
            <w:r w:rsidRPr="00B67A1B">
              <w:rPr>
                <w:color w:val="auto"/>
                <w:sz w:val="16"/>
                <w:szCs w:val="16"/>
              </w:rPr>
              <w:t> </w:t>
            </w:r>
          </w:p>
        </w:tc>
        <w:tc>
          <w:tcPr>
            <w:tcW w:w="899" w:type="dxa"/>
            <w:tcBorders>
              <w:top w:val="nil"/>
              <w:left w:val="nil"/>
              <w:bottom w:val="single" w:sz="4" w:space="0" w:color="auto"/>
              <w:right w:val="nil"/>
            </w:tcBorders>
            <w:shd w:val="clear" w:color="auto" w:fill="auto"/>
            <w:noWrap/>
            <w:vAlign w:val="bottom"/>
            <w:hideMark/>
          </w:tcPr>
          <w:p w14:paraId="6CC2051C" w14:textId="77777777" w:rsidR="00B67A1B" w:rsidRPr="00B67A1B" w:rsidRDefault="00B67A1B" w:rsidP="00B67A1B">
            <w:pPr>
              <w:spacing w:before="0" w:after="0"/>
              <w:jc w:val="right"/>
              <w:rPr>
                <w:b/>
                <w:bCs/>
                <w:color w:val="auto"/>
                <w:sz w:val="16"/>
                <w:szCs w:val="16"/>
              </w:rPr>
            </w:pPr>
            <w:r w:rsidRPr="00B67A1B">
              <w:rPr>
                <w:b/>
                <w:bCs/>
                <w:color w:val="auto"/>
                <w:sz w:val="16"/>
                <w:szCs w:val="16"/>
              </w:rPr>
              <w:t>2021–22</w:t>
            </w:r>
          </w:p>
        </w:tc>
        <w:tc>
          <w:tcPr>
            <w:tcW w:w="894" w:type="dxa"/>
            <w:tcBorders>
              <w:top w:val="nil"/>
              <w:left w:val="nil"/>
              <w:bottom w:val="single" w:sz="4" w:space="0" w:color="auto"/>
              <w:right w:val="nil"/>
            </w:tcBorders>
            <w:shd w:val="clear" w:color="000000" w:fill="D9D9D9"/>
            <w:noWrap/>
            <w:vAlign w:val="bottom"/>
            <w:hideMark/>
          </w:tcPr>
          <w:p w14:paraId="6A4AE5ED" w14:textId="77777777" w:rsidR="00B67A1B" w:rsidRPr="00B67A1B" w:rsidRDefault="00B67A1B" w:rsidP="00B67A1B">
            <w:pPr>
              <w:spacing w:before="0" w:after="0"/>
              <w:jc w:val="right"/>
              <w:rPr>
                <w:b/>
                <w:bCs/>
                <w:color w:val="auto"/>
                <w:sz w:val="16"/>
                <w:szCs w:val="16"/>
              </w:rPr>
            </w:pPr>
            <w:r w:rsidRPr="00B67A1B">
              <w:rPr>
                <w:b/>
                <w:bCs/>
                <w:color w:val="auto"/>
                <w:sz w:val="16"/>
                <w:szCs w:val="16"/>
              </w:rPr>
              <w:t>2022–23</w:t>
            </w:r>
          </w:p>
        </w:tc>
        <w:tc>
          <w:tcPr>
            <w:tcW w:w="984" w:type="dxa"/>
            <w:tcBorders>
              <w:top w:val="nil"/>
              <w:left w:val="nil"/>
              <w:bottom w:val="nil"/>
              <w:right w:val="nil"/>
            </w:tcBorders>
            <w:shd w:val="clear" w:color="auto" w:fill="auto"/>
            <w:vAlign w:val="bottom"/>
            <w:hideMark/>
          </w:tcPr>
          <w:p w14:paraId="56639E85" w14:textId="77777777" w:rsidR="00B67A1B" w:rsidRPr="00B67A1B" w:rsidRDefault="00B67A1B" w:rsidP="00B67A1B">
            <w:pPr>
              <w:spacing w:before="0" w:after="0"/>
              <w:jc w:val="right"/>
              <w:rPr>
                <w:b/>
                <w:bCs/>
                <w:color w:val="auto"/>
                <w:sz w:val="16"/>
                <w:szCs w:val="16"/>
              </w:rPr>
            </w:pPr>
          </w:p>
        </w:tc>
        <w:tc>
          <w:tcPr>
            <w:tcW w:w="984" w:type="dxa"/>
            <w:tcBorders>
              <w:top w:val="nil"/>
              <w:left w:val="nil"/>
              <w:bottom w:val="nil"/>
              <w:right w:val="nil"/>
            </w:tcBorders>
            <w:shd w:val="clear" w:color="auto" w:fill="auto"/>
            <w:vAlign w:val="bottom"/>
            <w:hideMark/>
          </w:tcPr>
          <w:p w14:paraId="46C543F6" w14:textId="77777777" w:rsidR="00B67A1B" w:rsidRPr="00B67A1B" w:rsidRDefault="00B67A1B" w:rsidP="00B67A1B">
            <w:pPr>
              <w:spacing w:before="0" w:after="0"/>
              <w:jc w:val="right"/>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vAlign w:val="bottom"/>
            <w:hideMark/>
          </w:tcPr>
          <w:p w14:paraId="18CD0092" w14:textId="77777777" w:rsidR="00B67A1B" w:rsidRPr="00B67A1B" w:rsidRDefault="00B67A1B" w:rsidP="00B67A1B">
            <w:pPr>
              <w:spacing w:before="0" w:after="0"/>
              <w:jc w:val="right"/>
              <w:rPr>
                <w:rFonts w:ascii="Times New Roman" w:hAnsi="Times New Roman" w:cs="Times New Roman"/>
                <w:color w:val="auto"/>
                <w:sz w:val="20"/>
                <w:szCs w:val="20"/>
              </w:rPr>
            </w:pPr>
          </w:p>
        </w:tc>
      </w:tr>
      <w:tr w:rsidR="00B67A1B" w:rsidRPr="00B67A1B" w14:paraId="25133397" w14:textId="77777777" w:rsidTr="00B67A1B">
        <w:trPr>
          <w:trHeight w:val="225"/>
          <w:jc w:val="center"/>
        </w:trPr>
        <w:tc>
          <w:tcPr>
            <w:tcW w:w="2625" w:type="dxa"/>
            <w:tcBorders>
              <w:top w:val="nil"/>
              <w:left w:val="nil"/>
              <w:bottom w:val="single" w:sz="4" w:space="0" w:color="auto"/>
              <w:right w:val="nil"/>
            </w:tcBorders>
            <w:shd w:val="clear" w:color="auto" w:fill="auto"/>
            <w:noWrap/>
            <w:vAlign w:val="bottom"/>
            <w:hideMark/>
          </w:tcPr>
          <w:p w14:paraId="6ECD8D62" w14:textId="77777777" w:rsidR="00B67A1B" w:rsidRPr="00B67A1B" w:rsidRDefault="00B67A1B" w:rsidP="00B67A1B">
            <w:pPr>
              <w:spacing w:before="0" w:after="0"/>
              <w:rPr>
                <w:b/>
                <w:bCs/>
                <w:sz w:val="16"/>
                <w:szCs w:val="16"/>
              </w:rPr>
            </w:pPr>
            <w:r w:rsidRPr="00B67A1B">
              <w:rPr>
                <w:b/>
                <w:bCs/>
                <w:sz w:val="16"/>
                <w:szCs w:val="16"/>
              </w:rPr>
              <w:t xml:space="preserve">Average </w:t>
            </w:r>
            <w:r w:rsidRPr="00B67A1B">
              <w:rPr>
                <w:b/>
                <w:bCs/>
                <w:color w:val="auto"/>
                <w:sz w:val="16"/>
                <w:szCs w:val="16"/>
              </w:rPr>
              <w:t>s</w:t>
            </w:r>
            <w:r w:rsidRPr="00B67A1B">
              <w:rPr>
                <w:b/>
                <w:bCs/>
                <w:sz w:val="16"/>
                <w:szCs w:val="16"/>
              </w:rPr>
              <w:t xml:space="preserve">taffing </w:t>
            </w:r>
            <w:r w:rsidRPr="00B67A1B">
              <w:rPr>
                <w:b/>
                <w:bCs/>
                <w:color w:val="auto"/>
                <w:sz w:val="16"/>
                <w:szCs w:val="16"/>
              </w:rPr>
              <w:t>l</w:t>
            </w:r>
            <w:r w:rsidRPr="00B67A1B">
              <w:rPr>
                <w:b/>
                <w:bCs/>
                <w:sz w:val="16"/>
                <w:szCs w:val="16"/>
              </w:rPr>
              <w:t>evel (number)</w:t>
            </w:r>
          </w:p>
        </w:tc>
        <w:tc>
          <w:tcPr>
            <w:tcW w:w="899" w:type="dxa"/>
            <w:tcBorders>
              <w:top w:val="nil"/>
              <w:left w:val="nil"/>
              <w:bottom w:val="single" w:sz="4" w:space="0" w:color="auto"/>
              <w:right w:val="nil"/>
            </w:tcBorders>
            <w:shd w:val="clear" w:color="auto" w:fill="auto"/>
            <w:noWrap/>
            <w:vAlign w:val="bottom"/>
            <w:hideMark/>
          </w:tcPr>
          <w:p w14:paraId="5EB5E5BB" w14:textId="77777777" w:rsidR="00B67A1B" w:rsidRPr="00B67A1B" w:rsidRDefault="00B67A1B" w:rsidP="00B67A1B">
            <w:pPr>
              <w:spacing w:before="0" w:after="0"/>
              <w:jc w:val="right"/>
              <w:rPr>
                <w:color w:val="auto"/>
                <w:sz w:val="16"/>
                <w:szCs w:val="16"/>
              </w:rPr>
            </w:pPr>
            <w:r w:rsidRPr="00B67A1B">
              <w:rPr>
                <w:color w:val="auto"/>
                <w:sz w:val="16"/>
                <w:szCs w:val="16"/>
              </w:rPr>
              <w:t>1,141</w:t>
            </w:r>
          </w:p>
        </w:tc>
        <w:tc>
          <w:tcPr>
            <w:tcW w:w="894" w:type="dxa"/>
            <w:tcBorders>
              <w:top w:val="nil"/>
              <w:left w:val="nil"/>
              <w:bottom w:val="single" w:sz="4" w:space="0" w:color="auto"/>
              <w:right w:val="nil"/>
            </w:tcBorders>
            <w:shd w:val="clear" w:color="000000" w:fill="D9D9D9"/>
            <w:noWrap/>
            <w:vAlign w:val="bottom"/>
            <w:hideMark/>
          </w:tcPr>
          <w:p w14:paraId="033B1DF7" w14:textId="77777777" w:rsidR="00B67A1B" w:rsidRPr="00B67A1B" w:rsidRDefault="00B67A1B" w:rsidP="00B67A1B">
            <w:pPr>
              <w:spacing w:before="0" w:after="0"/>
              <w:jc w:val="right"/>
              <w:rPr>
                <w:color w:val="auto"/>
                <w:sz w:val="16"/>
                <w:szCs w:val="16"/>
              </w:rPr>
            </w:pPr>
            <w:r w:rsidRPr="00B67A1B">
              <w:rPr>
                <w:color w:val="auto"/>
                <w:sz w:val="16"/>
                <w:szCs w:val="16"/>
              </w:rPr>
              <w:t>1,054</w:t>
            </w:r>
          </w:p>
        </w:tc>
        <w:tc>
          <w:tcPr>
            <w:tcW w:w="984" w:type="dxa"/>
            <w:tcBorders>
              <w:top w:val="nil"/>
              <w:left w:val="nil"/>
              <w:bottom w:val="nil"/>
              <w:right w:val="nil"/>
            </w:tcBorders>
            <w:shd w:val="clear" w:color="auto" w:fill="auto"/>
            <w:vAlign w:val="bottom"/>
            <w:hideMark/>
          </w:tcPr>
          <w:p w14:paraId="0DF936D8" w14:textId="77777777" w:rsidR="00B67A1B" w:rsidRPr="00B67A1B" w:rsidRDefault="00B67A1B" w:rsidP="00B67A1B">
            <w:pPr>
              <w:spacing w:before="0" w:after="0"/>
              <w:jc w:val="right"/>
              <w:rPr>
                <w:color w:val="auto"/>
                <w:sz w:val="16"/>
                <w:szCs w:val="16"/>
              </w:rPr>
            </w:pPr>
          </w:p>
        </w:tc>
        <w:tc>
          <w:tcPr>
            <w:tcW w:w="984" w:type="dxa"/>
            <w:tcBorders>
              <w:top w:val="nil"/>
              <w:left w:val="nil"/>
              <w:bottom w:val="nil"/>
              <w:right w:val="nil"/>
            </w:tcBorders>
            <w:shd w:val="clear" w:color="auto" w:fill="auto"/>
            <w:vAlign w:val="bottom"/>
            <w:hideMark/>
          </w:tcPr>
          <w:p w14:paraId="2CB9B318" w14:textId="77777777" w:rsidR="00B67A1B" w:rsidRPr="00B67A1B" w:rsidRDefault="00B67A1B" w:rsidP="00B67A1B">
            <w:pPr>
              <w:spacing w:before="0" w:after="0"/>
              <w:rPr>
                <w:rFonts w:ascii="Times New Roman" w:hAnsi="Times New Roman" w:cs="Times New Roman"/>
                <w:color w:val="auto"/>
                <w:sz w:val="20"/>
                <w:szCs w:val="20"/>
              </w:rPr>
            </w:pPr>
          </w:p>
        </w:tc>
        <w:tc>
          <w:tcPr>
            <w:tcW w:w="984" w:type="dxa"/>
            <w:tcBorders>
              <w:top w:val="nil"/>
              <w:left w:val="nil"/>
              <w:bottom w:val="nil"/>
              <w:right w:val="nil"/>
            </w:tcBorders>
            <w:shd w:val="clear" w:color="auto" w:fill="auto"/>
            <w:vAlign w:val="bottom"/>
            <w:hideMark/>
          </w:tcPr>
          <w:p w14:paraId="6B187A28" w14:textId="77777777" w:rsidR="00B67A1B" w:rsidRPr="00B67A1B" w:rsidRDefault="00B67A1B" w:rsidP="00B67A1B">
            <w:pPr>
              <w:spacing w:before="0" w:after="0"/>
              <w:rPr>
                <w:rFonts w:ascii="Times New Roman" w:hAnsi="Times New Roman" w:cs="Times New Roman"/>
                <w:color w:val="auto"/>
                <w:sz w:val="20"/>
                <w:szCs w:val="20"/>
              </w:rPr>
            </w:pPr>
          </w:p>
        </w:tc>
      </w:tr>
    </w:tbl>
    <w:p w14:paraId="40E227EB" w14:textId="4F54E410" w:rsidR="00606B87" w:rsidRPr="00606B87" w:rsidRDefault="00606B87" w:rsidP="00A81FC1">
      <w:pPr>
        <w:pStyle w:val="FootnoteText"/>
        <w:spacing w:before="120"/>
      </w:pPr>
      <w:r w:rsidRPr="00606B87">
        <w:rPr>
          <w:vertAlign w:val="superscript"/>
        </w:rPr>
        <w:t>(a)</w:t>
      </w:r>
      <w:r>
        <w:tab/>
      </w:r>
      <w:r w:rsidRPr="006030E4">
        <w:rPr>
          <w:i/>
        </w:rPr>
        <w:t>Appropriation Act (No. 1) 2022–23.</w:t>
      </w:r>
    </w:p>
    <w:p w14:paraId="3F2239BD" w14:textId="67FDAE8D" w:rsidR="00606B87" w:rsidRPr="00606B87" w:rsidRDefault="00606B87" w:rsidP="00A81FC1">
      <w:pPr>
        <w:pStyle w:val="FootnoteText"/>
        <w:spacing w:before="0"/>
      </w:pPr>
      <w:r w:rsidRPr="00606B87">
        <w:rPr>
          <w:vertAlign w:val="superscript"/>
        </w:rPr>
        <w:t>(b)</w:t>
      </w:r>
      <w:r>
        <w:tab/>
      </w:r>
      <w:r w:rsidRPr="00606B87">
        <w:t xml:space="preserve">Departmental appropriation combines 'Ordinary annual services Appropriation Bill (No. 1)' and 'Revenue from </w:t>
      </w:r>
      <w:r>
        <w:t>independent sources (s74)'.</w:t>
      </w:r>
    </w:p>
    <w:p w14:paraId="1F0DD98F" w14:textId="20D72ABE" w:rsidR="00606B87" w:rsidRPr="00606B87" w:rsidRDefault="00606B87" w:rsidP="00A81FC1">
      <w:pPr>
        <w:pStyle w:val="FootnoteText"/>
        <w:spacing w:before="0"/>
      </w:pPr>
      <w:r w:rsidRPr="00606B87">
        <w:rPr>
          <w:vertAlign w:val="superscript"/>
        </w:rPr>
        <w:t>(c)</w:t>
      </w:r>
      <w:r>
        <w:tab/>
      </w:r>
      <w:r w:rsidRPr="00606B87">
        <w:t xml:space="preserve">Expenses not requiring appropriation in the Budget year are made up of depreciation expense, amortisation expense, </w:t>
      </w:r>
      <w:proofErr w:type="spellStart"/>
      <w:r w:rsidRPr="00606B87">
        <w:t>makeg</w:t>
      </w:r>
      <w:r>
        <w:t>ood</w:t>
      </w:r>
      <w:proofErr w:type="spellEnd"/>
      <w:r>
        <w:t xml:space="preserve"> expense and audit fees.</w:t>
      </w:r>
    </w:p>
    <w:p w14:paraId="71600AE1" w14:textId="2C74C201" w:rsidR="00606B87" w:rsidRPr="00606B87" w:rsidRDefault="00606B87" w:rsidP="00A81FC1">
      <w:pPr>
        <w:pStyle w:val="FootnoteText"/>
        <w:spacing w:before="0"/>
      </w:pPr>
      <w:r w:rsidRPr="00606B87">
        <w:rPr>
          <w:vertAlign w:val="superscript"/>
        </w:rPr>
        <w:t>(d)</w:t>
      </w:r>
      <w:r>
        <w:tab/>
      </w:r>
      <w:r w:rsidRPr="00606B87">
        <w:t>Budget estimates for this program exclude National Partnership funding paid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t>ortfolio Budget Statements.</w:t>
      </w:r>
    </w:p>
    <w:p w14:paraId="0C8E41F8" w14:textId="3294ADA8" w:rsidR="00606B87" w:rsidRPr="00606B87" w:rsidRDefault="00606B87" w:rsidP="00A81FC1">
      <w:pPr>
        <w:pStyle w:val="FootnoteText"/>
        <w:spacing w:before="0"/>
      </w:pPr>
      <w:r w:rsidRPr="00606B87">
        <w:rPr>
          <w:vertAlign w:val="superscript"/>
        </w:rPr>
        <w:t>(e)</w:t>
      </w:r>
      <w:r>
        <w:tab/>
      </w:r>
      <w:r w:rsidRPr="00606B87">
        <w:t xml:space="preserve">Ordinary annual services (Bill 1) against Program 3.2 excludes amounts appropriated in Bill 1 for Zero Real Interest Loans as this funding is not </w:t>
      </w:r>
      <w:r>
        <w:t>accounted for as an expense.</w:t>
      </w:r>
    </w:p>
    <w:p w14:paraId="48856DAE" w14:textId="7C302E59" w:rsidR="00606B87" w:rsidRPr="00606B87" w:rsidRDefault="00606B87" w:rsidP="00A81FC1">
      <w:pPr>
        <w:pStyle w:val="FootnoteText"/>
        <w:spacing w:before="0"/>
      </w:pPr>
      <w:r w:rsidRPr="00A81FC1">
        <w:rPr>
          <w:vertAlign w:val="superscript"/>
        </w:rPr>
        <w:t>(f)</w:t>
      </w:r>
      <w:r>
        <w:tab/>
      </w:r>
      <w:r w:rsidRPr="00606B87">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w:t>
      </w:r>
      <w:r>
        <w:t>onal loan discount expense.</w:t>
      </w:r>
    </w:p>
    <w:p w14:paraId="6653F899" w14:textId="202FABD9" w:rsidR="00B67A1B" w:rsidRPr="00A956BF" w:rsidRDefault="00606B87" w:rsidP="00A81FC1">
      <w:pPr>
        <w:pStyle w:val="FootnoteText"/>
        <w:spacing w:before="0"/>
      </w:pPr>
      <w:r w:rsidRPr="00A81FC1">
        <w:rPr>
          <w:vertAlign w:val="superscript"/>
        </w:rPr>
        <w:t>(g)</w:t>
      </w:r>
      <w:r>
        <w:tab/>
      </w:r>
      <w:r w:rsidRPr="00606B87">
        <w:t>Payments under the Refundable Accommodation Deposit (RAD) loan support program are a loan to support aged care providers who face insolvency risks as a result of an outflow of refundable accommodation deposits. This adjustment recognises the difference between the appropriation and the concessional loan discount and unwinding of the concessi</w:t>
      </w:r>
      <w:r>
        <w:t>onal discount loan expense.</w:t>
      </w:r>
    </w:p>
    <w:p w14:paraId="2594AB9E" w14:textId="77777777" w:rsidR="00F76F6B" w:rsidRPr="00A956BF" w:rsidRDefault="00F76F6B" w:rsidP="009C6185">
      <w:pPr>
        <w:pStyle w:val="Heading4"/>
        <w:pageBreakBefore/>
        <w:rPr>
          <w:color w:val="auto"/>
        </w:rPr>
      </w:pPr>
      <w:r w:rsidRPr="00A956BF">
        <w:rPr>
          <w:color w:val="auto"/>
        </w:rPr>
        <w:lastRenderedPageBreak/>
        <w:t>P</w:t>
      </w:r>
      <w:r w:rsidR="00D26B6C" w:rsidRPr="00A956BF">
        <w:rPr>
          <w:color w:val="auto"/>
        </w:rPr>
        <w:t>lanned Performance for Outcome 3</w:t>
      </w:r>
    </w:p>
    <w:p w14:paraId="5388A111" w14:textId="328D28DD" w:rsidR="00101421" w:rsidRPr="00A00258" w:rsidRDefault="00F76F6B" w:rsidP="00101421">
      <w:pPr>
        <w:pStyle w:val="NormalBookAntiqua"/>
        <w:rPr>
          <w:color w:val="auto"/>
        </w:rPr>
      </w:pPr>
      <w:proofErr w:type="gramStart"/>
      <w:r w:rsidRPr="00A956BF">
        <w:rPr>
          <w:color w:val="auto"/>
        </w:rPr>
        <w:t>Tables</w:t>
      </w:r>
      <w:proofErr w:type="gramEnd"/>
      <w:r w:rsidRPr="00A956BF">
        <w:rPr>
          <w:color w:val="auto"/>
        </w:rPr>
        <w:t xml:space="preserve"> </w:t>
      </w:r>
      <w:r w:rsidR="00D26B6C" w:rsidRPr="00A956BF">
        <w:rPr>
          <w:color w:val="auto"/>
        </w:rPr>
        <w:t>2.3</w:t>
      </w:r>
      <w:r w:rsidRPr="00A956BF">
        <w:rPr>
          <w:color w:val="auto"/>
        </w:rPr>
        <w:t>.2</w:t>
      </w:r>
      <w:r w:rsidR="00013D29">
        <w:rPr>
          <w:color w:val="auto"/>
        </w:rPr>
        <w:t>–</w:t>
      </w:r>
      <w:r w:rsidR="00D26B6C" w:rsidRPr="00A956BF">
        <w:rPr>
          <w:color w:val="auto"/>
        </w:rPr>
        <w:t>2.3.4</w:t>
      </w:r>
      <w:r w:rsidRPr="00A956BF">
        <w:rPr>
          <w:color w:val="auto"/>
        </w:rPr>
        <w:t xml:space="preserve"> detail the performance </w:t>
      </w:r>
      <w:r w:rsidR="007A06D4" w:rsidRPr="00A956BF">
        <w:rPr>
          <w:color w:val="auto"/>
        </w:rPr>
        <w:t>measures</w:t>
      </w:r>
      <w:r w:rsidRPr="00A956BF">
        <w:rPr>
          <w:color w:val="auto"/>
        </w:rPr>
        <w:t xml:space="preserve"> for each program associated with Outcome </w:t>
      </w:r>
      <w:r w:rsidR="00D517C9" w:rsidRPr="00A956BF">
        <w:rPr>
          <w:color w:val="auto"/>
        </w:rPr>
        <w:t>3</w:t>
      </w:r>
      <w:r w:rsidRPr="00A956BF">
        <w:rPr>
          <w:color w:val="auto"/>
        </w:rPr>
        <w:t xml:space="preserve">. </w:t>
      </w:r>
      <w:r w:rsidR="00101421">
        <w:rPr>
          <w:color w:val="auto"/>
        </w:rPr>
        <w:t>They</w:t>
      </w:r>
      <w:r w:rsidR="00101421" w:rsidRPr="00101421">
        <w:rPr>
          <w:color w:val="auto"/>
        </w:rPr>
        <w:t xml:space="preserve"> provide the related key activities as expressed in the current </w:t>
      </w:r>
      <w:r w:rsidR="00A82F39">
        <w:rPr>
          <w:color w:val="auto"/>
        </w:rPr>
        <w:t>C</w:t>
      </w:r>
      <w:r w:rsidR="00101421" w:rsidRPr="00101421">
        <w:rPr>
          <w:color w:val="auto"/>
        </w:rPr>
        <w:t xml:space="preserve">orporate </w:t>
      </w:r>
      <w:r w:rsidR="00A82F39">
        <w:rPr>
          <w:color w:val="auto"/>
        </w:rPr>
        <w:t>P</w:t>
      </w:r>
      <w:r w:rsidR="00101421" w:rsidRPr="00101421">
        <w:rPr>
          <w:color w:val="auto"/>
        </w:rPr>
        <w:t xml:space="preserve">lan where further detail is provided about the delivery of the activities related to the program, the context in which these activities are delivered and how the performance of these activities will be measured. </w:t>
      </w:r>
      <w:r w:rsidR="00F20F9C">
        <w:rPr>
          <w:color w:val="auto"/>
        </w:rPr>
        <w:t>Where relevant, details of 2022–</w:t>
      </w:r>
      <w:r w:rsidR="00101421" w:rsidRPr="00101421">
        <w:rPr>
          <w:color w:val="auto"/>
        </w:rPr>
        <w:t>23 Budget measures that have created new programs or materially changed existing programs are provided.</w:t>
      </w:r>
    </w:p>
    <w:p w14:paraId="3B97ECC2" w14:textId="77777777" w:rsidR="00F76F6B" w:rsidRPr="008D21BC" w:rsidRDefault="00D26B6C" w:rsidP="00101421">
      <w:pPr>
        <w:pStyle w:val="NormalBookAntiqua"/>
        <w:rPr>
          <w:rFonts w:ascii="Arial" w:hAnsi="Arial"/>
          <w:b/>
          <w:color w:val="auto"/>
        </w:rPr>
      </w:pPr>
      <w:r w:rsidRPr="008D21BC">
        <w:rPr>
          <w:rFonts w:ascii="Arial" w:hAnsi="Arial"/>
          <w:b/>
          <w:color w:val="auto"/>
        </w:rPr>
        <w:t>Table 2.3</w:t>
      </w:r>
      <w:r w:rsidR="00F76F6B" w:rsidRPr="008D21BC">
        <w:rPr>
          <w:rFonts w:ascii="Arial" w:hAnsi="Arial"/>
          <w:b/>
          <w:color w:val="auto"/>
        </w:rPr>
        <w:t>.2: Pe</w:t>
      </w:r>
      <w:r w:rsidRPr="008D21BC">
        <w:rPr>
          <w:rFonts w:ascii="Arial" w:hAnsi="Arial"/>
          <w:b/>
          <w:color w:val="auto"/>
        </w:rPr>
        <w:t xml:space="preserve">rformance </w:t>
      </w:r>
      <w:r w:rsidR="007A06D4" w:rsidRPr="008D21BC">
        <w:rPr>
          <w:rFonts w:ascii="Arial" w:hAnsi="Arial"/>
          <w:b/>
          <w:color w:val="auto"/>
        </w:rPr>
        <w:t>Measures</w:t>
      </w:r>
      <w:r w:rsidRPr="008D21BC">
        <w:rPr>
          <w:rFonts w:ascii="Arial" w:hAnsi="Arial"/>
          <w:b/>
          <w:color w:val="auto"/>
        </w:rPr>
        <w:t xml:space="preserve"> for Program 3</w:t>
      </w:r>
      <w:r w:rsidR="00F76F6B" w:rsidRPr="008D21BC">
        <w:rPr>
          <w:rFonts w:ascii="Arial" w:hAnsi="Arial"/>
          <w:b/>
          <w:color w:val="auto"/>
        </w:rPr>
        <w:t>.1</w:t>
      </w:r>
    </w:p>
    <w:tbl>
      <w:tblPr>
        <w:tblStyle w:val="TableGrid"/>
        <w:tblW w:w="7678" w:type="dxa"/>
        <w:jc w:val="center"/>
        <w:tblLayout w:type="fixed"/>
        <w:tblLook w:val="04A0" w:firstRow="1" w:lastRow="0" w:firstColumn="1" w:lastColumn="0" w:noHBand="0" w:noVBand="1"/>
        <w:tblCaption w:val="Table 2.3.2: Performance Measures for Program 3.1"/>
        <w:tblDescription w:val="This table outlines Outcome 3's outcome statement, Program 3.1's objective and the key activities for Program 3.1. It also includes a performance measure for Program 3.1, with an expected performance result for 2021-22, and planned performance results for 2022-23 and the forward estimates"/>
      </w:tblPr>
      <w:tblGrid>
        <w:gridCol w:w="1551"/>
        <w:gridCol w:w="1533"/>
        <w:gridCol w:w="1532"/>
        <w:gridCol w:w="1531"/>
        <w:gridCol w:w="1531"/>
      </w:tblGrid>
      <w:tr w:rsidR="00A956BF" w:rsidRPr="00A956BF" w14:paraId="228C850A" w14:textId="77777777" w:rsidTr="002C6FD4">
        <w:trPr>
          <w:trHeight w:val="106"/>
          <w:jc w:val="center"/>
        </w:trPr>
        <w:tc>
          <w:tcPr>
            <w:tcW w:w="7678" w:type="dxa"/>
            <w:gridSpan w:val="5"/>
            <w:shd w:val="clear" w:color="auto" w:fill="D9D9D9" w:themeFill="background1" w:themeFillShade="D9"/>
          </w:tcPr>
          <w:p w14:paraId="366D84CD" w14:textId="2C644D43" w:rsidR="00BA69CD" w:rsidRPr="00A956BF" w:rsidRDefault="00564EA0" w:rsidP="00D628C2">
            <w:pPr>
              <w:pStyle w:val="Tableheadingrow9pt"/>
              <w:rPr>
                <w:color w:val="auto"/>
              </w:rPr>
            </w:pPr>
            <w:r w:rsidRPr="00A956BF">
              <w:rPr>
                <w:color w:val="auto"/>
              </w:rPr>
              <w:t xml:space="preserve">Outcome </w:t>
            </w:r>
            <w:r w:rsidR="00D628C2" w:rsidRPr="00A956BF">
              <w:rPr>
                <w:color w:val="auto"/>
              </w:rPr>
              <w:t>3</w:t>
            </w:r>
            <w:r w:rsidRPr="00A956BF">
              <w:rPr>
                <w:color w:val="auto"/>
              </w:rPr>
              <w:t xml:space="preserve">: </w:t>
            </w:r>
            <w:r w:rsidR="00D628C2" w:rsidRPr="00A956BF">
              <w:rPr>
                <w:color w:val="auto"/>
              </w:rPr>
              <w:t>Ageing and Aged Care</w:t>
            </w:r>
          </w:p>
        </w:tc>
      </w:tr>
      <w:tr w:rsidR="00A956BF" w:rsidRPr="00A956BF" w14:paraId="2856098C" w14:textId="77777777" w:rsidTr="002C6FD4">
        <w:trPr>
          <w:jc w:val="center"/>
        </w:trPr>
        <w:tc>
          <w:tcPr>
            <w:tcW w:w="7678" w:type="dxa"/>
            <w:gridSpan w:val="5"/>
          </w:tcPr>
          <w:p w14:paraId="03D89EF0" w14:textId="77777777" w:rsidR="00BA69CD" w:rsidRPr="00BA69CD" w:rsidRDefault="00D628C2" w:rsidP="00BA69CD">
            <w:pPr>
              <w:pStyle w:val="Heading2"/>
              <w:outlineLvl w:val="1"/>
            </w:pPr>
            <w:r w:rsidRPr="00A956BF">
              <w:rPr>
                <w:color w:val="auto"/>
              </w:rPr>
              <w:t>Improved wellbeing for senior Australians through targeted support, access to appropriate, high quality care, and related information services.</w:t>
            </w:r>
          </w:p>
        </w:tc>
      </w:tr>
      <w:tr w:rsidR="00A956BF" w:rsidRPr="00A956BF" w14:paraId="57AC9BA8" w14:textId="77777777" w:rsidTr="002C6FD4">
        <w:trPr>
          <w:trHeight w:val="50"/>
          <w:jc w:val="center"/>
        </w:trPr>
        <w:tc>
          <w:tcPr>
            <w:tcW w:w="7678" w:type="dxa"/>
            <w:gridSpan w:val="5"/>
            <w:shd w:val="clear" w:color="auto" w:fill="D9D9D9" w:themeFill="background1" w:themeFillShade="D9"/>
          </w:tcPr>
          <w:p w14:paraId="6069D8BC" w14:textId="7B9B6D82" w:rsidR="00BA69CD" w:rsidRPr="00A956BF" w:rsidRDefault="00564EA0" w:rsidP="000A74AA">
            <w:pPr>
              <w:pStyle w:val="Tableheadingrow9pt"/>
              <w:rPr>
                <w:color w:val="auto"/>
              </w:rPr>
            </w:pPr>
            <w:r w:rsidRPr="00A956BF">
              <w:rPr>
                <w:color w:val="auto"/>
              </w:rPr>
              <w:t xml:space="preserve">Program Objective – Program </w:t>
            </w:r>
            <w:r w:rsidR="000A74AA" w:rsidRPr="00A956BF">
              <w:rPr>
                <w:color w:val="auto"/>
              </w:rPr>
              <w:t>3</w:t>
            </w:r>
            <w:r w:rsidRPr="00A956BF">
              <w:rPr>
                <w:color w:val="auto"/>
              </w:rPr>
              <w:t xml:space="preserve">.1: </w:t>
            </w:r>
            <w:r w:rsidR="000A74AA" w:rsidRPr="00A956BF">
              <w:rPr>
                <w:color w:val="auto"/>
              </w:rPr>
              <w:t>Access and Information</w:t>
            </w:r>
          </w:p>
        </w:tc>
      </w:tr>
      <w:tr w:rsidR="00A956BF" w:rsidRPr="00A956BF" w14:paraId="08DF6647" w14:textId="77777777" w:rsidTr="002C6FD4">
        <w:trPr>
          <w:jc w:val="center"/>
        </w:trPr>
        <w:tc>
          <w:tcPr>
            <w:tcW w:w="7678" w:type="dxa"/>
            <w:gridSpan w:val="5"/>
          </w:tcPr>
          <w:p w14:paraId="13DC636F" w14:textId="77777777" w:rsidR="00BA69CD" w:rsidRPr="00A956BF" w:rsidRDefault="00253AE8" w:rsidP="00BA69CD">
            <w:pPr>
              <w:pStyle w:val="Tabletextnormal9pt"/>
              <w:rPr>
                <w:color w:val="auto"/>
              </w:rPr>
            </w:pPr>
            <w:r w:rsidRPr="00A956BF">
              <w:rPr>
                <w:rFonts w:eastAsiaTheme="minorEastAsia"/>
                <w:color w:val="auto"/>
              </w:rPr>
              <w:t>Support senior Australians, their families, representatives and carers to access reliable and trusted information about aged care services through My Aged Care. Provide improved and more consistent client outcomes, responsive assessments of clients’ needs and goals, appropriate referrals and equitable access to aged care services</w:t>
            </w:r>
            <w:r w:rsidR="009566C6" w:rsidRPr="00A956BF">
              <w:rPr>
                <w:rFonts w:eastAsiaTheme="minorEastAsia"/>
                <w:color w:val="auto"/>
              </w:rPr>
              <w:t>.</w:t>
            </w:r>
          </w:p>
        </w:tc>
      </w:tr>
      <w:tr w:rsidR="00A956BF" w:rsidRPr="00A956BF" w14:paraId="23AB06E0" w14:textId="77777777" w:rsidTr="002C6FD4">
        <w:trPr>
          <w:jc w:val="center"/>
        </w:trPr>
        <w:tc>
          <w:tcPr>
            <w:tcW w:w="7678" w:type="dxa"/>
            <w:gridSpan w:val="5"/>
            <w:shd w:val="clear" w:color="auto" w:fill="D9D9D9" w:themeFill="background1" w:themeFillShade="D9"/>
          </w:tcPr>
          <w:p w14:paraId="66ECC0BD" w14:textId="6CF2533E" w:rsidR="00BA69CD" w:rsidRPr="00A956BF" w:rsidRDefault="00076A6A" w:rsidP="008D21BC">
            <w:pPr>
              <w:pStyle w:val="Tableheadingrow9pt"/>
              <w:rPr>
                <w:color w:val="auto"/>
              </w:rPr>
            </w:pPr>
            <w:r>
              <w:rPr>
                <w:color w:val="auto"/>
              </w:rPr>
              <w:t>Key Activities</w:t>
            </w:r>
          </w:p>
        </w:tc>
      </w:tr>
      <w:tr w:rsidR="00A956BF" w:rsidRPr="00A956BF" w14:paraId="03D84B59" w14:textId="77777777" w:rsidTr="002C6FD4">
        <w:trPr>
          <w:jc w:val="center"/>
        </w:trPr>
        <w:tc>
          <w:tcPr>
            <w:tcW w:w="7678" w:type="dxa"/>
            <w:gridSpan w:val="5"/>
          </w:tcPr>
          <w:p w14:paraId="73338EA5" w14:textId="77777777" w:rsidR="00076A6A" w:rsidRPr="00076A6A" w:rsidRDefault="00076A6A" w:rsidP="00076A6A">
            <w:pPr>
              <w:pStyle w:val="Tabletextnormal9pt"/>
              <w:numPr>
                <w:ilvl w:val="0"/>
                <w:numId w:val="12"/>
              </w:numPr>
              <w:ind w:left="314" w:hanging="284"/>
              <w:rPr>
                <w:color w:val="auto"/>
              </w:rPr>
            </w:pPr>
            <w:r w:rsidRPr="00076A6A">
              <w:rPr>
                <w:color w:val="auto"/>
              </w:rPr>
              <w:t>Providing clear service and information resources with easily identifiable entry points, such as the My Aged Care website and contact centre.</w:t>
            </w:r>
          </w:p>
          <w:p w14:paraId="13E68115" w14:textId="57461FCD" w:rsidR="00E47451" w:rsidRPr="00076A6A" w:rsidRDefault="008D21BC" w:rsidP="00D7484F">
            <w:pPr>
              <w:pStyle w:val="Tabletextnormal9pt"/>
              <w:numPr>
                <w:ilvl w:val="0"/>
                <w:numId w:val="12"/>
              </w:numPr>
              <w:ind w:left="284" w:hanging="284"/>
              <w:rPr>
                <w:color w:val="auto"/>
              </w:rPr>
            </w:pPr>
            <w:r>
              <w:rPr>
                <w:color w:val="auto"/>
              </w:rPr>
              <w:t>Continuing the rollout of an additional face-to-face channel for My Aged Care in Services Australia service centres, and policy development of</w:t>
            </w:r>
            <w:r w:rsidR="00DB487A">
              <w:rPr>
                <w:color w:val="auto"/>
              </w:rPr>
              <w:t xml:space="preserve"> the Care F</w:t>
            </w:r>
            <w:r>
              <w:rPr>
                <w:color w:val="auto"/>
              </w:rPr>
              <w:t>inder program, which will replace the aged care system navigator trials in 2023.</w:t>
            </w:r>
            <w:r>
              <w:rPr>
                <w:rStyle w:val="FootnoteReference"/>
                <w:color w:val="auto"/>
              </w:rPr>
              <w:footnoteReference w:id="4"/>
            </w:r>
          </w:p>
          <w:p w14:paraId="0CF2AE2A" w14:textId="77777777" w:rsidR="00E47451" w:rsidRPr="00076A6A" w:rsidRDefault="00E47451" w:rsidP="00D7484F">
            <w:pPr>
              <w:pStyle w:val="Tabletextnormal9pt"/>
              <w:numPr>
                <w:ilvl w:val="0"/>
                <w:numId w:val="12"/>
              </w:numPr>
              <w:ind w:left="284" w:hanging="284"/>
              <w:rPr>
                <w:color w:val="auto"/>
              </w:rPr>
            </w:pPr>
            <w:r w:rsidRPr="00076A6A">
              <w:rPr>
                <w:color w:val="auto"/>
              </w:rPr>
              <w:t>The My Aged Care contact centre will continue:</w:t>
            </w:r>
          </w:p>
          <w:p w14:paraId="55104930" w14:textId="2A062C0C" w:rsidR="00E47451" w:rsidRPr="00076A6A" w:rsidRDefault="00D7484F" w:rsidP="00D7484F">
            <w:pPr>
              <w:pStyle w:val="Tabletextnormal9pt"/>
              <w:numPr>
                <w:ilvl w:val="0"/>
                <w:numId w:val="13"/>
              </w:numPr>
              <w:ind w:left="568" w:hanging="284"/>
              <w:rPr>
                <w:color w:val="auto"/>
              </w:rPr>
            </w:pPr>
            <w:r>
              <w:rPr>
                <w:color w:val="auto"/>
              </w:rPr>
              <w:t>s</w:t>
            </w:r>
            <w:r w:rsidR="00E47451" w:rsidRPr="00076A6A">
              <w:rPr>
                <w:color w:val="auto"/>
              </w:rPr>
              <w:t>upporting consumers to access critical services in their home, including the provision of meals</w:t>
            </w:r>
          </w:p>
          <w:p w14:paraId="70EB0888" w14:textId="77777777" w:rsidR="007E797C" w:rsidRPr="00076A6A" w:rsidRDefault="007E797C" w:rsidP="007E797C">
            <w:pPr>
              <w:pStyle w:val="Tabletextnormal9pt"/>
              <w:numPr>
                <w:ilvl w:val="0"/>
                <w:numId w:val="13"/>
              </w:numPr>
              <w:ind w:left="568" w:hanging="284"/>
              <w:rPr>
                <w:color w:val="auto"/>
              </w:rPr>
            </w:pPr>
            <w:r>
              <w:rPr>
                <w:color w:val="auto"/>
              </w:rPr>
              <w:t>c</w:t>
            </w:r>
            <w:r w:rsidRPr="00076A6A">
              <w:rPr>
                <w:color w:val="auto"/>
              </w:rPr>
              <w:t xml:space="preserve">onnecting consumers to </w:t>
            </w:r>
            <w:r>
              <w:rPr>
                <w:color w:val="auto"/>
              </w:rPr>
              <w:t xml:space="preserve">support services such as </w:t>
            </w:r>
            <w:r w:rsidRPr="00076A6A">
              <w:rPr>
                <w:color w:val="auto"/>
              </w:rPr>
              <w:t>the Older Persons Advocacy Network</w:t>
            </w:r>
            <w:r>
              <w:rPr>
                <w:color w:val="auto"/>
              </w:rPr>
              <w:t>, the Carer Gateway and Dementia Australia</w:t>
            </w:r>
            <w:r w:rsidRPr="00076A6A">
              <w:rPr>
                <w:color w:val="auto"/>
              </w:rPr>
              <w:t xml:space="preserve"> for tailored advice and support</w:t>
            </w:r>
            <w:r>
              <w:rPr>
                <w:color w:val="auto"/>
              </w:rPr>
              <w:t>,</w:t>
            </w:r>
            <w:r w:rsidRPr="00076A6A">
              <w:rPr>
                <w:color w:val="auto"/>
              </w:rPr>
              <w:t xml:space="preserve"> and </w:t>
            </w:r>
            <w:r>
              <w:rPr>
                <w:color w:val="auto"/>
              </w:rPr>
              <w:t>providing</w:t>
            </w:r>
            <w:r w:rsidRPr="00076A6A">
              <w:rPr>
                <w:color w:val="auto"/>
              </w:rPr>
              <w:t xml:space="preserve"> case coordination</w:t>
            </w:r>
            <w:r>
              <w:rPr>
                <w:color w:val="auto"/>
              </w:rPr>
              <w:t xml:space="preserve"> services</w:t>
            </w:r>
            <w:r w:rsidRPr="00076A6A">
              <w:rPr>
                <w:color w:val="auto"/>
              </w:rPr>
              <w:t xml:space="preserve"> to support vulnerable senior Australians through their aged care journey</w:t>
            </w:r>
            <w:r>
              <w:rPr>
                <w:rStyle w:val="FootnoteReference"/>
                <w:color w:val="auto"/>
              </w:rPr>
              <w:footnoteReference w:id="5"/>
            </w:r>
          </w:p>
          <w:p w14:paraId="33D7ACA3" w14:textId="0D98BCC1" w:rsidR="00E47451" w:rsidRPr="00076A6A" w:rsidRDefault="00D7484F" w:rsidP="00D7484F">
            <w:pPr>
              <w:pStyle w:val="Tabletextnormal9pt"/>
              <w:numPr>
                <w:ilvl w:val="0"/>
                <w:numId w:val="13"/>
              </w:numPr>
              <w:ind w:left="568" w:hanging="284"/>
              <w:rPr>
                <w:color w:val="auto"/>
              </w:rPr>
            </w:pPr>
            <w:proofErr w:type="gramStart"/>
            <w:r>
              <w:rPr>
                <w:color w:val="auto"/>
              </w:rPr>
              <w:t>s</w:t>
            </w:r>
            <w:r w:rsidR="00E47451" w:rsidRPr="00076A6A">
              <w:rPr>
                <w:color w:val="auto"/>
              </w:rPr>
              <w:t>upporting</w:t>
            </w:r>
            <w:proofErr w:type="gramEnd"/>
            <w:r w:rsidR="00E47451" w:rsidRPr="00076A6A">
              <w:rPr>
                <w:color w:val="auto"/>
              </w:rPr>
              <w:t xml:space="preserve"> consumers through the COVID-19 pandemic.</w:t>
            </w:r>
          </w:p>
          <w:p w14:paraId="478904F3" w14:textId="536AB483" w:rsidR="00B52C7C" w:rsidRPr="00B52C7C" w:rsidRDefault="00BC4810" w:rsidP="00B52C7C">
            <w:pPr>
              <w:pStyle w:val="Tabletextnormal9pt"/>
              <w:numPr>
                <w:ilvl w:val="0"/>
                <w:numId w:val="12"/>
              </w:numPr>
              <w:ind w:left="314" w:hanging="284"/>
              <w:rPr>
                <w:color w:val="auto"/>
              </w:rPr>
            </w:pPr>
            <w:r>
              <w:rPr>
                <w:color w:val="auto"/>
              </w:rPr>
              <w:t>Assisting decision making by providing aged care consumers with transparent information on the quality of care,</w:t>
            </w:r>
            <w:r w:rsidR="00B52C7C" w:rsidRPr="00B52C7C">
              <w:rPr>
                <w:color w:val="auto"/>
              </w:rPr>
              <w:t xml:space="preserve"> including through Star Ratings on My Aged Care (comprised of performance information across service compliance, staffing, quality indicators and consumer experience) and</w:t>
            </w:r>
            <w:r w:rsidR="00D7484F">
              <w:rPr>
                <w:color w:val="auto"/>
              </w:rPr>
              <w:t xml:space="preserve"> </w:t>
            </w:r>
            <w:r w:rsidR="00B52C7C" w:rsidRPr="00B52C7C">
              <w:rPr>
                <w:color w:val="auto"/>
              </w:rPr>
              <w:t>care statements from providers to consumers and their representatives.</w:t>
            </w:r>
          </w:p>
          <w:p w14:paraId="02FE2690" w14:textId="77777777" w:rsidR="00076A6A" w:rsidRPr="00076A6A" w:rsidRDefault="00076A6A" w:rsidP="00076A6A">
            <w:pPr>
              <w:pStyle w:val="Tabletextnormal9pt"/>
              <w:numPr>
                <w:ilvl w:val="0"/>
                <w:numId w:val="12"/>
              </w:numPr>
              <w:ind w:left="314" w:hanging="284"/>
              <w:rPr>
                <w:color w:val="auto"/>
              </w:rPr>
            </w:pPr>
            <w:r w:rsidRPr="00076A6A">
              <w:rPr>
                <w:color w:val="auto"/>
              </w:rPr>
              <w:t>Delivering and expanding upon individual advocacy support through the National Aged Care Advocacy Program.</w:t>
            </w:r>
          </w:p>
          <w:p w14:paraId="6E43867B" w14:textId="77777777" w:rsidR="007E797C" w:rsidRDefault="007E797C" w:rsidP="007E797C">
            <w:pPr>
              <w:pStyle w:val="Tabletextnormal9pt"/>
              <w:numPr>
                <w:ilvl w:val="0"/>
                <w:numId w:val="12"/>
              </w:numPr>
              <w:ind w:left="314" w:hanging="284"/>
              <w:rPr>
                <w:color w:val="auto"/>
              </w:rPr>
            </w:pPr>
            <w:r w:rsidRPr="00076A6A">
              <w:rPr>
                <w:color w:val="auto"/>
              </w:rPr>
              <w:t xml:space="preserve">Supporting delivery of aged care assessments through the </w:t>
            </w:r>
            <w:r>
              <w:rPr>
                <w:color w:val="auto"/>
              </w:rPr>
              <w:t>Aged Care Assessment Teams</w:t>
            </w:r>
            <w:r w:rsidRPr="00076A6A">
              <w:rPr>
                <w:color w:val="auto"/>
              </w:rPr>
              <w:t xml:space="preserve"> </w:t>
            </w:r>
            <w:r>
              <w:rPr>
                <w:color w:val="auto"/>
              </w:rPr>
              <w:t>and Regional Assessment Services</w:t>
            </w:r>
            <w:r w:rsidRPr="00076A6A">
              <w:rPr>
                <w:color w:val="auto"/>
              </w:rPr>
              <w:t>.</w:t>
            </w:r>
          </w:p>
          <w:p w14:paraId="3F516F89" w14:textId="61292BAA" w:rsidR="00575802" w:rsidRPr="008D21BC" w:rsidRDefault="00575802" w:rsidP="00575802">
            <w:pPr>
              <w:pStyle w:val="Tabletextnormal9pt"/>
              <w:numPr>
                <w:ilvl w:val="0"/>
                <w:numId w:val="12"/>
              </w:numPr>
              <w:ind w:left="314" w:hanging="284"/>
              <w:rPr>
                <w:color w:val="auto"/>
              </w:rPr>
            </w:pPr>
            <w:r w:rsidRPr="008D21BC">
              <w:rPr>
                <w:color w:val="auto"/>
              </w:rPr>
              <w:t>Supporting the delivery of independent resident assessments from 1 October 2022 under the AN-ACC funding model to ensure residential aged care funding reflects and supports the care needs of individual residents.</w:t>
            </w:r>
          </w:p>
          <w:p w14:paraId="1E20E8B7" w14:textId="4F8C6472" w:rsidR="00B52C7C" w:rsidRDefault="00B52C7C" w:rsidP="00B52C7C">
            <w:pPr>
              <w:pStyle w:val="Tabletextnormal9pt"/>
              <w:numPr>
                <w:ilvl w:val="0"/>
                <w:numId w:val="12"/>
              </w:numPr>
              <w:ind w:left="314" w:hanging="284"/>
              <w:rPr>
                <w:color w:val="auto"/>
              </w:rPr>
            </w:pPr>
            <w:r w:rsidRPr="00076A6A">
              <w:rPr>
                <w:color w:val="auto"/>
              </w:rPr>
              <w:t xml:space="preserve">Establishing a single aged care assessment </w:t>
            </w:r>
            <w:r w:rsidR="00575802">
              <w:rPr>
                <w:color w:val="auto"/>
              </w:rPr>
              <w:t>system</w:t>
            </w:r>
            <w:r w:rsidRPr="00076A6A">
              <w:rPr>
                <w:color w:val="auto"/>
              </w:rPr>
              <w:t xml:space="preserve"> to commence from July 2023.</w:t>
            </w:r>
          </w:p>
          <w:p w14:paraId="57F638FD" w14:textId="65AC4393" w:rsidR="00575802" w:rsidRPr="00575802" w:rsidRDefault="00575802" w:rsidP="00575802">
            <w:pPr>
              <w:pStyle w:val="Tabletextnormal9pt"/>
              <w:numPr>
                <w:ilvl w:val="0"/>
                <w:numId w:val="12"/>
              </w:numPr>
              <w:ind w:left="314" w:hanging="284"/>
              <w:rPr>
                <w:color w:val="auto"/>
              </w:rPr>
            </w:pPr>
            <w:r>
              <w:rPr>
                <w:color w:val="auto"/>
              </w:rPr>
              <w:lastRenderedPageBreak/>
              <w:t>Developing a new support at home program to replace the Commonwealth Home Support Programme (CHSP), the Home Care Packages (HCP) Program and Short Term Restorative Care (STRC) Programme from July 2023.</w:t>
            </w:r>
          </w:p>
          <w:p w14:paraId="6F8C7E0F" w14:textId="77777777" w:rsidR="00B52C7C" w:rsidRPr="00076A6A" w:rsidRDefault="00B52C7C" w:rsidP="00B52C7C">
            <w:pPr>
              <w:pStyle w:val="Tabletextnormal9pt"/>
              <w:numPr>
                <w:ilvl w:val="0"/>
                <w:numId w:val="12"/>
              </w:numPr>
              <w:ind w:left="314" w:hanging="284"/>
              <w:rPr>
                <w:color w:val="auto"/>
              </w:rPr>
            </w:pPr>
            <w:r w:rsidRPr="00076A6A">
              <w:rPr>
                <w:color w:val="auto"/>
              </w:rPr>
              <w:t>Delivering the Community Visitors Scheme.</w:t>
            </w:r>
          </w:p>
          <w:p w14:paraId="7BCCED85" w14:textId="117C64BE" w:rsidR="00B52C7C" w:rsidRPr="00076A6A" w:rsidRDefault="00B52C7C" w:rsidP="00B52C7C">
            <w:pPr>
              <w:pStyle w:val="Tabletextnormal9pt"/>
              <w:numPr>
                <w:ilvl w:val="0"/>
                <w:numId w:val="12"/>
              </w:numPr>
              <w:ind w:left="314" w:hanging="284"/>
              <w:rPr>
                <w:color w:val="auto"/>
              </w:rPr>
            </w:pPr>
            <w:r w:rsidRPr="00076A6A">
              <w:rPr>
                <w:color w:val="auto"/>
              </w:rPr>
              <w:t>Collaborating with the Department of Social Services and the National Disability Insurance Agency through the Younger People in Residential Aged Care Joint Agency Taskforce.</w:t>
            </w:r>
          </w:p>
          <w:p w14:paraId="7FC1130E" w14:textId="77777777" w:rsidR="00B52C7C" w:rsidRPr="00076A6A" w:rsidRDefault="00B52C7C" w:rsidP="00B52C7C">
            <w:pPr>
              <w:pStyle w:val="Tabletextnormal9pt"/>
              <w:numPr>
                <w:ilvl w:val="0"/>
                <w:numId w:val="12"/>
              </w:numPr>
              <w:ind w:left="314" w:hanging="284"/>
              <w:rPr>
                <w:color w:val="auto"/>
              </w:rPr>
            </w:pPr>
            <w:r w:rsidRPr="00076A6A">
              <w:rPr>
                <w:color w:val="auto"/>
              </w:rPr>
              <w:t>Continuing to establish the System Coordinator Program, which will support younger people in residential aged care and their families in accessing age appropriate accommodation and support.</w:t>
            </w:r>
          </w:p>
          <w:p w14:paraId="2D04F726" w14:textId="6EC29B8A" w:rsidR="00B52C7C" w:rsidRPr="00076A6A" w:rsidRDefault="004B06A4" w:rsidP="00B52C7C">
            <w:pPr>
              <w:pStyle w:val="Tabletextnormal9pt"/>
              <w:numPr>
                <w:ilvl w:val="0"/>
                <w:numId w:val="12"/>
              </w:numPr>
              <w:ind w:left="314" w:hanging="284"/>
              <w:rPr>
                <w:color w:val="auto"/>
              </w:rPr>
            </w:pPr>
            <w:r w:rsidRPr="00076A6A">
              <w:rPr>
                <w:color w:val="auto"/>
              </w:rPr>
              <w:t xml:space="preserve">Supporting </w:t>
            </w:r>
            <w:r w:rsidR="00D7484F">
              <w:rPr>
                <w:color w:val="auto"/>
              </w:rPr>
              <w:t>senior</w:t>
            </w:r>
            <w:r w:rsidRPr="00076A6A">
              <w:rPr>
                <w:color w:val="auto"/>
              </w:rPr>
              <w:t xml:space="preserve"> </w:t>
            </w:r>
            <w:r w:rsidR="00B52C7C" w:rsidRPr="00076A6A">
              <w:rPr>
                <w:color w:val="auto"/>
              </w:rPr>
              <w:t>Australians with disability through the new Commonwealth Disability Support for Older Australians Program.</w:t>
            </w:r>
          </w:p>
          <w:p w14:paraId="328A3869" w14:textId="77777777" w:rsidR="00B52C7C" w:rsidRPr="00076A6A" w:rsidRDefault="00B52C7C" w:rsidP="00B52C7C">
            <w:pPr>
              <w:pStyle w:val="Tabletextnormal9pt"/>
              <w:numPr>
                <w:ilvl w:val="0"/>
                <w:numId w:val="12"/>
              </w:numPr>
              <w:ind w:left="314" w:hanging="284"/>
              <w:rPr>
                <w:color w:val="auto"/>
              </w:rPr>
            </w:pPr>
            <w:r w:rsidRPr="00076A6A">
              <w:rPr>
                <w:color w:val="auto"/>
              </w:rPr>
              <w:t>Providing rural and regional aged care providers with access to a highly skilled surge workforce through expansion of the Rural Locum Assistance Program.</w:t>
            </w:r>
          </w:p>
          <w:p w14:paraId="7BA2D22F" w14:textId="77777777" w:rsidR="00B52C7C" w:rsidRPr="00B52C7C" w:rsidRDefault="00B52C7C" w:rsidP="00B52C7C">
            <w:pPr>
              <w:pStyle w:val="Tabletextnormal9pt"/>
              <w:numPr>
                <w:ilvl w:val="0"/>
                <w:numId w:val="12"/>
              </w:numPr>
              <w:ind w:left="314" w:hanging="284"/>
              <w:rPr>
                <w:color w:val="auto"/>
              </w:rPr>
            </w:pPr>
            <w:r w:rsidRPr="00B52C7C">
              <w:rPr>
                <w:color w:val="auto"/>
              </w:rPr>
              <w:t>Supporting residential and in-home aged care services to monitor and improve their performance across crucial areas of care through the National Aged Care Mandatory Quality Indicator Program (QI Program).</w:t>
            </w:r>
          </w:p>
          <w:p w14:paraId="30663E33" w14:textId="77777777" w:rsidR="00B52C7C" w:rsidRPr="00B52C7C" w:rsidRDefault="00B52C7C" w:rsidP="00B52C7C">
            <w:pPr>
              <w:pStyle w:val="Tabletextnormal9pt"/>
              <w:numPr>
                <w:ilvl w:val="0"/>
                <w:numId w:val="12"/>
              </w:numPr>
              <w:ind w:left="314" w:hanging="284"/>
              <w:rPr>
                <w:color w:val="auto"/>
              </w:rPr>
            </w:pPr>
            <w:r w:rsidRPr="00B52C7C">
              <w:rPr>
                <w:color w:val="auto"/>
              </w:rPr>
              <w:t>Assuring value for money for senior Australians through in-house assurance and fraud minimisation activities for relevant aged care programs.</w:t>
            </w:r>
          </w:p>
          <w:p w14:paraId="2C8BA226" w14:textId="5D6CFE5F" w:rsidR="00646FB1" w:rsidRPr="00A956BF" w:rsidRDefault="00B52C7C" w:rsidP="00B52C7C">
            <w:pPr>
              <w:pStyle w:val="Tabletextnormal9pt"/>
              <w:numPr>
                <w:ilvl w:val="0"/>
                <w:numId w:val="12"/>
              </w:numPr>
              <w:ind w:left="314" w:hanging="284"/>
              <w:rPr>
                <w:color w:val="auto"/>
              </w:rPr>
            </w:pPr>
            <w:r w:rsidRPr="00076A6A">
              <w:rPr>
                <w:color w:val="auto"/>
              </w:rPr>
              <w:t>Conducting market intelligence research to identify aged care delivery gaps and opportunities for intervention.</w:t>
            </w:r>
          </w:p>
        </w:tc>
      </w:tr>
      <w:tr w:rsidR="00A956BF" w:rsidRPr="00A956BF" w14:paraId="7A56FCCC" w14:textId="77777777" w:rsidTr="002C6FD4">
        <w:trPr>
          <w:jc w:val="center"/>
        </w:trPr>
        <w:tc>
          <w:tcPr>
            <w:tcW w:w="7678" w:type="dxa"/>
            <w:gridSpan w:val="5"/>
            <w:shd w:val="clear" w:color="auto" w:fill="D9D9D9" w:themeFill="background1" w:themeFillShade="D9"/>
          </w:tcPr>
          <w:p w14:paraId="1BCF4A02" w14:textId="77777777" w:rsidR="00600845" w:rsidRPr="00A956BF" w:rsidRDefault="004456BE" w:rsidP="00394FF0">
            <w:pPr>
              <w:pStyle w:val="Tableheadingrow9pt"/>
              <w:keepNext/>
              <w:rPr>
                <w:color w:val="auto"/>
              </w:rPr>
            </w:pPr>
            <w:r w:rsidRPr="00A956BF">
              <w:rPr>
                <w:color w:val="auto"/>
              </w:rPr>
              <w:lastRenderedPageBreak/>
              <w:t>Performance Measures</w:t>
            </w:r>
          </w:p>
        </w:tc>
      </w:tr>
      <w:tr w:rsidR="00A956BF" w:rsidRPr="00A956BF" w14:paraId="29EC946B" w14:textId="77777777" w:rsidTr="002C6FD4">
        <w:trPr>
          <w:jc w:val="center"/>
        </w:trPr>
        <w:tc>
          <w:tcPr>
            <w:tcW w:w="7678" w:type="dxa"/>
            <w:gridSpan w:val="5"/>
            <w:shd w:val="clear" w:color="auto" w:fill="D9D9D9" w:themeFill="background1" w:themeFillShade="D9"/>
          </w:tcPr>
          <w:p w14:paraId="3D7D62F6" w14:textId="77777777" w:rsidR="00253AE8" w:rsidRPr="00A956BF" w:rsidRDefault="00253AE8" w:rsidP="00253AE8">
            <w:pPr>
              <w:rPr>
                <w:b/>
                <w:color w:val="auto"/>
                <w:sz w:val="17"/>
                <w:szCs w:val="17"/>
              </w:rPr>
            </w:pPr>
            <w:r w:rsidRPr="00A956BF">
              <w:rPr>
                <w:b/>
                <w:color w:val="auto"/>
                <w:sz w:val="17"/>
                <w:szCs w:val="17"/>
              </w:rPr>
              <w:t>Maintain efficiency of My Aged Care assessments as demonstrated by the percentage of:</w:t>
            </w:r>
          </w:p>
          <w:p w14:paraId="0E4A5E8C" w14:textId="77777777" w:rsidR="00253AE8" w:rsidRPr="00A956BF" w:rsidRDefault="00253AE8" w:rsidP="00865619">
            <w:pPr>
              <w:tabs>
                <w:tab w:val="left" w:pos="315"/>
              </w:tabs>
              <w:ind w:left="284" w:hanging="284"/>
              <w:rPr>
                <w:b/>
                <w:color w:val="auto"/>
                <w:sz w:val="17"/>
                <w:szCs w:val="17"/>
              </w:rPr>
            </w:pPr>
            <w:r w:rsidRPr="00A956BF">
              <w:rPr>
                <w:b/>
                <w:color w:val="auto"/>
                <w:sz w:val="17"/>
                <w:szCs w:val="17"/>
              </w:rPr>
              <w:t>a.</w:t>
            </w:r>
            <w:r w:rsidRPr="00A956BF">
              <w:rPr>
                <w:b/>
                <w:color w:val="auto"/>
                <w:sz w:val="17"/>
                <w:szCs w:val="17"/>
              </w:rPr>
              <w:tab/>
              <w:t xml:space="preserve">High priority comprehensive assessments completed within </w:t>
            </w:r>
            <w:r w:rsidR="00AA5E46" w:rsidRPr="00A956BF">
              <w:rPr>
                <w:b/>
                <w:color w:val="auto"/>
                <w:sz w:val="17"/>
                <w:szCs w:val="17"/>
              </w:rPr>
              <w:t>10</w:t>
            </w:r>
            <w:r w:rsidRPr="00A956BF">
              <w:rPr>
                <w:b/>
                <w:color w:val="auto"/>
                <w:sz w:val="17"/>
                <w:szCs w:val="17"/>
              </w:rPr>
              <w:t xml:space="preserve"> calendar days of referral acceptance for community setting.</w:t>
            </w:r>
          </w:p>
          <w:p w14:paraId="5619D8E8" w14:textId="77777777" w:rsidR="00253AE8" w:rsidRPr="00A956BF" w:rsidRDefault="00253AE8" w:rsidP="00865619">
            <w:pPr>
              <w:tabs>
                <w:tab w:val="left" w:pos="315"/>
              </w:tabs>
              <w:ind w:left="284" w:hanging="284"/>
              <w:rPr>
                <w:b/>
                <w:color w:val="auto"/>
                <w:sz w:val="17"/>
                <w:szCs w:val="17"/>
              </w:rPr>
            </w:pPr>
            <w:r w:rsidRPr="00A956BF">
              <w:rPr>
                <w:b/>
                <w:color w:val="auto"/>
                <w:sz w:val="17"/>
                <w:szCs w:val="17"/>
              </w:rPr>
              <w:t>b.</w:t>
            </w:r>
            <w:r w:rsidRPr="00A956BF">
              <w:rPr>
                <w:b/>
                <w:color w:val="auto"/>
                <w:sz w:val="17"/>
                <w:szCs w:val="17"/>
              </w:rPr>
              <w:tab/>
              <w:t xml:space="preserve">High priority comprehensive assessments completed within </w:t>
            </w:r>
            <w:r w:rsidR="00ED36FB" w:rsidRPr="00A956BF">
              <w:rPr>
                <w:b/>
                <w:color w:val="auto"/>
                <w:sz w:val="17"/>
                <w:szCs w:val="17"/>
              </w:rPr>
              <w:t>5</w:t>
            </w:r>
            <w:r w:rsidRPr="00A956BF">
              <w:rPr>
                <w:b/>
                <w:color w:val="auto"/>
                <w:sz w:val="17"/>
                <w:szCs w:val="17"/>
              </w:rPr>
              <w:t xml:space="preserve"> calendar days of referral acceptance for hospital setting.</w:t>
            </w:r>
          </w:p>
          <w:p w14:paraId="06A2ADA7" w14:textId="77CA49D3" w:rsidR="00101421" w:rsidRPr="00A956BF" w:rsidRDefault="00253AE8" w:rsidP="005228F1">
            <w:pPr>
              <w:tabs>
                <w:tab w:val="left" w:pos="315"/>
              </w:tabs>
              <w:ind w:left="284" w:hanging="284"/>
              <w:rPr>
                <w:b/>
                <w:color w:val="auto"/>
                <w:sz w:val="17"/>
                <w:szCs w:val="17"/>
              </w:rPr>
            </w:pPr>
            <w:r w:rsidRPr="00A956BF">
              <w:rPr>
                <w:b/>
                <w:color w:val="auto"/>
                <w:sz w:val="17"/>
                <w:szCs w:val="17"/>
              </w:rPr>
              <w:t>c.</w:t>
            </w:r>
            <w:r w:rsidRPr="00A956BF">
              <w:rPr>
                <w:b/>
                <w:color w:val="auto"/>
                <w:sz w:val="17"/>
                <w:szCs w:val="17"/>
              </w:rPr>
              <w:tab/>
            </w:r>
            <w:r w:rsidR="007E797C" w:rsidRPr="00A956BF">
              <w:rPr>
                <w:b/>
                <w:color w:val="auto"/>
                <w:sz w:val="17"/>
                <w:szCs w:val="17"/>
              </w:rPr>
              <w:t>High priority home support assessments completed within 10 calendar days of referral acceptance</w:t>
            </w:r>
            <w:r w:rsidR="007E797C">
              <w:rPr>
                <w:b/>
                <w:color w:val="auto"/>
                <w:sz w:val="17"/>
                <w:szCs w:val="17"/>
              </w:rPr>
              <w:t xml:space="preserve"> for the community setting</w:t>
            </w:r>
            <w:r w:rsidR="007E797C" w:rsidRPr="00A956BF">
              <w:rPr>
                <w:b/>
                <w:color w:val="auto"/>
                <w:sz w:val="17"/>
                <w:szCs w:val="17"/>
              </w:rPr>
              <w:t>.</w:t>
            </w:r>
          </w:p>
        </w:tc>
      </w:tr>
      <w:tr w:rsidR="00330D1D" w:rsidRPr="00A956BF" w14:paraId="1CADD9E5" w14:textId="77777777" w:rsidTr="00606B87">
        <w:trPr>
          <w:jc w:val="center"/>
        </w:trPr>
        <w:tc>
          <w:tcPr>
            <w:tcW w:w="1551" w:type="dxa"/>
            <w:shd w:val="clear" w:color="auto" w:fill="auto"/>
          </w:tcPr>
          <w:p w14:paraId="7406A1E9" w14:textId="6E52F864" w:rsidR="00330D1D" w:rsidRPr="00685583" w:rsidRDefault="00330D1D" w:rsidP="00330D1D">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20F9C">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3" w:type="dxa"/>
            <w:shd w:val="clear" w:color="auto" w:fill="auto"/>
          </w:tcPr>
          <w:p w14:paraId="3D7E6E11" w14:textId="7A17ED24"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365156EC" w14:textId="49484004" w:rsidR="00330D1D" w:rsidRPr="00685583" w:rsidRDefault="007E797C"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r>
              <w:rPr>
                <w:rStyle w:val="FootnoteReference"/>
                <w:color w:val="auto"/>
                <w:sz w:val="17"/>
                <w:szCs w:val="17"/>
              </w:rPr>
              <w:footnoteReference w:id="6"/>
            </w:r>
          </w:p>
        </w:tc>
        <w:tc>
          <w:tcPr>
            <w:tcW w:w="1531" w:type="dxa"/>
            <w:shd w:val="clear" w:color="auto" w:fill="auto"/>
          </w:tcPr>
          <w:p w14:paraId="69805FEB" w14:textId="689CD934"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7CEC9F72" w14:textId="168DCD71"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956BF" w:rsidRPr="00A956BF" w14:paraId="19BCF356" w14:textId="77777777" w:rsidTr="002C6FD4">
        <w:trPr>
          <w:jc w:val="center"/>
        </w:trPr>
        <w:tc>
          <w:tcPr>
            <w:tcW w:w="1551" w:type="dxa"/>
            <w:shd w:val="clear" w:color="auto" w:fill="auto"/>
          </w:tcPr>
          <w:p w14:paraId="548CD4DF" w14:textId="77777777" w:rsidR="002C6FD4" w:rsidRPr="00A956BF" w:rsidRDefault="002C6FD4" w:rsidP="009566C6">
            <w:pPr>
              <w:rPr>
                <w:color w:val="auto"/>
                <w:sz w:val="17"/>
                <w:szCs w:val="17"/>
              </w:rPr>
            </w:pPr>
            <w:r w:rsidRPr="00A956BF">
              <w:rPr>
                <w:color w:val="auto"/>
                <w:sz w:val="17"/>
                <w:szCs w:val="17"/>
              </w:rPr>
              <w:t>a. &gt;90.0%</w:t>
            </w:r>
          </w:p>
          <w:p w14:paraId="39CF4F12" w14:textId="77777777" w:rsidR="002C6FD4" w:rsidRPr="00A956BF" w:rsidRDefault="002C6FD4" w:rsidP="009566C6">
            <w:pPr>
              <w:rPr>
                <w:color w:val="auto"/>
                <w:sz w:val="17"/>
                <w:szCs w:val="17"/>
              </w:rPr>
            </w:pPr>
            <w:r w:rsidRPr="00A956BF">
              <w:rPr>
                <w:color w:val="auto"/>
                <w:sz w:val="17"/>
                <w:szCs w:val="17"/>
              </w:rPr>
              <w:t>b. &gt;90.0%</w:t>
            </w:r>
          </w:p>
          <w:p w14:paraId="61193A22" w14:textId="77777777" w:rsidR="002C6FD4" w:rsidRPr="00A956BF" w:rsidRDefault="002C6FD4" w:rsidP="00967426">
            <w:pPr>
              <w:rPr>
                <w:color w:val="auto"/>
                <w:sz w:val="17"/>
                <w:szCs w:val="17"/>
              </w:rPr>
            </w:pPr>
            <w:r w:rsidRPr="00A956BF">
              <w:rPr>
                <w:color w:val="auto"/>
                <w:sz w:val="17"/>
                <w:szCs w:val="17"/>
              </w:rPr>
              <w:t>c. &gt;90.0%</w:t>
            </w:r>
          </w:p>
        </w:tc>
        <w:tc>
          <w:tcPr>
            <w:tcW w:w="1533" w:type="dxa"/>
            <w:vMerge w:val="restart"/>
            <w:shd w:val="clear" w:color="auto" w:fill="auto"/>
          </w:tcPr>
          <w:p w14:paraId="1FD806F7" w14:textId="77777777" w:rsidR="002C6FD4" w:rsidRPr="00A956BF" w:rsidRDefault="002C6FD4" w:rsidP="00AE5A26">
            <w:pPr>
              <w:rPr>
                <w:color w:val="auto"/>
                <w:sz w:val="17"/>
                <w:szCs w:val="17"/>
              </w:rPr>
            </w:pPr>
            <w:r w:rsidRPr="00A956BF">
              <w:rPr>
                <w:color w:val="auto"/>
                <w:sz w:val="17"/>
                <w:szCs w:val="17"/>
              </w:rPr>
              <w:t>&gt;90.0%</w:t>
            </w:r>
          </w:p>
          <w:p w14:paraId="3D8FF8B0" w14:textId="77777777" w:rsidR="002C6FD4" w:rsidRPr="00A956BF" w:rsidRDefault="002C6FD4" w:rsidP="00AE5A26">
            <w:pPr>
              <w:rPr>
                <w:color w:val="auto"/>
                <w:sz w:val="17"/>
                <w:szCs w:val="17"/>
              </w:rPr>
            </w:pPr>
            <w:r w:rsidRPr="00A956BF">
              <w:rPr>
                <w:color w:val="auto"/>
                <w:sz w:val="17"/>
                <w:szCs w:val="17"/>
              </w:rPr>
              <w:t>&gt;90.0%</w:t>
            </w:r>
          </w:p>
          <w:p w14:paraId="5744524D" w14:textId="77777777" w:rsidR="002C6FD4" w:rsidRPr="00A956BF" w:rsidRDefault="002C6FD4" w:rsidP="00AE5A26">
            <w:pPr>
              <w:rPr>
                <w:color w:val="auto"/>
                <w:sz w:val="17"/>
                <w:szCs w:val="17"/>
              </w:rPr>
            </w:pPr>
            <w:r w:rsidRPr="00A956BF">
              <w:rPr>
                <w:color w:val="auto"/>
                <w:sz w:val="17"/>
                <w:szCs w:val="17"/>
              </w:rPr>
              <w:t>&gt;90.0%</w:t>
            </w:r>
          </w:p>
        </w:tc>
        <w:tc>
          <w:tcPr>
            <w:tcW w:w="1532" w:type="dxa"/>
            <w:vMerge w:val="restart"/>
            <w:shd w:val="clear" w:color="auto" w:fill="auto"/>
          </w:tcPr>
          <w:p w14:paraId="7316300F" w14:textId="77777777" w:rsidR="002C6FD4" w:rsidRPr="00A956BF" w:rsidRDefault="006F2395" w:rsidP="00AE5A26">
            <w:pPr>
              <w:rPr>
                <w:color w:val="auto"/>
                <w:sz w:val="17"/>
                <w:szCs w:val="17"/>
              </w:rPr>
            </w:pPr>
            <w:r>
              <w:rPr>
                <w:color w:val="auto"/>
                <w:sz w:val="17"/>
                <w:szCs w:val="17"/>
              </w:rPr>
              <w:t>N/A</w:t>
            </w:r>
          </w:p>
          <w:p w14:paraId="353E925B" w14:textId="77777777" w:rsidR="002C6FD4" w:rsidRPr="00A956BF" w:rsidRDefault="006F2395" w:rsidP="00AE5A26">
            <w:pPr>
              <w:rPr>
                <w:color w:val="auto"/>
                <w:sz w:val="17"/>
                <w:szCs w:val="17"/>
              </w:rPr>
            </w:pPr>
            <w:r>
              <w:rPr>
                <w:color w:val="auto"/>
                <w:sz w:val="17"/>
                <w:szCs w:val="17"/>
              </w:rPr>
              <w:t>N/A</w:t>
            </w:r>
          </w:p>
          <w:p w14:paraId="3C817DE8" w14:textId="19EA257B" w:rsidR="00AF234D" w:rsidRPr="00A956BF" w:rsidRDefault="006F2395" w:rsidP="002C6FD4">
            <w:pPr>
              <w:rPr>
                <w:color w:val="auto"/>
                <w:sz w:val="17"/>
                <w:szCs w:val="17"/>
              </w:rPr>
            </w:pPr>
            <w:r>
              <w:rPr>
                <w:color w:val="auto"/>
                <w:sz w:val="17"/>
                <w:szCs w:val="17"/>
              </w:rPr>
              <w:t>N/A</w:t>
            </w:r>
          </w:p>
        </w:tc>
        <w:tc>
          <w:tcPr>
            <w:tcW w:w="1531" w:type="dxa"/>
            <w:vMerge w:val="restart"/>
            <w:shd w:val="clear" w:color="auto" w:fill="auto"/>
          </w:tcPr>
          <w:p w14:paraId="4EC806BF" w14:textId="77777777" w:rsidR="006F2395" w:rsidRPr="00A956BF" w:rsidRDefault="006F2395" w:rsidP="006F2395">
            <w:pPr>
              <w:rPr>
                <w:color w:val="auto"/>
                <w:sz w:val="17"/>
                <w:szCs w:val="17"/>
              </w:rPr>
            </w:pPr>
            <w:r>
              <w:rPr>
                <w:color w:val="auto"/>
                <w:sz w:val="17"/>
                <w:szCs w:val="17"/>
              </w:rPr>
              <w:t>N/A</w:t>
            </w:r>
          </w:p>
          <w:p w14:paraId="6AB7A294" w14:textId="77777777" w:rsidR="006F2395" w:rsidRPr="00A956BF" w:rsidRDefault="006F2395" w:rsidP="006F2395">
            <w:pPr>
              <w:rPr>
                <w:color w:val="auto"/>
                <w:sz w:val="17"/>
                <w:szCs w:val="17"/>
              </w:rPr>
            </w:pPr>
            <w:r>
              <w:rPr>
                <w:color w:val="auto"/>
                <w:sz w:val="17"/>
                <w:szCs w:val="17"/>
              </w:rPr>
              <w:t>N/A</w:t>
            </w:r>
          </w:p>
          <w:p w14:paraId="21E4F5C3" w14:textId="77777777" w:rsidR="002C6FD4" w:rsidRPr="00A956BF" w:rsidRDefault="006F2395" w:rsidP="006F2395">
            <w:pPr>
              <w:rPr>
                <w:color w:val="auto"/>
                <w:sz w:val="17"/>
                <w:szCs w:val="17"/>
              </w:rPr>
            </w:pPr>
            <w:r>
              <w:rPr>
                <w:color w:val="auto"/>
                <w:sz w:val="17"/>
                <w:szCs w:val="17"/>
              </w:rPr>
              <w:t>N/A</w:t>
            </w:r>
          </w:p>
        </w:tc>
        <w:tc>
          <w:tcPr>
            <w:tcW w:w="1531" w:type="dxa"/>
            <w:vMerge w:val="restart"/>
            <w:shd w:val="clear" w:color="auto" w:fill="auto"/>
          </w:tcPr>
          <w:p w14:paraId="3B86EACD" w14:textId="77777777" w:rsidR="00D142F1" w:rsidRPr="00A956BF" w:rsidRDefault="00D142F1" w:rsidP="00D142F1">
            <w:pPr>
              <w:rPr>
                <w:color w:val="auto"/>
                <w:sz w:val="17"/>
                <w:szCs w:val="17"/>
              </w:rPr>
            </w:pPr>
            <w:r>
              <w:rPr>
                <w:color w:val="auto"/>
                <w:sz w:val="17"/>
                <w:szCs w:val="17"/>
              </w:rPr>
              <w:t>N/A</w:t>
            </w:r>
          </w:p>
          <w:p w14:paraId="41EA9FED" w14:textId="77777777" w:rsidR="00D142F1" w:rsidRPr="00A956BF" w:rsidRDefault="00D142F1" w:rsidP="00D142F1">
            <w:pPr>
              <w:rPr>
                <w:color w:val="auto"/>
                <w:sz w:val="17"/>
                <w:szCs w:val="17"/>
              </w:rPr>
            </w:pPr>
            <w:r>
              <w:rPr>
                <w:color w:val="auto"/>
                <w:sz w:val="17"/>
                <w:szCs w:val="17"/>
              </w:rPr>
              <w:t>N/A</w:t>
            </w:r>
          </w:p>
          <w:p w14:paraId="62D82980" w14:textId="42D42CBD" w:rsidR="002C6FD4" w:rsidRPr="00A956BF" w:rsidRDefault="00D142F1" w:rsidP="00D142F1">
            <w:pPr>
              <w:rPr>
                <w:color w:val="auto"/>
                <w:sz w:val="17"/>
                <w:szCs w:val="17"/>
              </w:rPr>
            </w:pPr>
            <w:r>
              <w:rPr>
                <w:color w:val="auto"/>
                <w:sz w:val="17"/>
                <w:szCs w:val="17"/>
              </w:rPr>
              <w:t>N/A</w:t>
            </w:r>
            <w:r w:rsidRPr="00A956BF">
              <w:rPr>
                <w:color w:val="auto"/>
                <w:sz w:val="17"/>
                <w:szCs w:val="17"/>
              </w:rPr>
              <w:t xml:space="preserve"> </w:t>
            </w:r>
          </w:p>
        </w:tc>
      </w:tr>
      <w:tr w:rsidR="00A956BF" w:rsidRPr="00A956BF" w14:paraId="30E13B5F" w14:textId="77777777" w:rsidTr="002C6FD4">
        <w:trPr>
          <w:jc w:val="center"/>
        </w:trPr>
        <w:tc>
          <w:tcPr>
            <w:tcW w:w="1551" w:type="dxa"/>
            <w:shd w:val="clear" w:color="auto" w:fill="auto"/>
            <w:vAlign w:val="center"/>
          </w:tcPr>
          <w:p w14:paraId="00CFE9EF" w14:textId="71D3E618" w:rsidR="002C6FD4" w:rsidRPr="00A956BF" w:rsidRDefault="00F20F9C" w:rsidP="009566C6">
            <w:pPr>
              <w:pStyle w:val="Tableheadingrowmeasures85pt"/>
              <w:rPr>
                <w:color w:val="auto"/>
              </w:rPr>
            </w:pPr>
            <w:r>
              <w:rPr>
                <w:color w:val="auto"/>
              </w:rPr>
              <w:t>2021–</w:t>
            </w:r>
            <w:r w:rsidR="00101421">
              <w:rPr>
                <w:color w:val="auto"/>
              </w:rPr>
              <w:t>22</w:t>
            </w:r>
            <w:r w:rsidR="00101421">
              <w:rPr>
                <w:color w:val="auto"/>
              </w:rPr>
              <w:br/>
              <w:t>Expected Performance Result</w:t>
            </w:r>
          </w:p>
        </w:tc>
        <w:tc>
          <w:tcPr>
            <w:tcW w:w="1533" w:type="dxa"/>
            <w:vMerge/>
            <w:shd w:val="clear" w:color="auto" w:fill="auto"/>
          </w:tcPr>
          <w:p w14:paraId="434E3870" w14:textId="77777777" w:rsidR="002C6FD4" w:rsidRPr="00A956BF" w:rsidRDefault="002C6FD4" w:rsidP="009566C6">
            <w:pPr>
              <w:rPr>
                <w:color w:val="auto"/>
                <w:sz w:val="17"/>
                <w:szCs w:val="17"/>
              </w:rPr>
            </w:pPr>
          </w:p>
        </w:tc>
        <w:tc>
          <w:tcPr>
            <w:tcW w:w="1532" w:type="dxa"/>
            <w:vMerge/>
            <w:shd w:val="clear" w:color="auto" w:fill="auto"/>
          </w:tcPr>
          <w:p w14:paraId="2AD7E686" w14:textId="77777777" w:rsidR="002C6FD4" w:rsidRPr="00A956BF" w:rsidRDefault="002C6FD4" w:rsidP="009566C6">
            <w:pPr>
              <w:rPr>
                <w:color w:val="auto"/>
                <w:sz w:val="17"/>
                <w:szCs w:val="17"/>
              </w:rPr>
            </w:pPr>
          </w:p>
        </w:tc>
        <w:tc>
          <w:tcPr>
            <w:tcW w:w="1531" w:type="dxa"/>
            <w:vMerge/>
            <w:shd w:val="clear" w:color="auto" w:fill="auto"/>
          </w:tcPr>
          <w:p w14:paraId="37B36CB6" w14:textId="77777777" w:rsidR="002C6FD4" w:rsidRPr="00A956BF" w:rsidRDefault="002C6FD4" w:rsidP="009566C6">
            <w:pPr>
              <w:rPr>
                <w:color w:val="auto"/>
                <w:sz w:val="17"/>
                <w:szCs w:val="17"/>
              </w:rPr>
            </w:pPr>
          </w:p>
        </w:tc>
        <w:tc>
          <w:tcPr>
            <w:tcW w:w="1531" w:type="dxa"/>
            <w:vMerge/>
            <w:shd w:val="clear" w:color="auto" w:fill="auto"/>
          </w:tcPr>
          <w:p w14:paraId="795E4746" w14:textId="77777777" w:rsidR="002C6FD4" w:rsidRPr="00A956BF" w:rsidRDefault="002C6FD4" w:rsidP="009566C6">
            <w:pPr>
              <w:rPr>
                <w:color w:val="auto"/>
                <w:sz w:val="17"/>
                <w:szCs w:val="17"/>
              </w:rPr>
            </w:pPr>
          </w:p>
        </w:tc>
      </w:tr>
      <w:tr w:rsidR="00A956BF" w:rsidRPr="00A956BF" w14:paraId="5D3899F0" w14:textId="77777777" w:rsidTr="002C6FD4">
        <w:trPr>
          <w:jc w:val="center"/>
        </w:trPr>
        <w:tc>
          <w:tcPr>
            <w:tcW w:w="1551" w:type="dxa"/>
            <w:shd w:val="clear" w:color="auto" w:fill="auto"/>
          </w:tcPr>
          <w:p w14:paraId="2964F7D2" w14:textId="77777777" w:rsidR="00661929" w:rsidRPr="00A956BF" w:rsidRDefault="00661929" w:rsidP="00661929">
            <w:pPr>
              <w:rPr>
                <w:color w:val="auto"/>
                <w:sz w:val="17"/>
                <w:szCs w:val="17"/>
              </w:rPr>
            </w:pPr>
            <w:r w:rsidRPr="00A956BF">
              <w:rPr>
                <w:color w:val="auto"/>
                <w:sz w:val="17"/>
                <w:szCs w:val="17"/>
              </w:rPr>
              <w:t>a. &gt;90.0%</w:t>
            </w:r>
          </w:p>
          <w:p w14:paraId="2183F65A" w14:textId="77777777" w:rsidR="00661929" w:rsidRPr="00A956BF" w:rsidRDefault="00661929" w:rsidP="00661929">
            <w:pPr>
              <w:rPr>
                <w:color w:val="auto"/>
                <w:sz w:val="17"/>
                <w:szCs w:val="17"/>
              </w:rPr>
            </w:pPr>
            <w:r w:rsidRPr="00A956BF">
              <w:rPr>
                <w:color w:val="auto"/>
                <w:sz w:val="17"/>
                <w:szCs w:val="17"/>
              </w:rPr>
              <w:t>b. &gt;90.0%</w:t>
            </w:r>
          </w:p>
          <w:p w14:paraId="55A196A8" w14:textId="5E8EA3F9" w:rsidR="002C6FD4" w:rsidRPr="00A956BF" w:rsidRDefault="00661929" w:rsidP="00661929">
            <w:pPr>
              <w:pStyle w:val="Tabletextmeasure85pt"/>
              <w:keepNext/>
              <w:keepLines/>
              <w:ind w:left="284" w:hanging="284"/>
              <w:rPr>
                <w:color w:val="auto"/>
              </w:rPr>
            </w:pPr>
            <w:r w:rsidRPr="00A956BF">
              <w:rPr>
                <w:color w:val="auto"/>
              </w:rPr>
              <w:t>c. &gt;90.0%</w:t>
            </w:r>
          </w:p>
        </w:tc>
        <w:tc>
          <w:tcPr>
            <w:tcW w:w="1533" w:type="dxa"/>
            <w:vMerge/>
            <w:shd w:val="clear" w:color="auto" w:fill="auto"/>
          </w:tcPr>
          <w:p w14:paraId="331D810D" w14:textId="77777777" w:rsidR="002C6FD4" w:rsidRPr="00A956BF" w:rsidRDefault="002C6FD4" w:rsidP="009566C6">
            <w:pPr>
              <w:rPr>
                <w:color w:val="auto"/>
                <w:sz w:val="17"/>
                <w:szCs w:val="17"/>
              </w:rPr>
            </w:pPr>
          </w:p>
        </w:tc>
        <w:tc>
          <w:tcPr>
            <w:tcW w:w="1532" w:type="dxa"/>
            <w:vMerge/>
            <w:shd w:val="clear" w:color="auto" w:fill="auto"/>
          </w:tcPr>
          <w:p w14:paraId="0DEC9748" w14:textId="77777777" w:rsidR="002C6FD4" w:rsidRPr="00A956BF" w:rsidRDefault="002C6FD4" w:rsidP="009566C6">
            <w:pPr>
              <w:rPr>
                <w:color w:val="auto"/>
                <w:sz w:val="17"/>
                <w:szCs w:val="17"/>
              </w:rPr>
            </w:pPr>
          </w:p>
        </w:tc>
        <w:tc>
          <w:tcPr>
            <w:tcW w:w="1531" w:type="dxa"/>
            <w:vMerge/>
            <w:shd w:val="clear" w:color="auto" w:fill="auto"/>
          </w:tcPr>
          <w:p w14:paraId="48746A8A" w14:textId="77777777" w:rsidR="002C6FD4" w:rsidRPr="00A956BF" w:rsidRDefault="002C6FD4" w:rsidP="009566C6">
            <w:pPr>
              <w:rPr>
                <w:color w:val="auto"/>
                <w:sz w:val="17"/>
                <w:szCs w:val="17"/>
              </w:rPr>
            </w:pPr>
          </w:p>
        </w:tc>
        <w:tc>
          <w:tcPr>
            <w:tcW w:w="1531" w:type="dxa"/>
            <w:vMerge/>
            <w:shd w:val="clear" w:color="auto" w:fill="auto"/>
          </w:tcPr>
          <w:p w14:paraId="3528119E" w14:textId="77777777" w:rsidR="002C6FD4" w:rsidRPr="00A956BF" w:rsidRDefault="002C6FD4" w:rsidP="009566C6">
            <w:pPr>
              <w:rPr>
                <w:color w:val="auto"/>
                <w:sz w:val="17"/>
                <w:szCs w:val="17"/>
              </w:rPr>
            </w:pPr>
          </w:p>
        </w:tc>
      </w:tr>
    </w:tbl>
    <w:p w14:paraId="5F766739" w14:textId="77777777" w:rsidR="00EF2E65" w:rsidRDefault="00EF2E65">
      <w:r>
        <w:rPr>
          <w:b/>
        </w:rPr>
        <w:br w:type="page"/>
      </w:r>
    </w:p>
    <w:tbl>
      <w:tblPr>
        <w:tblStyle w:val="TableGrid"/>
        <w:tblW w:w="7678" w:type="dxa"/>
        <w:jc w:val="center"/>
        <w:tblLayout w:type="fixed"/>
        <w:tblLook w:val="04A0" w:firstRow="1" w:lastRow="0" w:firstColumn="1" w:lastColumn="0" w:noHBand="0" w:noVBand="1"/>
        <w:tblCaption w:val="Table 2.3.2: Performance Measures for Program 3.1 (continued)"/>
        <w:tblDescription w:val="This table includes a performance measure for Program 3.1, with an expected performance result for 2021-22, and planned performance results for 2022-23 and the forward estimates"/>
      </w:tblPr>
      <w:tblGrid>
        <w:gridCol w:w="7678"/>
      </w:tblGrid>
      <w:tr w:rsidR="00A956BF" w:rsidRPr="00A956BF" w14:paraId="0B9D83C1" w14:textId="77777777" w:rsidTr="00450259">
        <w:trPr>
          <w:jc w:val="center"/>
        </w:trPr>
        <w:tc>
          <w:tcPr>
            <w:tcW w:w="7678" w:type="dxa"/>
            <w:tcBorders>
              <w:bottom w:val="single" w:sz="4" w:space="0" w:color="auto"/>
            </w:tcBorders>
            <w:shd w:val="clear" w:color="auto" w:fill="D9D9D9" w:themeFill="background1" w:themeFillShade="D9"/>
          </w:tcPr>
          <w:p w14:paraId="59BD719F" w14:textId="77777777" w:rsidR="009566C6" w:rsidRPr="00A956BF" w:rsidRDefault="009566C6" w:rsidP="009566C6">
            <w:pPr>
              <w:pStyle w:val="Tableheadingrowmeasures85pt"/>
              <w:keepLines/>
              <w:rPr>
                <w:color w:val="auto"/>
              </w:rPr>
            </w:pPr>
            <w:r w:rsidRPr="00A956BF">
              <w:rPr>
                <w:color w:val="auto"/>
              </w:rPr>
              <w:lastRenderedPageBreak/>
              <w:t>The percentage of surveyed users</w:t>
            </w:r>
            <w:r w:rsidRPr="00A956BF">
              <w:rPr>
                <w:rStyle w:val="FootnoteReference"/>
                <w:color w:val="auto"/>
              </w:rPr>
              <w:footnoteReference w:id="7"/>
            </w:r>
            <w:r w:rsidRPr="00A956BF">
              <w:rPr>
                <w:color w:val="auto"/>
              </w:rPr>
              <w:t xml:space="preserve"> who are satisfied</w:t>
            </w:r>
            <w:r w:rsidRPr="00A956BF">
              <w:rPr>
                <w:rStyle w:val="FootnoteReference"/>
                <w:color w:val="auto"/>
              </w:rPr>
              <w:footnoteReference w:id="8"/>
            </w:r>
            <w:r w:rsidRPr="00A956BF">
              <w:rPr>
                <w:color w:val="auto"/>
              </w:rPr>
              <w:t xml:space="preserve"> with the service provided by the:</w:t>
            </w:r>
          </w:p>
          <w:p w14:paraId="53BCB4FB" w14:textId="77777777" w:rsidR="009566C6" w:rsidRPr="00A956BF" w:rsidRDefault="009566C6" w:rsidP="005A7BF5">
            <w:pPr>
              <w:pStyle w:val="Tableheadingrowmeasures85pt"/>
              <w:keepNext/>
              <w:keepLines/>
              <w:pageBreakBefore/>
              <w:ind w:left="284" w:hanging="284"/>
              <w:rPr>
                <w:color w:val="auto"/>
              </w:rPr>
            </w:pPr>
            <w:r w:rsidRPr="00A956BF">
              <w:rPr>
                <w:color w:val="auto"/>
              </w:rPr>
              <w:t>a.</w:t>
            </w:r>
            <w:r w:rsidRPr="00A956BF">
              <w:rPr>
                <w:color w:val="auto"/>
              </w:rPr>
              <w:tab/>
              <w:t>My Aged Care Contact Centre.</w:t>
            </w:r>
          </w:p>
          <w:p w14:paraId="7837B166" w14:textId="0E6D43E1" w:rsidR="00101421" w:rsidRPr="004B06A4" w:rsidRDefault="009566C6" w:rsidP="005A7BF5">
            <w:pPr>
              <w:pStyle w:val="Tableheadingrowmeasures85pt"/>
              <w:keepNext/>
              <w:keepLines/>
              <w:ind w:left="284" w:hanging="284"/>
              <w:rPr>
                <w:color w:val="auto"/>
              </w:rPr>
            </w:pPr>
            <w:r w:rsidRPr="00A956BF">
              <w:rPr>
                <w:color w:val="auto"/>
              </w:rPr>
              <w:t>b.</w:t>
            </w:r>
            <w:r w:rsidRPr="00A956BF">
              <w:rPr>
                <w:color w:val="auto"/>
              </w:rPr>
              <w:tab/>
              <w:t>My Aged Care website</w:t>
            </w:r>
            <w:r w:rsidR="007C2543" w:rsidRPr="00A956BF">
              <w:rPr>
                <w:color w:val="auto"/>
              </w:rPr>
              <w:t>.</w:t>
            </w:r>
          </w:p>
        </w:tc>
      </w:tr>
      <w:tr w:rsidR="00A956BF" w:rsidRPr="00A956BF" w14:paraId="233331BD" w14:textId="77777777" w:rsidTr="00450259">
        <w:trPr>
          <w:jc w:val="center"/>
        </w:trPr>
        <w:tc>
          <w:tcPr>
            <w:tcW w:w="7678"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7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1533"/>
              <w:gridCol w:w="1533"/>
              <w:gridCol w:w="1532"/>
              <w:gridCol w:w="1528"/>
              <w:gridCol w:w="18"/>
            </w:tblGrid>
            <w:tr w:rsidR="00330D1D" w:rsidRPr="00A956BF" w14:paraId="3F90EE8A" w14:textId="77777777" w:rsidTr="00E40DDC">
              <w:trPr>
                <w:gridAfter w:val="1"/>
                <w:wAfter w:w="18" w:type="dxa"/>
                <w:cantSplit/>
                <w:jc w:val="center"/>
              </w:trPr>
              <w:tc>
                <w:tcPr>
                  <w:tcW w:w="1551" w:type="dxa"/>
                  <w:tcBorders>
                    <w:bottom w:val="single" w:sz="4" w:space="0" w:color="auto"/>
                    <w:right w:val="single" w:sz="4" w:space="0" w:color="auto"/>
                  </w:tcBorders>
                  <w:shd w:val="clear" w:color="auto" w:fill="auto"/>
                </w:tcPr>
                <w:p w14:paraId="34D43398" w14:textId="2A3D3DCA" w:rsidR="00330D1D" w:rsidRPr="00685583" w:rsidRDefault="005A7BF5" w:rsidP="00330D1D">
                  <w:pPr>
                    <w:pStyle w:val="Tableheadingrow9pt"/>
                    <w:keepNext/>
                    <w:keepLines/>
                    <w:rPr>
                      <w:color w:val="auto"/>
                      <w:sz w:val="17"/>
                      <w:szCs w:val="17"/>
                    </w:rPr>
                  </w:pPr>
                  <w:r>
                    <w:rPr>
                      <w:color w:val="auto"/>
                      <w:sz w:val="17"/>
                      <w:szCs w:val="17"/>
                    </w:rPr>
                    <w:t>Cu</w:t>
                  </w:r>
                  <w:r w:rsidR="00330D1D">
                    <w:rPr>
                      <w:color w:val="auto"/>
                      <w:sz w:val="17"/>
                      <w:szCs w:val="17"/>
                    </w:rPr>
                    <w:t>rrent Year</w:t>
                  </w:r>
                  <w:r w:rsidR="00330D1D">
                    <w:rPr>
                      <w:color w:val="auto"/>
                      <w:sz w:val="17"/>
                      <w:szCs w:val="17"/>
                    </w:rPr>
                    <w:br/>
                  </w:r>
                  <w:r w:rsidR="00330D1D" w:rsidRPr="005D0368">
                    <w:rPr>
                      <w:color w:val="auto"/>
                      <w:sz w:val="17"/>
                      <w:szCs w:val="17"/>
                    </w:rPr>
                    <w:t>202</w:t>
                  </w:r>
                  <w:r w:rsidR="00330D1D">
                    <w:rPr>
                      <w:color w:val="auto"/>
                      <w:sz w:val="17"/>
                      <w:szCs w:val="17"/>
                    </w:rPr>
                    <w:t>1</w:t>
                  </w:r>
                  <w:r w:rsidR="00F20F9C">
                    <w:rPr>
                      <w:color w:val="auto"/>
                      <w:sz w:val="17"/>
                      <w:szCs w:val="17"/>
                    </w:rPr>
                    <w:t>–</w:t>
                  </w:r>
                  <w:r w:rsidR="00330D1D" w:rsidRPr="005D0368">
                    <w:rPr>
                      <w:color w:val="auto"/>
                      <w:sz w:val="17"/>
                      <w:szCs w:val="17"/>
                    </w:rPr>
                    <w:t>2</w:t>
                  </w:r>
                  <w:r w:rsidR="00330D1D">
                    <w:rPr>
                      <w:color w:val="auto"/>
                      <w:sz w:val="17"/>
                      <w:szCs w:val="17"/>
                    </w:rPr>
                    <w:t>2</w:t>
                  </w:r>
                  <w:r w:rsidR="00330D1D">
                    <w:rPr>
                      <w:color w:val="auto"/>
                      <w:sz w:val="17"/>
                      <w:szCs w:val="17"/>
                    </w:rPr>
                    <w:br/>
                    <w:t>Planned Performance Result</w:t>
                  </w:r>
                </w:p>
              </w:tc>
              <w:tc>
                <w:tcPr>
                  <w:tcW w:w="1533" w:type="dxa"/>
                  <w:tcBorders>
                    <w:left w:val="single" w:sz="4" w:space="0" w:color="auto"/>
                    <w:bottom w:val="single" w:sz="4" w:space="0" w:color="auto"/>
                    <w:right w:val="single" w:sz="4" w:space="0" w:color="auto"/>
                  </w:tcBorders>
                  <w:shd w:val="clear" w:color="auto" w:fill="auto"/>
                </w:tcPr>
                <w:p w14:paraId="4BCC15B3" w14:textId="296AE718"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3" w:type="dxa"/>
                  <w:tcBorders>
                    <w:left w:val="single" w:sz="4" w:space="0" w:color="auto"/>
                    <w:bottom w:val="single" w:sz="4" w:space="0" w:color="auto"/>
                    <w:right w:val="single" w:sz="4" w:space="0" w:color="auto"/>
                  </w:tcBorders>
                  <w:shd w:val="clear" w:color="auto" w:fill="auto"/>
                </w:tcPr>
                <w:p w14:paraId="6F6958CE" w14:textId="4C0582D0"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r w:rsidR="00013D29">
                    <w:rPr>
                      <w:rStyle w:val="FootnoteReference"/>
                      <w:color w:val="auto"/>
                    </w:rPr>
                    <w:footnoteReference w:id="9"/>
                  </w:r>
                </w:p>
              </w:tc>
              <w:tc>
                <w:tcPr>
                  <w:tcW w:w="1532" w:type="dxa"/>
                  <w:tcBorders>
                    <w:left w:val="single" w:sz="4" w:space="0" w:color="auto"/>
                    <w:bottom w:val="single" w:sz="4" w:space="0" w:color="auto"/>
                  </w:tcBorders>
                  <w:shd w:val="clear" w:color="auto" w:fill="auto"/>
                </w:tcPr>
                <w:p w14:paraId="3780BC71" w14:textId="696EB7CE"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28" w:type="dxa"/>
                  <w:tcBorders>
                    <w:left w:val="single" w:sz="4" w:space="0" w:color="auto"/>
                    <w:bottom w:val="single" w:sz="4" w:space="0" w:color="auto"/>
                  </w:tcBorders>
                  <w:shd w:val="clear" w:color="auto" w:fill="auto"/>
                </w:tcPr>
                <w:p w14:paraId="60C9FA37" w14:textId="25D5E6C8"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4B06A4" w:rsidRPr="00A956BF" w14:paraId="47CA445B" w14:textId="77777777" w:rsidTr="00C438A0">
              <w:trPr>
                <w:gridAfter w:val="1"/>
                <w:wAfter w:w="18" w:type="dxa"/>
                <w:trHeight w:val="428"/>
                <w:jc w:val="center"/>
              </w:trPr>
              <w:tc>
                <w:tcPr>
                  <w:tcW w:w="1551" w:type="dxa"/>
                  <w:tcBorders>
                    <w:top w:val="single" w:sz="4" w:space="0" w:color="auto"/>
                    <w:bottom w:val="single" w:sz="4" w:space="0" w:color="auto"/>
                    <w:right w:val="single" w:sz="4" w:space="0" w:color="auto"/>
                  </w:tcBorders>
                  <w:shd w:val="clear" w:color="auto" w:fill="auto"/>
                </w:tcPr>
                <w:p w14:paraId="6552F47C" w14:textId="77777777" w:rsidR="004B06A4" w:rsidRPr="00A956BF" w:rsidRDefault="004B06A4" w:rsidP="004B06A4">
                  <w:pPr>
                    <w:pStyle w:val="Tabletextmeasure85pt"/>
                    <w:keepNext/>
                    <w:keepLines/>
                    <w:ind w:left="284" w:hanging="284"/>
                    <w:rPr>
                      <w:color w:val="auto"/>
                    </w:rPr>
                  </w:pPr>
                  <w:r w:rsidRPr="00A956BF">
                    <w:rPr>
                      <w:color w:val="auto"/>
                    </w:rPr>
                    <w:t>a. ≥95%</w:t>
                  </w:r>
                </w:p>
                <w:p w14:paraId="6C3E3BDE" w14:textId="3A7A3175" w:rsidR="004B06A4" w:rsidRPr="00A956BF" w:rsidRDefault="004B06A4" w:rsidP="004B06A4">
                  <w:pPr>
                    <w:pStyle w:val="Tabletextmeasure85pt"/>
                    <w:keepNext/>
                    <w:keepLines/>
                    <w:ind w:left="284" w:hanging="284"/>
                    <w:rPr>
                      <w:color w:val="auto"/>
                    </w:rPr>
                  </w:pPr>
                  <w:r w:rsidRPr="00A956BF">
                    <w:rPr>
                      <w:color w:val="auto"/>
                    </w:rPr>
                    <w:t>b. ≥65%</w:t>
                  </w:r>
                </w:p>
              </w:tc>
              <w:tc>
                <w:tcPr>
                  <w:tcW w:w="1533" w:type="dxa"/>
                  <w:tcBorders>
                    <w:top w:val="single" w:sz="4" w:space="0" w:color="auto"/>
                    <w:left w:val="single" w:sz="4" w:space="0" w:color="auto"/>
                    <w:right w:val="single" w:sz="4" w:space="0" w:color="auto"/>
                  </w:tcBorders>
                  <w:shd w:val="clear" w:color="auto" w:fill="auto"/>
                </w:tcPr>
                <w:p w14:paraId="5009C4D6" w14:textId="2BB8B6D8" w:rsidR="004B06A4" w:rsidRPr="00A956BF" w:rsidRDefault="004B06A4" w:rsidP="004B06A4">
                  <w:pPr>
                    <w:pStyle w:val="Tabletextmeasure85pt"/>
                    <w:keepNext/>
                    <w:keepLines/>
                    <w:ind w:left="284" w:hanging="284"/>
                    <w:rPr>
                      <w:color w:val="auto"/>
                    </w:rPr>
                  </w:pPr>
                  <w:r w:rsidRPr="00A956BF">
                    <w:rPr>
                      <w:color w:val="auto"/>
                    </w:rPr>
                    <w:t>N/A</w:t>
                  </w:r>
                  <w:r w:rsidR="00716A77">
                    <w:rPr>
                      <w:rStyle w:val="FootnoteReference"/>
                      <w:color w:val="auto"/>
                    </w:rPr>
                    <w:footnoteReference w:id="10"/>
                  </w:r>
                </w:p>
                <w:p w14:paraId="51F96D09" w14:textId="77777777" w:rsidR="005228F1" w:rsidRPr="0005567C" w:rsidRDefault="00466B2D" w:rsidP="00466B2D">
                  <w:pPr>
                    <w:pStyle w:val="Tabletextmeasure85pt"/>
                    <w:keepNext/>
                    <w:keepLines/>
                    <w:rPr>
                      <w:color w:val="auto"/>
                    </w:rPr>
                  </w:pPr>
                  <w:r w:rsidRPr="0005567C">
                    <w:rPr>
                      <w:color w:val="auto"/>
                    </w:rPr>
                    <w:t xml:space="preserve">≥65% </w:t>
                  </w:r>
                </w:p>
                <w:p w14:paraId="488BB177" w14:textId="60A4EAFD" w:rsidR="00F52C31" w:rsidRPr="00A956BF" w:rsidRDefault="00F52C31" w:rsidP="00466B2D">
                  <w:pPr>
                    <w:pStyle w:val="Tabletextmeasure85pt"/>
                    <w:keepNext/>
                    <w:keepLines/>
                    <w:rPr>
                      <w:color w:val="auto"/>
                    </w:rPr>
                  </w:pPr>
                </w:p>
              </w:tc>
              <w:tc>
                <w:tcPr>
                  <w:tcW w:w="1533" w:type="dxa"/>
                  <w:tcBorders>
                    <w:top w:val="single" w:sz="4" w:space="0" w:color="auto"/>
                    <w:left w:val="single" w:sz="4" w:space="0" w:color="auto"/>
                    <w:right w:val="single" w:sz="4" w:space="0" w:color="auto"/>
                  </w:tcBorders>
                  <w:shd w:val="clear" w:color="auto" w:fill="auto"/>
                </w:tcPr>
                <w:p w14:paraId="45E4372C" w14:textId="02BB1F82" w:rsidR="004B06A4" w:rsidRPr="00A956BF" w:rsidRDefault="004B06A4" w:rsidP="004B06A4">
                  <w:pPr>
                    <w:pStyle w:val="Tabletextmeasure85pt"/>
                    <w:keepNext/>
                    <w:keepLines/>
                    <w:ind w:left="284" w:hanging="284"/>
                    <w:rPr>
                      <w:color w:val="auto"/>
                    </w:rPr>
                  </w:pPr>
                  <w:r w:rsidRPr="00A956BF">
                    <w:rPr>
                      <w:color w:val="auto"/>
                    </w:rPr>
                    <w:t>N/A</w:t>
                  </w:r>
                </w:p>
                <w:p w14:paraId="29703160" w14:textId="0456280E" w:rsidR="00F52C31" w:rsidRPr="00A956BF" w:rsidRDefault="004B06A4" w:rsidP="00C438A0">
                  <w:pPr>
                    <w:pStyle w:val="Tabletextmeasure85pt"/>
                    <w:keepNext/>
                    <w:keepLines/>
                    <w:ind w:left="284" w:hanging="284"/>
                    <w:rPr>
                      <w:color w:val="auto"/>
                    </w:rPr>
                  </w:pPr>
                  <w:r>
                    <w:rPr>
                      <w:color w:val="auto"/>
                    </w:rPr>
                    <w:t>N/A</w:t>
                  </w:r>
                </w:p>
              </w:tc>
              <w:tc>
                <w:tcPr>
                  <w:tcW w:w="1532" w:type="dxa"/>
                  <w:tcBorders>
                    <w:top w:val="single" w:sz="4" w:space="0" w:color="auto"/>
                    <w:left w:val="single" w:sz="4" w:space="0" w:color="auto"/>
                  </w:tcBorders>
                  <w:shd w:val="clear" w:color="auto" w:fill="auto"/>
                </w:tcPr>
                <w:p w14:paraId="6E2F14AA" w14:textId="77777777" w:rsidR="004B06A4" w:rsidRPr="00A956BF" w:rsidRDefault="004B06A4" w:rsidP="004B06A4">
                  <w:pPr>
                    <w:pStyle w:val="Tabletextmeasure85pt"/>
                    <w:keepNext/>
                    <w:keepLines/>
                    <w:ind w:left="284" w:hanging="284"/>
                    <w:rPr>
                      <w:color w:val="auto"/>
                    </w:rPr>
                  </w:pPr>
                  <w:r w:rsidRPr="00A956BF">
                    <w:rPr>
                      <w:color w:val="auto"/>
                    </w:rPr>
                    <w:t>N/A</w:t>
                  </w:r>
                </w:p>
                <w:p w14:paraId="6AF66620" w14:textId="1F38B558" w:rsidR="004B06A4" w:rsidRPr="00A956BF" w:rsidRDefault="004B06A4" w:rsidP="004B06A4">
                  <w:pPr>
                    <w:pStyle w:val="Tabletextmeasure85pt"/>
                    <w:keepNext/>
                    <w:keepLines/>
                    <w:ind w:left="284" w:hanging="284"/>
                    <w:rPr>
                      <w:color w:val="auto"/>
                    </w:rPr>
                  </w:pPr>
                  <w:r>
                    <w:rPr>
                      <w:color w:val="auto"/>
                    </w:rPr>
                    <w:t>N/A</w:t>
                  </w:r>
                </w:p>
              </w:tc>
              <w:tc>
                <w:tcPr>
                  <w:tcW w:w="1528" w:type="dxa"/>
                  <w:tcBorders>
                    <w:top w:val="single" w:sz="4" w:space="0" w:color="auto"/>
                    <w:left w:val="single" w:sz="4" w:space="0" w:color="auto"/>
                  </w:tcBorders>
                  <w:shd w:val="clear" w:color="auto" w:fill="auto"/>
                </w:tcPr>
                <w:p w14:paraId="3C88BF99" w14:textId="19E1FF6A" w:rsidR="004B06A4" w:rsidRDefault="005228F1" w:rsidP="004B06A4">
                  <w:pPr>
                    <w:pStyle w:val="Tabletextmeasure85pt"/>
                    <w:keepNext/>
                    <w:keepLines/>
                    <w:ind w:left="284" w:hanging="284"/>
                    <w:rPr>
                      <w:color w:val="auto"/>
                    </w:rPr>
                  </w:pPr>
                  <w:r>
                    <w:rPr>
                      <w:color w:val="auto"/>
                    </w:rPr>
                    <w:t>N/A</w:t>
                  </w:r>
                </w:p>
                <w:p w14:paraId="2AB18336" w14:textId="2005061C" w:rsidR="004B06A4" w:rsidRDefault="005228F1" w:rsidP="004B06A4">
                  <w:pPr>
                    <w:pStyle w:val="Tabletextmeasure85pt"/>
                    <w:keepNext/>
                    <w:keepLines/>
                    <w:ind w:left="284" w:hanging="284"/>
                    <w:rPr>
                      <w:color w:val="auto"/>
                    </w:rPr>
                  </w:pPr>
                  <w:r>
                    <w:rPr>
                      <w:color w:val="auto"/>
                    </w:rPr>
                    <w:t>N/A</w:t>
                  </w:r>
                </w:p>
                <w:p w14:paraId="106D2FAA" w14:textId="22CE6FF9" w:rsidR="005228F1" w:rsidRPr="00A956BF" w:rsidRDefault="005228F1" w:rsidP="004B06A4">
                  <w:pPr>
                    <w:pStyle w:val="Tabletextmeasure85pt"/>
                    <w:keepNext/>
                    <w:keepLines/>
                    <w:ind w:left="284" w:hanging="284"/>
                    <w:rPr>
                      <w:color w:val="auto"/>
                    </w:rPr>
                  </w:pPr>
                </w:p>
              </w:tc>
            </w:tr>
            <w:tr w:rsidR="00A956BF" w:rsidRPr="00A956BF" w14:paraId="2365569A" w14:textId="77777777" w:rsidTr="00600845">
              <w:trPr>
                <w:jc w:val="center"/>
              </w:trPr>
              <w:tc>
                <w:tcPr>
                  <w:tcW w:w="1551" w:type="dxa"/>
                  <w:tcBorders>
                    <w:top w:val="single" w:sz="4" w:space="0" w:color="auto"/>
                    <w:bottom w:val="single" w:sz="4" w:space="0" w:color="auto"/>
                    <w:right w:val="single" w:sz="4" w:space="0" w:color="auto"/>
                  </w:tcBorders>
                  <w:shd w:val="clear" w:color="auto" w:fill="auto"/>
                  <w:vAlign w:val="center"/>
                </w:tcPr>
                <w:p w14:paraId="35AD285B" w14:textId="7C992E2A" w:rsidR="005401C2" w:rsidRPr="00A956BF" w:rsidRDefault="00F20F9C" w:rsidP="005401C2">
                  <w:pPr>
                    <w:pStyle w:val="Tableheadingrowmeasures85pt"/>
                    <w:rPr>
                      <w:color w:val="auto"/>
                    </w:rPr>
                  </w:pPr>
                  <w:r>
                    <w:rPr>
                      <w:color w:val="auto"/>
                    </w:rPr>
                    <w:t>2021–</w:t>
                  </w:r>
                  <w:r w:rsidR="00101421">
                    <w:rPr>
                      <w:color w:val="auto"/>
                    </w:rPr>
                    <w:t>22</w:t>
                  </w:r>
                  <w:r w:rsidR="00101421">
                    <w:rPr>
                      <w:color w:val="auto"/>
                    </w:rPr>
                    <w:br/>
                    <w:t>Expected Performance Result</w:t>
                  </w:r>
                </w:p>
              </w:tc>
              <w:tc>
                <w:tcPr>
                  <w:tcW w:w="1533" w:type="dxa"/>
                  <w:vMerge w:val="restart"/>
                  <w:tcBorders>
                    <w:left w:val="single" w:sz="4" w:space="0" w:color="auto"/>
                    <w:right w:val="single" w:sz="4" w:space="0" w:color="auto"/>
                  </w:tcBorders>
                  <w:shd w:val="clear" w:color="auto" w:fill="auto"/>
                </w:tcPr>
                <w:p w14:paraId="4EF207F8" w14:textId="77777777" w:rsidR="005401C2" w:rsidRPr="00A956BF" w:rsidRDefault="005401C2" w:rsidP="000E2E62">
                  <w:pPr>
                    <w:pStyle w:val="Tabletextmeasure85pt"/>
                    <w:keepNext/>
                    <w:keepLines/>
                    <w:rPr>
                      <w:color w:val="auto"/>
                    </w:rPr>
                  </w:pPr>
                </w:p>
              </w:tc>
              <w:tc>
                <w:tcPr>
                  <w:tcW w:w="1533" w:type="dxa"/>
                  <w:vMerge w:val="restart"/>
                  <w:tcBorders>
                    <w:left w:val="single" w:sz="4" w:space="0" w:color="auto"/>
                    <w:right w:val="single" w:sz="4" w:space="0" w:color="auto"/>
                  </w:tcBorders>
                  <w:shd w:val="clear" w:color="auto" w:fill="auto"/>
                </w:tcPr>
                <w:p w14:paraId="362897ED" w14:textId="77777777" w:rsidR="005401C2" w:rsidRPr="00A956BF" w:rsidRDefault="005401C2" w:rsidP="005401C2">
                  <w:pPr>
                    <w:pStyle w:val="Tabletextmeasure85pt"/>
                    <w:keepNext/>
                    <w:keepLines/>
                    <w:ind w:left="284" w:hanging="284"/>
                    <w:rPr>
                      <w:color w:val="auto"/>
                    </w:rPr>
                  </w:pPr>
                </w:p>
              </w:tc>
              <w:tc>
                <w:tcPr>
                  <w:tcW w:w="1532" w:type="dxa"/>
                  <w:vMerge w:val="restart"/>
                  <w:tcBorders>
                    <w:left w:val="single" w:sz="4" w:space="0" w:color="auto"/>
                  </w:tcBorders>
                  <w:shd w:val="clear" w:color="auto" w:fill="auto"/>
                </w:tcPr>
                <w:p w14:paraId="4E5928FA" w14:textId="77777777" w:rsidR="005401C2" w:rsidRPr="00A956BF" w:rsidRDefault="005401C2" w:rsidP="001A7A30">
                  <w:pPr>
                    <w:pStyle w:val="Tabletextmeasure85pt"/>
                    <w:keepNext/>
                    <w:keepLines/>
                    <w:rPr>
                      <w:color w:val="auto"/>
                    </w:rPr>
                  </w:pPr>
                </w:p>
              </w:tc>
              <w:tc>
                <w:tcPr>
                  <w:tcW w:w="1546" w:type="dxa"/>
                  <w:gridSpan w:val="2"/>
                  <w:vMerge w:val="restart"/>
                  <w:tcBorders>
                    <w:left w:val="single" w:sz="4" w:space="0" w:color="auto"/>
                  </w:tcBorders>
                  <w:shd w:val="clear" w:color="auto" w:fill="auto"/>
                </w:tcPr>
                <w:p w14:paraId="4D85DC68" w14:textId="77777777" w:rsidR="005401C2" w:rsidRPr="00A956BF" w:rsidRDefault="005401C2" w:rsidP="001A7A30">
                  <w:pPr>
                    <w:pStyle w:val="Tabletextmeasure85pt"/>
                    <w:keepNext/>
                    <w:keepLines/>
                    <w:rPr>
                      <w:color w:val="auto"/>
                    </w:rPr>
                  </w:pPr>
                </w:p>
              </w:tc>
            </w:tr>
            <w:tr w:rsidR="00A956BF" w:rsidRPr="00A956BF" w14:paraId="1E70AEDA" w14:textId="77777777" w:rsidTr="00600845">
              <w:trPr>
                <w:jc w:val="center"/>
              </w:trPr>
              <w:tc>
                <w:tcPr>
                  <w:tcW w:w="1551" w:type="dxa"/>
                  <w:tcBorders>
                    <w:top w:val="single" w:sz="4" w:space="0" w:color="auto"/>
                    <w:right w:val="single" w:sz="4" w:space="0" w:color="auto"/>
                  </w:tcBorders>
                  <w:shd w:val="clear" w:color="auto" w:fill="auto"/>
                </w:tcPr>
                <w:p w14:paraId="2944E661" w14:textId="77777777" w:rsidR="004B06A4" w:rsidRPr="00A956BF" w:rsidRDefault="004B06A4" w:rsidP="004B06A4">
                  <w:pPr>
                    <w:pStyle w:val="Tabletextmeasure85pt"/>
                    <w:keepNext/>
                    <w:keepLines/>
                    <w:ind w:left="284" w:hanging="284"/>
                    <w:rPr>
                      <w:color w:val="auto"/>
                    </w:rPr>
                  </w:pPr>
                  <w:r w:rsidRPr="00A956BF">
                    <w:rPr>
                      <w:color w:val="auto"/>
                    </w:rPr>
                    <w:t>a. ≥95%</w:t>
                  </w:r>
                </w:p>
                <w:p w14:paraId="0F41290B" w14:textId="5FE5C94F" w:rsidR="005401C2" w:rsidRPr="00A956BF" w:rsidRDefault="004B06A4" w:rsidP="00466B2D">
                  <w:pPr>
                    <w:pStyle w:val="Tabletextmeasure85pt"/>
                    <w:keepNext/>
                    <w:keepLines/>
                    <w:ind w:left="284" w:hanging="284"/>
                    <w:rPr>
                      <w:color w:val="auto"/>
                    </w:rPr>
                  </w:pPr>
                  <w:r w:rsidRPr="00A956BF">
                    <w:rPr>
                      <w:color w:val="auto"/>
                    </w:rPr>
                    <w:t xml:space="preserve">b. </w:t>
                  </w:r>
                  <w:r w:rsidR="00466B2D" w:rsidRPr="00466B2D">
                    <w:rPr>
                      <w:color w:val="auto"/>
                    </w:rPr>
                    <w:t>4</w:t>
                  </w:r>
                  <w:r w:rsidR="00466B2D" w:rsidRPr="00466B2D">
                    <w:rPr>
                      <w:color w:val="000000" w:themeColor="text1"/>
                    </w:rPr>
                    <w:t>9%</w:t>
                  </w:r>
                  <w:r w:rsidR="0071368C">
                    <w:rPr>
                      <w:rStyle w:val="FootnoteReference"/>
                      <w:color w:val="000000" w:themeColor="text1"/>
                    </w:rPr>
                    <w:footnoteReference w:id="11"/>
                  </w:r>
                </w:p>
              </w:tc>
              <w:tc>
                <w:tcPr>
                  <w:tcW w:w="1533" w:type="dxa"/>
                  <w:vMerge/>
                  <w:tcBorders>
                    <w:left w:val="single" w:sz="4" w:space="0" w:color="auto"/>
                    <w:right w:val="single" w:sz="4" w:space="0" w:color="auto"/>
                  </w:tcBorders>
                  <w:shd w:val="clear" w:color="auto" w:fill="auto"/>
                </w:tcPr>
                <w:p w14:paraId="51D0401F" w14:textId="77777777" w:rsidR="005401C2" w:rsidRPr="00A956BF" w:rsidRDefault="005401C2" w:rsidP="005401C2">
                  <w:pPr>
                    <w:pStyle w:val="Tabletextmeasure85pt"/>
                    <w:keepNext/>
                    <w:keepLines/>
                    <w:ind w:left="284" w:hanging="284"/>
                    <w:rPr>
                      <w:color w:val="auto"/>
                    </w:rPr>
                  </w:pPr>
                </w:p>
              </w:tc>
              <w:tc>
                <w:tcPr>
                  <w:tcW w:w="1533" w:type="dxa"/>
                  <w:vMerge/>
                  <w:tcBorders>
                    <w:left w:val="single" w:sz="4" w:space="0" w:color="auto"/>
                    <w:right w:val="single" w:sz="4" w:space="0" w:color="auto"/>
                  </w:tcBorders>
                  <w:shd w:val="clear" w:color="auto" w:fill="auto"/>
                </w:tcPr>
                <w:p w14:paraId="3D38CDCA" w14:textId="77777777" w:rsidR="005401C2" w:rsidRPr="00A956BF" w:rsidRDefault="005401C2" w:rsidP="005401C2">
                  <w:pPr>
                    <w:pStyle w:val="Tabletextmeasure85pt"/>
                    <w:keepNext/>
                    <w:keepLines/>
                    <w:ind w:left="284" w:hanging="284"/>
                    <w:rPr>
                      <w:color w:val="auto"/>
                    </w:rPr>
                  </w:pPr>
                </w:p>
              </w:tc>
              <w:tc>
                <w:tcPr>
                  <w:tcW w:w="1532" w:type="dxa"/>
                  <w:vMerge/>
                  <w:tcBorders>
                    <w:left w:val="single" w:sz="4" w:space="0" w:color="auto"/>
                  </w:tcBorders>
                  <w:shd w:val="clear" w:color="auto" w:fill="auto"/>
                </w:tcPr>
                <w:p w14:paraId="473B80C5" w14:textId="77777777" w:rsidR="005401C2" w:rsidRPr="00A956BF" w:rsidRDefault="005401C2" w:rsidP="005401C2">
                  <w:pPr>
                    <w:pStyle w:val="Tabletextmeasure85pt"/>
                    <w:keepNext/>
                    <w:keepLines/>
                    <w:ind w:left="284" w:hanging="284"/>
                    <w:rPr>
                      <w:color w:val="auto"/>
                    </w:rPr>
                  </w:pPr>
                </w:p>
              </w:tc>
              <w:tc>
                <w:tcPr>
                  <w:tcW w:w="1546" w:type="dxa"/>
                  <w:gridSpan w:val="2"/>
                  <w:vMerge/>
                  <w:tcBorders>
                    <w:left w:val="single" w:sz="4" w:space="0" w:color="auto"/>
                  </w:tcBorders>
                  <w:shd w:val="clear" w:color="auto" w:fill="auto"/>
                </w:tcPr>
                <w:p w14:paraId="50C7DCDB" w14:textId="77777777" w:rsidR="005401C2" w:rsidRPr="00A956BF" w:rsidRDefault="005401C2" w:rsidP="005401C2">
                  <w:pPr>
                    <w:pStyle w:val="Tabletextmeasure85pt"/>
                    <w:keepNext/>
                    <w:keepLines/>
                    <w:ind w:left="284" w:hanging="284"/>
                    <w:rPr>
                      <w:color w:val="auto"/>
                    </w:rPr>
                  </w:pPr>
                </w:p>
              </w:tc>
            </w:tr>
          </w:tbl>
          <w:p w14:paraId="63F0AD3F" w14:textId="77777777" w:rsidR="009566C6" w:rsidRPr="00A956BF" w:rsidRDefault="009566C6" w:rsidP="009566C6">
            <w:pPr>
              <w:pStyle w:val="Tableheadingrow9pt"/>
              <w:rPr>
                <w:color w:val="auto"/>
                <w:highlight w:val="yellow"/>
              </w:rPr>
            </w:pPr>
          </w:p>
        </w:tc>
      </w:tr>
      <w:tr w:rsidR="00A956BF" w:rsidRPr="00A956BF" w14:paraId="670F7FB4" w14:textId="77777777" w:rsidTr="00450259">
        <w:trPr>
          <w:jc w:val="center"/>
        </w:trPr>
        <w:tc>
          <w:tcPr>
            <w:tcW w:w="7678" w:type="dxa"/>
            <w:shd w:val="clear" w:color="auto" w:fill="auto"/>
          </w:tcPr>
          <w:p w14:paraId="7E07F00E" w14:textId="33C179EF" w:rsidR="009566C6" w:rsidRPr="00A956BF" w:rsidRDefault="009566C6" w:rsidP="009566C6">
            <w:pPr>
              <w:pStyle w:val="Tableheadingrow9pt"/>
              <w:rPr>
                <w:color w:val="auto"/>
              </w:rPr>
            </w:pPr>
            <w:r w:rsidRPr="00A956BF">
              <w:rPr>
                <w:color w:val="auto"/>
              </w:rPr>
              <w:t>Material changes to Program 3.1 resulting from the following measures:</w:t>
            </w:r>
          </w:p>
          <w:p w14:paraId="0C31A18E" w14:textId="77777777" w:rsidR="009566C6" w:rsidRPr="00A956BF" w:rsidRDefault="00C85B80" w:rsidP="00C85B80">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1</w:t>
            </w:r>
            <w:r w:rsidRPr="00473719">
              <w:rPr>
                <w:sz w:val="17"/>
                <w:szCs w:val="17"/>
              </w:rPr>
              <w:t xml:space="preserve"> resulting from measures.</w:t>
            </w:r>
          </w:p>
        </w:tc>
      </w:tr>
    </w:tbl>
    <w:p w14:paraId="74DF0898" w14:textId="68284FA5" w:rsidR="00D26B6C" w:rsidRPr="00E40DDC" w:rsidRDefault="00C85B80" w:rsidP="00E40DDC">
      <w:pPr>
        <w:spacing w:before="0" w:after="160" w:line="259" w:lineRule="auto"/>
        <w:rPr>
          <w:b/>
          <w:color w:val="auto"/>
          <w:sz w:val="20"/>
          <w:szCs w:val="20"/>
        </w:rPr>
      </w:pPr>
      <w:r>
        <w:rPr>
          <w:color w:val="auto"/>
        </w:rPr>
        <w:br w:type="page"/>
      </w:r>
      <w:r w:rsidR="00D26B6C" w:rsidRPr="00E40DDC">
        <w:rPr>
          <w:b/>
          <w:color w:val="auto"/>
          <w:sz w:val="20"/>
          <w:szCs w:val="20"/>
        </w:rPr>
        <w:lastRenderedPageBreak/>
        <w:t>Table 2.3.</w:t>
      </w:r>
      <w:r w:rsidR="00D628C2" w:rsidRPr="00E40DDC">
        <w:rPr>
          <w:b/>
          <w:color w:val="auto"/>
          <w:sz w:val="20"/>
          <w:szCs w:val="20"/>
        </w:rPr>
        <w:t>3</w:t>
      </w:r>
      <w:r w:rsidR="00D26B6C" w:rsidRPr="00E40DDC">
        <w:rPr>
          <w:b/>
          <w:color w:val="auto"/>
          <w:sz w:val="20"/>
          <w:szCs w:val="20"/>
        </w:rPr>
        <w:t>: Perf</w:t>
      </w:r>
      <w:r w:rsidR="00A4016E" w:rsidRPr="00E40DDC">
        <w:rPr>
          <w:b/>
          <w:color w:val="auto"/>
          <w:sz w:val="20"/>
          <w:szCs w:val="20"/>
        </w:rPr>
        <w:t xml:space="preserve">ormance </w:t>
      </w:r>
      <w:r w:rsidR="007A06D4" w:rsidRPr="00E40DDC">
        <w:rPr>
          <w:b/>
          <w:color w:val="auto"/>
          <w:sz w:val="20"/>
          <w:szCs w:val="20"/>
        </w:rPr>
        <w:t>Measures</w:t>
      </w:r>
      <w:r w:rsidR="00A4016E" w:rsidRPr="00E40DDC">
        <w:rPr>
          <w:b/>
          <w:color w:val="auto"/>
          <w:sz w:val="20"/>
          <w:szCs w:val="20"/>
        </w:rPr>
        <w:t xml:space="preserve"> for Program 3.2</w:t>
      </w:r>
    </w:p>
    <w:tbl>
      <w:tblPr>
        <w:tblStyle w:val="TableGrid"/>
        <w:tblW w:w="7677"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7677"/>
      </w:tblGrid>
      <w:tr w:rsidR="00A956BF" w:rsidRPr="00A956BF" w14:paraId="7A34DD84" w14:textId="77777777" w:rsidTr="000A74AA">
        <w:trPr>
          <w:trHeight w:val="50"/>
          <w:jc w:val="center"/>
        </w:trPr>
        <w:tc>
          <w:tcPr>
            <w:tcW w:w="7677" w:type="dxa"/>
            <w:shd w:val="clear" w:color="auto" w:fill="D9D9D9" w:themeFill="background1" w:themeFillShade="D9"/>
          </w:tcPr>
          <w:p w14:paraId="26788FE4" w14:textId="6BADF187" w:rsidR="00C85B80" w:rsidRPr="00A956BF" w:rsidRDefault="00D26B6C" w:rsidP="00D628C2">
            <w:pPr>
              <w:pStyle w:val="Tableheadingrow9pt"/>
              <w:rPr>
                <w:color w:val="auto"/>
              </w:rPr>
            </w:pPr>
            <w:r w:rsidRPr="00A956BF">
              <w:rPr>
                <w:color w:val="auto"/>
              </w:rPr>
              <w:t xml:space="preserve">Program Objective – Program </w:t>
            </w:r>
            <w:r w:rsidR="00D628C2" w:rsidRPr="00A956BF">
              <w:rPr>
                <w:color w:val="auto"/>
              </w:rPr>
              <w:t>3.2: Aged Care Services</w:t>
            </w:r>
          </w:p>
        </w:tc>
      </w:tr>
      <w:tr w:rsidR="00A956BF" w:rsidRPr="00A956BF" w14:paraId="2DDAE55F" w14:textId="77777777" w:rsidTr="000A74AA">
        <w:trPr>
          <w:jc w:val="center"/>
        </w:trPr>
        <w:tc>
          <w:tcPr>
            <w:tcW w:w="7677" w:type="dxa"/>
          </w:tcPr>
          <w:p w14:paraId="5922F9ED" w14:textId="77777777" w:rsidR="00D26B6C" w:rsidRPr="00A956BF" w:rsidRDefault="00BF62AB" w:rsidP="00FC3CB5">
            <w:pPr>
              <w:pStyle w:val="Heading2"/>
              <w:outlineLvl w:val="1"/>
              <w:rPr>
                <w:color w:val="auto"/>
              </w:rPr>
            </w:pPr>
            <w:r w:rsidRPr="00A956BF">
              <w:rPr>
                <w:color w:val="auto"/>
              </w:rPr>
              <w:t>Provide choice through a range of flexible options to support senior Australians who need assistance. This includes supporting people to remain living at home and connected to their communities for longer, through to residential care for those who are no longer able to continue living in their own home.</w:t>
            </w:r>
          </w:p>
        </w:tc>
      </w:tr>
      <w:tr w:rsidR="00A956BF" w:rsidRPr="00A956BF" w14:paraId="6AC4FB54" w14:textId="77777777" w:rsidTr="000A74AA">
        <w:trPr>
          <w:jc w:val="center"/>
        </w:trPr>
        <w:tc>
          <w:tcPr>
            <w:tcW w:w="7677" w:type="dxa"/>
            <w:shd w:val="clear" w:color="auto" w:fill="D9D9D9" w:themeFill="background1" w:themeFillShade="D9"/>
          </w:tcPr>
          <w:p w14:paraId="654387FE" w14:textId="0C2A6785" w:rsidR="00C85B80" w:rsidRPr="00A956BF" w:rsidRDefault="00041B53" w:rsidP="00B52C7C">
            <w:pPr>
              <w:pStyle w:val="Tableheadingrow9pt"/>
              <w:rPr>
                <w:color w:val="auto"/>
              </w:rPr>
            </w:pPr>
            <w:r>
              <w:rPr>
                <w:color w:val="auto"/>
              </w:rPr>
              <w:t>Key Activities</w:t>
            </w:r>
          </w:p>
        </w:tc>
      </w:tr>
      <w:tr w:rsidR="00A956BF" w:rsidRPr="00A956BF" w14:paraId="67CD1B57" w14:textId="77777777" w:rsidTr="000A74AA">
        <w:trPr>
          <w:jc w:val="center"/>
        </w:trPr>
        <w:tc>
          <w:tcPr>
            <w:tcW w:w="7677" w:type="dxa"/>
          </w:tcPr>
          <w:p w14:paraId="24124460" w14:textId="04A6A140" w:rsidR="005139AA" w:rsidRPr="00041B53" w:rsidRDefault="005139AA" w:rsidP="0091544B">
            <w:pPr>
              <w:pStyle w:val="Tabletextnormal9pt"/>
              <w:numPr>
                <w:ilvl w:val="0"/>
                <w:numId w:val="15"/>
              </w:numPr>
              <w:ind w:left="284" w:hanging="284"/>
              <w:rPr>
                <w:color w:val="auto"/>
              </w:rPr>
            </w:pPr>
            <w:r>
              <w:rPr>
                <w:color w:val="auto"/>
              </w:rPr>
              <w:t>Managing the e</w:t>
            </w:r>
            <w:r w:rsidRPr="00041B53">
              <w:rPr>
                <w:color w:val="auto"/>
              </w:rPr>
              <w:t xml:space="preserve">xtension to the </w:t>
            </w:r>
            <w:r w:rsidR="0005567C">
              <w:rPr>
                <w:color w:val="auto"/>
              </w:rPr>
              <w:t>Commonwealth Home Support Programme</w:t>
            </w:r>
            <w:r w:rsidR="0005567C" w:rsidRPr="00041B53">
              <w:rPr>
                <w:color w:val="auto"/>
              </w:rPr>
              <w:t xml:space="preserve"> </w:t>
            </w:r>
            <w:r w:rsidR="0005567C">
              <w:rPr>
                <w:color w:val="auto"/>
              </w:rPr>
              <w:t>(</w:t>
            </w:r>
            <w:r w:rsidRPr="00041B53">
              <w:rPr>
                <w:color w:val="auto"/>
              </w:rPr>
              <w:t>CHSP</w:t>
            </w:r>
            <w:r w:rsidR="0005567C">
              <w:rPr>
                <w:color w:val="auto"/>
              </w:rPr>
              <w:t>)</w:t>
            </w:r>
            <w:r w:rsidRPr="00041B53">
              <w:rPr>
                <w:color w:val="auto"/>
              </w:rPr>
              <w:t xml:space="preserve"> and payment in arrears</w:t>
            </w:r>
            <w:r>
              <w:rPr>
                <w:color w:val="auto"/>
              </w:rPr>
              <w:t xml:space="preserve"> arrangements</w:t>
            </w:r>
            <w:r w:rsidRPr="00041B53">
              <w:rPr>
                <w:color w:val="auto"/>
              </w:rPr>
              <w:t>.</w:t>
            </w:r>
          </w:p>
          <w:p w14:paraId="6BD5E2ED" w14:textId="3231A99A" w:rsidR="005139AA" w:rsidRPr="00041B53" w:rsidRDefault="005139AA" w:rsidP="0091544B">
            <w:pPr>
              <w:pStyle w:val="Tabletextnormal9pt"/>
              <w:numPr>
                <w:ilvl w:val="0"/>
                <w:numId w:val="15"/>
              </w:numPr>
              <w:ind w:left="284" w:hanging="284"/>
              <w:rPr>
                <w:color w:val="auto"/>
              </w:rPr>
            </w:pPr>
            <w:r w:rsidRPr="00041B53">
              <w:rPr>
                <w:color w:val="auto"/>
              </w:rPr>
              <w:t xml:space="preserve">Delivering the </w:t>
            </w:r>
            <w:r w:rsidR="0091544B">
              <w:rPr>
                <w:color w:val="auto"/>
              </w:rPr>
              <w:t>Home Care Packages (</w:t>
            </w:r>
            <w:r w:rsidRPr="00041B53">
              <w:rPr>
                <w:color w:val="auto"/>
              </w:rPr>
              <w:t>HCP</w:t>
            </w:r>
            <w:r w:rsidR="0091544B">
              <w:rPr>
                <w:color w:val="auto"/>
              </w:rPr>
              <w:t>)</w:t>
            </w:r>
            <w:r w:rsidRPr="00041B53">
              <w:rPr>
                <w:color w:val="auto"/>
              </w:rPr>
              <w:t xml:space="preserve"> Program and conducting assurance reviews of up to 500 providers and fraud minimisation activities to support the HCP Program and any future program.</w:t>
            </w:r>
          </w:p>
          <w:p w14:paraId="076F85F4" w14:textId="7BC816B7" w:rsidR="005139AA" w:rsidRPr="00041B53" w:rsidRDefault="005139AA" w:rsidP="0091544B">
            <w:pPr>
              <w:pStyle w:val="Tabletextnormal9pt"/>
              <w:numPr>
                <w:ilvl w:val="0"/>
                <w:numId w:val="15"/>
              </w:numPr>
              <w:ind w:left="284" w:hanging="284"/>
              <w:rPr>
                <w:color w:val="auto"/>
              </w:rPr>
            </w:pPr>
            <w:r w:rsidRPr="00041B53">
              <w:rPr>
                <w:color w:val="auto"/>
              </w:rPr>
              <w:t>Providing access to a range of short</w:t>
            </w:r>
            <w:r w:rsidR="0091544B">
              <w:rPr>
                <w:color w:val="auto"/>
              </w:rPr>
              <w:t xml:space="preserve"> </w:t>
            </w:r>
            <w:r w:rsidRPr="00041B53">
              <w:rPr>
                <w:color w:val="auto"/>
              </w:rPr>
              <w:t>term services focused on supporting client independence and wellness to enable senior Australians to keep living in their own homes.</w:t>
            </w:r>
          </w:p>
          <w:p w14:paraId="5C728BD3" w14:textId="117D0608" w:rsidR="005139AA" w:rsidRPr="00041B53" w:rsidRDefault="005139AA" w:rsidP="0091544B">
            <w:pPr>
              <w:pStyle w:val="Tabletextnormal9pt"/>
              <w:numPr>
                <w:ilvl w:val="0"/>
                <w:numId w:val="15"/>
              </w:numPr>
              <w:ind w:left="284" w:hanging="284"/>
              <w:rPr>
                <w:color w:val="auto"/>
              </w:rPr>
            </w:pPr>
            <w:r>
              <w:rPr>
                <w:color w:val="auto"/>
              </w:rPr>
              <w:t>Develop</w:t>
            </w:r>
            <w:r w:rsidR="0091544B">
              <w:rPr>
                <w:color w:val="auto"/>
              </w:rPr>
              <w:t>ing</w:t>
            </w:r>
            <w:r>
              <w:rPr>
                <w:color w:val="auto"/>
              </w:rPr>
              <w:t xml:space="preserve"> a new support at home program to be introduced in 2023 to</w:t>
            </w:r>
            <w:r w:rsidRPr="00041B53">
              <w:rPr>
                <w:color w:val="auto"/>
              </w:rPr>
              <w:t xml:space="preserve"> align services</w:t>
            </w:r>
            <w:r>
              <w:rPr>
                <w:color w:val="auto"/>
              </w:rPr>
              <w:t xml:space="preserve"> for senior Australians</w:t>
            </w:r>
            <w:r w:rsidRPr="00041B53">
              <w:rPr>
                <w:color w:val="auto"/>
              </w:rPr>
              <w:t xml:space="preserve"> to independently assess needs, provid</w:t>
            </w:r>
            <w:r w:rsidR="0091544B">
              <w:rPr>
                <w:color w:val="auto"/>
              </w:rPr>
              <w:t>ing</w:t>
            </w:r>
            <w:r w:rsidRPr="00041B53">
              <w:rPr>
                <w:color w:val="auto"/>
              </w:rPr>
              <w:t xml:space="preserve"> more timely support for informal carers </w:t>
            </w:r>
            <w:r w:rsidR="0091544B">
              <w:rPr>
                <w:color w:val="auto"/>
              </w:rPr>
              <w:t xml:space="preserve">that </w:t>
            </w:r>
            <w:r w:rsidRPr="00041B53">
              <w:rPr>
                <w:color w:val="auto"/>
              </w:rPr>
              <w:t>has a focus on early intervention</w:t>
            </w:r>
            <w:r>
              <w:rPr>
                <w:color w:val="auto"/>
              </w:rPr>
              <w:t>.</w:t>
            </w:r>
          </w:p>
          <w:p w14:paraId="316B019C" w14:textId="77777777" w:rsidR="005139AA" w:rsidRPr="00041B53" w:rsidRDefault="005139AA" w:rsidP="0091544B">
            <w:pPr>
              <w:pStyle w:val="Tabletextnormal9pt"/>
              <w:numPr>
                <w:ilvl w:val="0"/>
                <w:numId w:val="15"/>
              </w:numPr>
              <w:ind w:left="284" w:hanging="284"/>
              <w:rPr>
                <w:color w:val="auto"/>
              </w:rPr>
            </w:pPr>
            <w:r w:rsidRPr="00041B53">
              <w:rPr>
                <w:color w:val="auto"/>
              </w:rPr>
              <w:t>Supporting people in residential aged care, and people with different care needs, via flexible care arrangements.</w:t>
            </w:r>
          </w:p>
          <w:p w14:paraId="71297CFC" w14:textId="045D0B3F" w:rsidR="005139AA" w:rsidRDefault="005139AA" w:rsidP="0091544B">
            <w:pPr>
              <w:pStyle w:val="Tabletextnormal9pt"/>
              <w:numPr>
                <w:ilvl w:val="0"/>
                <w:numId w:val="15"/>
              </w:numPr>
              <w:ind w:left="284" w:hanging="284"/>
              <w:rPr>
                <w:color w:val="auto"/>
              </w:rPr>
            </w:pPr>
            <w:r w:rsidRPr="00041B53">
              <w:rPr>
                <w:color w:val="auto"/>
              </w:rPr>
              <w:t>Delivering a range of residential aged care options and accommodation for senior Australians who are unable to continue living independently in their own homes, either on a permanent or short</w:t>
            </w:r>
            <w:r w:rsidR="0091544B">
              <w:rPr>
                <w:color w:val="auto"/>
              </w:rPr>
              <w:t xml:space="preserve"> </w:t>
            </w:r>
            <w:r w:rsidRPr="00041B53">
              <w:rPr>
                <w:color w:val="auto"/>
              </w:rPr>
              <w:t>term basis.</w:t>
            </w:r>
          </w:p>
          <w:p w14:paraId="5FACBC0B" w14:textId="56B5186A" w:rsidR="005139AA" w:rsidRPr="0091544B" w:rsidRDefault="005139AA" w:rsidP="0091544B">
            <w:pPr>
              <w:pStyle w:val="Tabletextnormal9pt"/>
              <w:numPr>
                <w:ilvl w:val="0"/>
                <w:numId w:val="15"/>
              </w:numPr>
              <w:ind w:left="284" w:hanging="284"/>
              <w:rPr>
                <w:color w:val="auto"/>
              </w:rPr>
            </w:pPr>
            <w:r w:rsidRPr="0091544B">
              <w:rPr>
                <w:color w:val="auto"/>
              </w:rPr>
              <w:t>Implement</w:t>
            </w:r>
            <w:r w:rsidR="0091544B">
              <w:rPr>
                <w:color w:val="auto"/>
              </w:rPr>
              <w:t>ing</w:t>
            </w:r>
            <w:r w:rsidRPr="0091544B">
              <w:rPr>
                <w:color w:val="auto"/>
              </w:rPr>
              <w:t xml:space="preserve"> the </w:t>
            </w:r>
            <w:r w:rsidR="00AD7D75" w:rsidRPr="00A956BF">
              <w:rPr>
                <w:color w:val="auto"/>
              </w:rPr>
              <w:t>Australian National Aged Care Classification</w:t>
            </w:r>
            <w:r w:rsidR="00AD7D75">
              <w:rPr>
                <w:color w:val="auto"/>
              </w:rPr>
              <w:t xml:space="preserve"> (</w:t>
            </w:r>
            <w:r w:rsidRPr="0091544B">
              <w:rPr>
                <w:color w:val="auto"/>
              </w:rPr>
              <w:t>AN-ACC</w:t>
            </w:r>
            <w:r w:rsidR="00AD7D75">
              <w:rPr>
                <w:color w:val="auto"/>
              </w:rPr>
              <w:t>)</w:t>
            </w:r>
            <w:r w:rsidR="00DE7DCB">
              <w:rPr>
                <w:color w:val="auto"/>
              </w:rPr>
              <w:t xml:space="preserve"> on 1 October </w:t>
            </w:r>
            <w:r w:rsidRPr="0091544B">
              <w:rPr>
                <w:color w:val="auto"/>
              </w:rPr>
              <w:t>2022 as the funding model for residential aged care to deliver more transparent and equitable residential aged care funding outcomes.</w:t>
            </w:r>
          </w:p>
          <w:p w14:paraId="00B6CC70" w14:textId="77777777" w:rsidR="005139AA" w:rsidRPr="00041B53" w:rsidRDefault="005139AA" w:rsidP="0091544B">
            <w:pPr>
              <w:pStyle w:val="Tabletextnormal9pt"/>
              <w:numPr>
                <w:ilvl w:val="0"/>
                <w:numId w:val="15"/>
              </w:numPr>
              <w:ind w:left="284" w:hanging="284"/>
              <w:rPr>
                <w:color w:val="auto"/>
              </w:rPr>
            </w:pPr>
            <w:r w:rsidRPr="00041B53">
              <w:rPr>
                <w:color w:val="auto"/>
              </w:rPr>
              <w:t>Continuing implementation of the Specialist Dementia Care Program to assist people experiencing Severe Behavioural and Psychological Symptoms of Dementia.</w:t>
            </w:r>
          </w:p>
          <w:p w14:paraId="7FCDA160" w14:textId="0085150E" w:rsidR="005139AA" w:rsidRPr="00041B53" w:rsidRDefault="005139AA" w:rsidP="0091544B">
            <w:pPr>
              <w:pStyle w:val="Tabletextnormal9pt"/>
              <w:numPr>
                <w:ilvl w:val="0"/>
                <w:numId w:val="15"/>
              </w:numPr>
              <w:ind w:left="284" w:hanging="284"/>
              <w:rPr>
                <w:color w:val="auto"/>
              </w:rPr>
            </w:pPr>
            <w:r w:rsidRPr="00041B53">
              <w:rPr>
                <w:color w:val="auto"/>
              </w:rPr>
              <w:t>Supporting development of innovative technologies to pilot stage to improve care for people living with dementia.</w:t>
            </w:r>
          </w:p>
          <w:p w14:paraId="23426B85" w14:textId="77777777" w:rsidR="007E797C" w:rsidRPr="00041B53" w:rsidRDefault="007E797C" w:rsidP="007E797C">
            <w:pPr>
              <w:pStyle w:val="Tabletextnormal9pt"/>
              <w:numPr>
                <w:ilvl w:val="0"/>
                <w:numId w:val="15"/>
              </w:numPr>
              <w:ind w:left="284" w:hanging="284"/>
              <w:rPr>
                <w:color w:val="auto"/>
              </w:rPr>
            </w:pPr>
            <w:r w:rsidRPr="00041B53">
              <w:rPr>
                <w:color w:val="auto"/>
              </w:rPr>
              <w:t xml:space="preserve">Continuing to support access to restorative care interventions by improving wellbeing for senior Australians through the </w:t>
            </w:r>
            <w:r>
              <w:rPr>
                <w:color w:val="auto"/>
              </w:rPr>
              <w:t>Short-Term Restorative Care (</w:t>
            </w:r>
            <w:r w:rsidRPr="00041B53">
              <w:rPr>
                <w:color w:val="auto"/>
              </w:rPr>
              <w:t>STRC</w:t>
            </w:r>
            <w:r>
              <w:rPr>
                <w:color w:val="auto"/>
              </w:rPr>
              <w:t xml:space="preserve">) </w:t>
            </w:r>
            <w:r w:rsidRPr="00041B53">
              <w:rPr>
                <w:color w:val="auto"/>
              </w:rPr>
              <w:t>P</w:t>
            </w:r>
            <w:r>
              <w:rPr>
                <w:color w:val="auto"/>
              </w:rPr>
              <w:t>rogramme</w:t>
            </w:r>
            <w:r w:rsidRPr="00041B53">
              <w:rPr>
                <w:color w:val="auto"/>
              </w:rPr>
              <w:t xml:space="preserve"> and Transition Care Program</w:t>
            </w:r>
            <w:r>
              <w:rPr>
                <w:color w:val="auto"/>
              </w:rPr>
              <w:t>me</w:t>
            </w:r>
            <w:r w:rsidRPr="00041B53">
              <w:rPr>
                <w:color w:val="auto"/>
              </w:rPr>
              <w:t>.</w:t>
            </w:r>
          </w:p>
          <w:p w14:paraId="4623A176" w14:textId="2B5CD7C3" w:rsidR="007E797C" w:rsidRPr="00041B53" w:rsidRDefault="007E797C" w:rsidP="007E797C">
            <w:pPr>
              <w:pStyle w:val="Tabletextnormal9pt"/>
              <w:numPr>
                <w:ilvl w:val="0"/>
                <w:numId w:val="15"/>
              </w:numPr>
              <w:ind w:left="284" w:hanging="284"/>
              <w:rPr>
                <w:color w:val="auto"/>
              </w:rPr>
            </w:pPr>
            <w:r w:rsidRPr="00041B53">
              <w:rPr>
                <w:color w:val="auto"/>
              </w:rPr>
              <w:t xml:space="preserve">Delivering the new Disability Support for Older Australians </w:t>
            </w:r>
            <w:r>
              <w:rPr>
                <w:color w:val="auto"/>
              </w:rPr>
              <w:t>P</w:t>
            </w:r>
            <w:r w:rsidRPr="00041B53">
              <w:rPr>
                <w:color w:val="auto"/>
              </w:rPr>
              <w:t xml:space="preserve">rogram to deliver a more client centred program for </w:t>
            </w:r>
            <w:r>
              <w:rPr>
                <w:color w:val="auto"/>
              </w:rPr>
              <w:t>senior</w:t>
            </w:r>
            <w:r w:rsidRPr="00041B53">
              <w:rPr>
                <w:color w:val="auto"/>
              </w:rPr>
              <w:t xml:space="preserve"> Australians with</w:t>
            </w:r>
            <w:r>
              <w:rPr>
                <w:color w:val="auto"/>
              </w:rPr>
              <w:t xml:space="preserve"> a</w:t>
            </w:r>
            <w:r w:rsidRPr="00041B53">
              <w:rPr>
                <w:color w:val="auto"/>
              </w:rPr>
              <w:t xml:space="preserve"> </w:t>
            </w:r>
            <w:r>
              <w:rPr>
                <w:color w:val="auto"/>
              </w:rPr>
              <w:t>d</w:t>
            </w:r>
            <w:r w:rsidRPr="00041B53">
              <w:rPr>
                <w:color w:val="auto"/>
              </w:rPr>
              <w:t>isability.</w:t>
            </w:r>
          </w:p>
          <w:p w14:paraId="6E181950" w14:textId="77777777" w:rsidR="005139AA" w:rsidRPr="00041B53" w:rsidRDefault="005139AA" w:rsidP="0091544B">
            <w:pPr>
              <w:pStyle w:val="Tabletextnormal9pt"/>
              <w:numPr>
                <w:ilvl w:val="0"/>
                <w:numId w:val="15"/>
              </w:numPr>
              <w:ind w:left="284" w:hanging="284"/>
              <w:rPr>
                <w:color w:val="auto"/>
              </w:rPr>
            </w:pPr>
            <w:r w:rsidRPr="00041B53">
              <w:rPr>
                <w:color w:val="auto"/>
              </w:rPr>
              <w:t>Providing flexible care options to meet the aged care needs of senior Australians living in regional and remote communities through the Multi-Purpose Services Program.</w:t>
            </w:r>
          </w:p>
          <w:p w14:paraId="46BEFC17" w14:textId="00192569" w:rsidR="00127D69" w:rsidRDefault="005139AA" w:rsidP="0091544B">
            <w:pPr>
              <w:pStyle w:val="Tabletextnormal9pt"/>
              <w:numPr>
                <w:ilvl w:val="0"/>
                <w:numId w:val="15"/>
              </w:numPr>
              <w:ind w:left="284" w:hanging="284"/>
              <w:rPr>
                <w:color w:val="auto"/>
              </w:rPr>
            </w:pPr>
            <w:r w:rsidRPr="00041B53">
              <w:rPr>
                <w:color w:val="auto"/>
              </w:rPr>
              <w:t>Supporting the Indigenous Australians Health Programme, including delivery of culturally appropriate aged care for Aboriginal and Torres Strait Islander people close to home through the ongoing expansion of the National Aboriginal and Torres Strait Islander Flexible Aged Care Program.</w:t>
            </w:r>
          </w:p>
          <w:p w14:paraId="27CC6861" w14:textId="46198D88" w:rsidR="00303250" w:rsidRPr="00A956BF" w:rsidRDefault="00303250" w:rsidP="0091544B">
            <w:pPr>
              <w:pStyle w:val="Tabletextnormal9pt"/>
              <w:numPr>
                <w:ilvl w:val="0"/>
                <w:numId w:val="15"/>
              </w:numPr>
              <w:ind w:left="284" w:hanging="284"/>
              <w:rPr>
                <w:color w:val="auto"/>
              </w:rPr>
            </w:pPr>
            <w:r>
              <w:rPr>
                <w:color w:val="auto"/>
              </w:rPr>
              <w:t xml:space="preserve">Implementation of a capital grants program to support infrastructure projects to </w:t>
            </w:r>
            <w:r w:rsidRPr="00CD0320">
              <w:rPr>
                <w:color w:val="auto"/>
              </w:rPr>
              <w:t>improve access to quality and sustainable aged care services for Indigenous Australians and consumers with special needs, including senior Australians living in regional and remote areas</w:t>
            </w:r>
            <w:r w:rsidR="00013D29">
              <w:rPr>
                <w:color w:val="auto"/>
              </w:rPr>
              <w:t>,</w:t>
            </w:r>
            <w:r w:rsidRPr="00CD0320">
              <w:rPr>
                <w:color w:val="auto"/>
              </w:rPr>
              <w:t xml:space="preserve"> and those</w:t>
            </w:r>
            <w:r w:rsidR="002A650D">
              <w:rPr>
                <w:color w:val="auto"/>
              </w:rPr>
              <w:t xml:space="preserve"> at risk of or</w:t>
            </w:r>
            <w:r w:rsidRPr="00CD0320">
              <w:rPr>
                <w:color w:val="auto"/>
              </w:rPr>
              <w:t xml:space="preserve"> experiencing homelessness.</w:t>
            </w:r>
            <w:r>
              <w:rPr>
                <w:rStyle w:val="FootnoteReference"/>
                <w:color w:val="auto"/>
              </w:rPr>
              <w:footnoteReference w:id="12"/>
            </w:r>
          </w:p>
        </w:tc>
      </w:tr>
    </w:tbl>
    <w:p w14:paraId="429ECB19" w14:textId="77777777" w:rsidR="00041B53" w:rsidRDefault="00041B53">
      <w:r>
        <w:rPr>
          <w:b/>
        </w:rPr>
        <w:br w:type="page"/>
      </w:r>
    </w:p>
    <w:tbl>
      <w:tblPr>
        <w:tblStyle w:val="TableGrid"/>
        <w:tblW w:w="7677" w:type="dxa"/>
        <w:jc w:val="center"/>
        <w:tblLayout w:type="fixed"/>
        <w:tblLook w:val="04A0" w:firstRow="1" w:lastRow="0" w:firstColumn="1" w:lastColumn="0" w:noHBand="0" w:noVBand="1"/>
        <w:tblCaption w:val="Table 2.3.3: Performance measures for Program 3.2 (continued)"/>
        <w:tblDescription w:val="This table includes a performance measure for Program 3.2, with expected performance results for 2021-22, and planned performance results for 2022-23 and the forward estimates"/>
      </w:tblPr>
      <w:tblGrid>
        <w:gridCol w:w="1554"/>
        <w:gridCol w:w="1530"/>
        <w:gridCol w:w="1530"/>
        <w:gridCol w:w="1530"/>
        <w:gridCol w:w="1533"/>
      </w:tblGrid>
      <w:tr w:rsidR="00A956BF" w:rsidRPr="00A956BF" w14:paraId="63B8E868" w14:textId="77777777" w:rsidTr="000A74AA">
        <w:trPr>
          <w:jc w:val="center"/>
        </w:trPr>
        <w:tc>
          <w:tcPr>
            <w:tcW w:w="7677" w:type="dxa"/>
            <w:gridSpan w:val="5"/>
            <w:shd w:val="clear" w:color="auto" w:fill="D9D9D9" w:themeFill="background1" w:themeFillShade="D9"/>
          </w:tcPr>
          <w:p w14:paraId="60E24689" w14:textId="77777777" w:rsidR="00C85B80" w:rsidRPr="00A956BF" w:rsidRDefault="00383A2E" w:rsidP="00394FF0">
            <w:pPr>
              <w:pStyle w:val="Tableheadingrow9pt"/>
              <w:rPr>
                <w:color w:val="auto"/>
              </w:rPr>
            </w:pPr>
            <w:r w:rsidRPr="00A956BF">
              <w:rPr>
                <w:color w:val="auto"/>
              </w:rPr>
              <w:lastRenderedPageBreak/>
              <w:t>Performance Measures</w:t>
            </w:r>
          </w:p>
        </w:tc>
      </w:tr>
      <w:tr w:rsidR="00A956BF" w:rsidRPr="00A956BF" w14:paraId="3C2B3A75" w14:textId="77777777" w:rsidTr="000A74AA">
        <w:trPr>
          <w:jc w:val="center"/>
        </w:trPr>
        <w:tc>
          <w:tcPr>
            <w:tcW w:w="7677" w:type="dxa"/>
            <w:gridSpan w:val="5"/>
            <w:shd w:val="clear" w:color="auto" w:fill="D9D9D9" w:themeFill="background1" w:themeFillShade="D9"/>
          </w:tcPr>
          <w:p w14:paraId="59340832" w14:textId="336390D9" w:rsidR="00101421" w:rsidRPr="005139AA" w:rsidRDefault="00B51BB7" w:rsidP="00101421">
            <w:pPr>
              <w:pStyle w:val="Tableheadingrowmeasures85pt"/>
              <w:keepLines/>
              <w:rPr>
                <w:color w:val="auto"/>
              </w:rPr>
            </w:pPr>
            <w:r w:rsidRPr="00A956BF">
              <w:rPr>
                <w:color w:val="auto"/>
              </w:rPr>
              <w:t>Number of clients that accessed Commonwealth Home Support Programme services</w:t>
            </w:r>
            <w:r w:rsidR="00183F45" w:rsidRPr="00A956BF">
              <w:rPr>
                <w:color w:val="auto"/>
              </w:rPr>
              <w:t>.</w:t>
            </w:r>
          </w:p>
        </w:tc>
      </w:tr>
      <w:tr w:rsidR="00330D1D" w:rsidRPr="00A956BF" w14:paraId="28928CEA" w14:textId="77777777" w:rsidTr="00606B87">
        <w:trPr>
          <w:jc w:val="center"/>
        </w:trPr>
        <w:tc>
          <w:tcPr>
            <w:tcW w:w="1554" w:type="dxa"/>
            <w:shd w:val="clear" w:color="auto" w:fill="auto"/>
          </w:tcPr>
          <w:p w14:paraId="616E819B" w14:textId="5A9E7DBB" w:rsidR="00330D1D" w:rsidRPr="00685583" w:rsidRDefault="00330D1D" w:rsidP="00330D1D">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20F9C">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0" w:type="dxa"/>
            <w:shd w:val="clear" w:color="auto" w:fill="auto"/>
          </w:tcPr>
          <w:p w14:paraId="676EEEBF" w14:textId="52D51FF9"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25CA149E" w14:textId="7310CDEC"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5485B535" w14:textId="54E35179"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28859ADB" w14:textId="5336763E"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5139AA" w:rsidRPr="00A956BF" w14:paraId="0A302561" w14:textId="77777777" w:rsidTr="00001903">
        <w:trPr>
          <w:jc w:val="center"/>
        </w:trPr>
        <w:tc>
          <w:tcPr>
            <w:tcW w:w="1554" w:type="dxa"/>
            <w:shd w:val="clear" w:color="auto" w:fill="auto"/>
          </w:tcPr>
          <w:p w14:paraId="1934C02E" w14:textId="261AE75B" w:rsidR="005139AA" w:rsidRPr="00C85B80" w:rsidRDefault="005139AA" w:rsidP="005139AA">
            <w:pPr>
              <w:pStyle w:val="Tableheadingrow9pt"/>
              <w:rPr>
                <w:b w:val="0"/>
                <w:color w:val="auto"/>
                <w:sz w:val="17"/>
                <w:szCs w:val="17"/>
              </w:rPr>
            </w:pPr>
            <w:r w:rsidRPr="00C85B80">
              <w:rPr>
                <w:b w:val="0"/>
                <w:color w:val="auto"/>
                <w:sz w:val="17"/>
                <w:szCs w:val="17"/>
              </w:rPr>
              <w:t>&gt;840,000</w:t>
            </w:r>
          </w:p>
        </w:tc>
        <w:tc>
          <w:tcPr>
            <w:tcW w:w="1530" w:type="dxa"/>
            <w:vMerge w:val="restart"/>
            <w:shd w:val="clear" w:color="auto" w:fill="auto"/>
          </w:tcPr>
          <w:p w14:paraId="17BD7004" w14:textId="7E09CBF6" w:rsidR="005139AA" w:rsidRPr="00A956BF" w:rsidRDefault="005139AA" w:rsidP="005139AA">
            <w:pPr>
              <w:rPr>
                <w:color w:val="auto"/>
                <w:sz w:val="17"/>
                <w:szCs w:val="17"/>
              </w:rPr>
            </w:pPr>
            <w:r>
              <w:rPr>
                <w:color w:val="auto"/>
                <w:sz w:val="17"/>
                <w:szCs w:val="17"/>
              </w:rPr>
              <w:t>&gt;840,000</w:t>
            </w:r>
          </w:p>
        </w:tc>
        <w:tc>
          <w:tcPr>
            <w:tcW w:w="1530" w:type="dxa"/>
            <w:vMerge w:val="restart"/>
            <w:shd w:val="clear" w:color="auto" w:fill="auto"/>
          </w:tcPr>
          <w:p w14:paraId="597F11FC" w14:textId="4A78CDF7" w:rsidR="00BB01EC" w:rsidRPr="00A956BF" w:rsidRDefault="005139AA" w:rsidP="005139AA">
            <w:pPr>
              <w:rPr>
                <w:color w:val="auto"/>
                <w:sz w:val="17"/>
                <w:szCs w:val="17"/>
              </w:rPr>
            </w:pPr>
            <w:r w:rsidRPr="00A956BF">
              <w:rPr>
                <w:color w:val="auto"/>
                <w:sz w:val="17"/>
                <w:szCs w:val="17"/>
              </w:rPr>
              <w:t>N/A</w:t>
            </w:r>
            <w:r w:rsidR="00BB01EC">
              <w:rPr>
                <w:rStyle w:val="FootnoteReference"/>
                <w:color w:val="auto"/>
                <w:sz w:val="17"/>
                <w:szCs w:val="17"/>
              </w:rPr>
              <w:footnoteReference w:id="13"/>
            </w:r>
          </w:p>
        </w:tc>
        <w:tc>
          <w:tcPr>
            <w:tcW w:w="1530" w:type="dxa"/>
            <w:vMerge w:val="restart"/>
            <w:shd w:val="clear" w:color="auto" w:fill="auto"/>
          </w:tcPr>
          <w:p w14:paraId="7AE1C3CA" w14:textId="57A7225A" w:rsidR="005139AA" w:rsidRPr="00A956BF" w:rsidRDefault="005139AA" w:rsidP="005139AA">
            <w:pPr>
              <w:rPr>
                <w:color w:val="auto"/>
                <w:sz w:val="17"/>
                <w:szCs w:val="17"/>
              </w:rPr>
            </w:pPr>
            <w:r w:rsidRPr="00A956BF">
              <w:rPr>
                <w:color w:val="auto"/>
                <w:sz w:val="17"/>
                <w:szCs w:val="17"/>
              </w:rPr>
              <w:t>N/A</w:t>
            </w:r>
          </w:p>
        </w:tc>
        <w:tc>
          <w:tcPr>
            <w:tcW w:w="1533" w:type="dxa"/>
            <w:vMerge w:val="restart"/>
            <w:shd w:val="clear" w:color="auto" w:fill="auto"/>
          </w:tcPr>
          <w:p w14:paraId="42211504" w14:textId="711DA5B0" w:rsidR="005139AA" w:rsidRPr="00A956BF" w:rsidRDefault="005139AA" w:rsidP="005139AA">
            <w:pPr>
              <w:rPr>
                <w:color w:val="auto"/>
                <w:sz w:val="17"/>
                <w:szCs w:val="17"/>
              </w:rPr>
            </w:pPr>
            <w:r>
              <w:rPr>
                <w:color w:val="auto"/>
                <w:sz w:val="17"/>
                <w:szCs w:val="17"/>
              </w:rPr>
              <w:t>N/A</w:t>
            </w:r>
          </w:p>
        </w:tc>
      </w:tr>
      <w:tr w:rsidR="00A956BF" w:rsidRPr="00A956BF" w14:paraId="2BC066FE" w14:textId="77777777" w:rsidTr="00001903">
        <w:trPr>
          <w:jc w:val="center"/>
        </w:trPr>
        <w:tc>
          <w:tcPr>
            <w:tcW w:w="1554" w:type="dxa"/>
            <w:shd w:val="clear" w:color="auto" w:fill="auto"/>
            <w:vAlign w:val="center"/>
          </w:tcPr>
          <w:p w14:paraId="7416B56E" w14:textId="01B76D89" w:rsidR="007A30EA" w:rsidRPr="00A956BF" w:rsidRDefault="00F20F9C" w:rsidP="007A30EA">
            <w:pPr>
              <w:pStyle w:val="Tableheadingrowmeasures85pt"/>
              <w:rPr>
                <w:color w:val="auto"/>
              </w:rPr>
            </w:pPr>
            <w:r>
              <w:rPr>
                <w:color w:val="auto"/>
              </w:rPr>
              <w:t>2021–</w:t>
            </w:r>
            <w:r w:rsidR="00101421">
              <w:rPr>
                <w:color w:val="auto"/>
              </w:rPr>
              <w:t>22</w:t>
            </w:r>
            <w:r w:rsidR="00101421">
              <w:rPr>
                <w:color w:val="auto"/>
              </w:rPr>
              <w:br/>
              <w:t>Expected Performance Result</w:t>
            </w:r>
          </w:p>
        </w:tc>
        <w:tc>
          <w:tcPr>
            <w:tcW w:w="1530" w:type="dxa"/>
            <w:vMerge/>
            <w:shd w:val="clear" w:color="auto" w:fill="auto"/>
          </w:tcPr>
          <w:p w14:paraId="263B29D5" w14:textId="77777777" w:rsidR="007A30EA" w:rsidRPr="00A956BF" w:rsidRDefault="007A30EA" w:rsidP="007A30EA">
            <w:pPr>
              <w:rPr>
                <w:color w:val="auto"/>
                <w:sz w:val="17"/>
                <w:szCs w:val="17"/>
              </w:rPr>
            </w:pPr>
          </w:p>
        </w:tc>
        <w:tc>
          <w:tcPr>
            <w:tcW w:w="1530" w:type="dxa"/>
            <w:vMerge/>
            <w:shd w:val="clear" w:color="auto" w:fill="auto"/>
          </w:tcPr>
          <w:p w14:paraId="46C0A75F" w14:textId="77777777" w:rsidR="007A30EA" w:rsidRPr="00A956BF" w:rsidRDefault="007A30EA" w:rsidP="007A30EA">
            <w:pPr>
              <w:rPr>
                <w:color w:val="auto"/>
                <w:sz w:val="17"/>
                <w:szCs w:val="17"/>
              </w:rPr>
            </w:pPr>
          </w:p>
        </w:tc>
        <w:tc>
          <w:tcPr>
            <w:tcW w:w="1530" w:type="dxa"/>
            <w:vMerge/>
            <w:shd w:val="clear" w:color="auto" w:fill="auto"/>
          </w:tcPr>
          <w:p w14:paraId="67E1BCEE" w14:textId="77777777" w:rsidR="007A30EA" w:rsidRPr="00A956BF" w:rsidRDefault="007A30EA" w:rsidP="007A30EA">
            <w:pPr>
              <w:rPr>
                <w:color w:val="auto"/>
                <w:sz w:val="17"/>
                <w:szCs w:val="17"/>
              </w:rPr>
            </w:pPr>
          </w:p>
        </w:tc>
        <w:tc>
          <w:tcPr>
            <w:tcW w:w="1533" w:type="dxa"/>
            <w:vMerge/>
            <w:shd w:val="clear" w:color="auto" w:fill="auto"/>
          </w:tcPr>
          <w:p w14:paraId="5A19D2FF" w14:textId="77777777" w:rsidR="007A30EA" w:rsidRPr="00A956BF" w:rsidRDefault="007A30EA" w:rsidP="007A30EA">
            <w:pPr>
              <w:rPr>
                <w:color w:val="auto"/>
                <w:sz w:val="17"/>
                <w:szCs w:val="17"/>
              </w:rPr>
            </w:pPr>
          </w:p>
        </w:tc>
      </w:tr>
      <w:tr w:rsidR="00A956BF" w:rsidRPr="00A956BF" w14:paraId="3F0A57F4" w14:textId="77777777" w:rsidTr="00001903">
        <w:trPr>
          <w:jc w:val="center"/>
        </w:trPr>
        <w:tc>
          <w:tcPr>
            <w:tcW w:w="1554" w:type="dxa"/>
            <w:shd w:val="clear" w:color="auto" w:fill="auto"/>
          </w:tcPr>
          <w:p w14:paraId="0F3BD666" w14:textId="61CAD7DA" w:rsidR="007A30EA" w:rsidRPr="00A956BF" w:rsidRDefault="005139AA" w:rsidP="00722BA4">
            <w:pPr>
              <w:pStyle w:val="Tableheadingrow9pt"/>
              <w:rPr>
                <w:b w:val="0"/>
                <w:color w:val="auto"/>
                <w:sz w:val="17"/>
                <w:szCs w:val="17"/>
              </w:rPr>
            </w:pPr>
            <w:r>
              <w:rPr>
                <w:b w:val="0"/>
                <w:color w:val="auto"/>
                <w:sz w:val="17"/>
                <w:szCs w:val="17"/>
              </w:rPr>
              <w:t>&gt;840,000</w:t>
            </w:r>
          </w:p>
        </w:tc>
        <w:tc>
          <w:tcPr>
            <w:tcW w:w="1530" w:type="dxa"/>
            <w:vMerge/>
            <w:shd w:val="clear" w:color="auto" w:fill="auto"/>
          </w:tcPr>
          <w:p w14:paraId="059CBC68" w14:textId="77777777" w:rsidR="007A30EA" w:rsidRPr="00A956BF" w:rsidRDefault="007A30EA" w:rsidP="007A30EA">
            <w:pPr>
              <w:rPr>
                <w:color w:val="auto"/>
                <w:sz w:val="17"/>
                <w:szCs w:val="17"/>
              </w:rPr>
            </w:pPr>
          </w:p>
        </w:tc>
        <w:tc>
          <w:tcPr>
            <w:tcW w:w="1530" w:type="dxa"/>
            <w:vMerge/>
            <w:shd w:val="clear" w:color="auto" w:fill="auto"/>
          </w:tcPr>
          <w:p w14:paraId="68F4A1D8" w14:textId="77777777" w:rsidR="007A30EA" w:rsidRPr="00A956BF" w:rsidRDefault="007A30EA" w:rsidP="007A30EA">
            <w:pPr>
              <w:rPr>
                <w:color w:val="auto"/>
                <w:sz w:val="17"/>
                <w:szCs w:val="17"/>
              </w:rPr>
            </w:pPr>
          </w:p>
        </w:tc>
        <w:tc>
          <w:tcPr>
            <w:tcW w:w="1530" w:type="dxa"/>
            <w:vMerge/>
            <w:shd w:val="clear" w:color="auto" w:fill="auto"/>
          </w:tcPr>
          <w:p w14:paraId="0BF1C0ED" w14:textId="77777777" w:rsidR="007A30EA" w:rsidRPr="00A956BF" w:rsidRDefault="007A30EA" w:rsidP="007A30EA">
            <w:pPr>
              <w:rPr>
                <w:color w:val="auto"/>
                <w:sz w:val="17"/>
                <w:szCs w:val="17"/>
              </w:rPr>
            </w:pPr>
          </w:p>
        </w:tc>
        <w:tc>
          <w:tcPr>
            <w:tcW w:w="1533" w:type="dxa"/>
            <w:vMerge/>
            <w:shd w:val="clear" w:color="auto" w:fill="auto"/>
          </w:tcPr>
          <w:p w14:paraId="5482F553" w14:textId="77777777" w:rsidR="007A30EA" w:rsidRPr="00A956BF" w:rsidRDefault="007A30EA" w:rsidP="007A30EA">
            <w:pPr>
              <w:rPr>
                <w:color w:val="auto"/>
                <w:sz w:val="17"/>
                <w:szCs w:val="17"/>
              </w:rPr>
            </w:pPr>
          </w:p>
        </w:tc>
      </w:tr>
      <w:tr w:rsidR="00A956BF" w:rsidRPr="00A956BF" w14:paraId="2CB520F8" w14:textId="77777777" w:rsidTr="000A74AA">
        <w:trPr>
          <w:jc w:val="center"/>
        </w:trPr>
        <w:tc>
          <w:tcPr>
            <w:tcW w:w="7677" w:type="dxa"/>
            <w:gridSpan w:val="5"/>
            <w:shd w:val="clear" w:color="auto" w:fill="D9D9D9" w:themeFill="background1" w:themeFillShade="D9"/>
          </w:tcPr>
          <w:p w14:paraId="655944E6" w14:textId="1A130D60" w:rsidR="00101421" w:rsidRPr="00B41FEF" w:rsidRDefault="007A30EA" w:rsidP="00101421">
            <w:pPr>
              <w:pStyle w:val="Tableheadingrowmeasures85pt"/>
              <w:keepLines/>
              <w:rPr>
                <w:color w:val="auto"/>
              </w:rPr>
            </w:pPr>
            <w:r w:rsidRPr="00A956BF">
              <w:rPr>
                <w:color w:val="auto"/>
              </w:rPr>
              <w:t>Number of allocated Home Care Packages</w:t>
            </w:r>
            <w:r w:rsidR="00183F45" w:rsidRPr="00A956BF">
              <w:rPr>
                <w:color w:val="auto"/>
              </w:rPr>
              <w:t>.</w:t>
            </w:r>
          </w:p>
        </w:tc>
      </w:tr>
      <w:tr w:rsidR="00330D1D" w:rsidRPr="00A956BF" w14:paraId="552FD7F3" w14:textId="77777777" w:rsidTr="00606B87">
        <w:trPr>
          <w:jc w:val="center"/>
        </w:trPr>
        <w:tc>
          <w:tcPr>
            <w:tcW w:w="1554" w:type="dxa"/>
            <w:shd w:val="clear" w:color="auto" w:fill="auto"/>
          </w:tcPr>
          <w:p w14:paraId="3BBE95C6" w14:textId="1A134BA8" w:rsidR="00330D1D" w:rsidRPr="00685583" w:rsidRDefault="00330D1D" w:rsidP="00330D1D">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20F9C">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0" w:type="dxa"/>
            <w:shd w:val="clear" w:color="auto" w:fill="auto"/>
          </w:tcPr>
          <w:p w14:paraId="198491F1" w14:textId="3206BA3B"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0DDF8932" w14:textId="7F5E3E90"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539EF0F2" w14:textId="5C5C73F1"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138E4D15" w14:textId="07965D4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B41FEF" w:rsidRPr="00A956BF" w14:paraId="048E08EF" w14:textId="77777777" w:rsidTr="00001903">
        <w:trPr>
          <w:jc w:val="center"/>
        </w:trPr>
        <w:tc>
          <w:tcPr>
            <w:tcW w:w="1554" w:type="dxa"/>
            <w:shd w:val="clear" w:color="auto" w:fill="auto"/>
          </w:tcPr>
          <w:p w14:paraId="277C5D65" w14:textId="2BEDE8FB" w:rsidR="00B41FEF" w:rsidRPr="00A956BF" w:rsidRDefault="003D5525" w:rsidP="00B41FEF">
            <w:pPr>
              <w:rPr>
                <w:color w:val="auto"/>
                <w:sz w:val="17"/>
                <w:szCs w:val="17"/>
              </w:rPr>
            </w:pPr>
            <w:r>
              <w:rPr>
                <w:color w:val="auto"/>
                <w:sz w:val="17"/>
                <w:szCs w:val="17"/>
              </w:rPr>
              <w:t>235,600</w:t>
            </w:r>
            <w:r>
              <w:rPr>
                <w:rStyle w:val="FootnoteReference"/>
                <w:color w:val="auto"/>
                <w:sz w:val="17"/>
                <w:szCs w:val="17"/>
              </w:rPr>
              <w:footnoteReference w:id="14"/>
            </w:r>
          </w:p>
        </w:tc>
        <w:tc>
          <w:tcPr>
            <w:tcW w:w="1530" w:type="dxa"/>
            <w:vMerge w:val="restart"/>
            <w:shd w:val="clear" w:color="auto" w:fill="auto"/>
          </w:tcPr>
          <w:p w14:paraId="6917B68B" w14:textId="77777777" w:rsidR="00B41FEF" w:rsidRPr="00A77A0E" w:rsidRDefault="00B41FEF" w:rsidP="00B41FEF">
            <w:pPr>
              <w:rPr>
                <w:color w:val="auto"/>
                <w:sz w:val="17"/>
                <w:szCs w:val="17"/>
              </w:rPr>
            </w:pPr>
            <w:r w:rsidRPr="00A77A0E">
              <w:rPr>
                <w:noProof/>
                <w:sz w:val="17"/>
                <w:szCs w:val="17"/>
              </w:rPr>
              <w:t>275,600</w:t>
            </w:r>
          </w:p>
        </w:tc>
        <w:tc>
          <w:tcPr>
            <w:tcW w:w="1530" w:type="dxa"/>
            <w:vMerge w:val="restart"/>
            <w:shd w:val="clear" w:color="auto" w:fill="auto"/>
          </w:tcPr>
          <w:p w14:paraId="4DC2DDF1" w14:textId="36A9159B" w:rsidR="00B41FEF" w:rsidRPr="00A77A0E" w:rsidRDefault="00852F52" w:rsidP="00B41FEF">
            <w:pPr>
              <w:rPr>
                <w:color w:val="auto"/>
                <w:sz w:val="17"/>
                <w:szCs w:val="17"/>
              </w:rPr>
            </w:pPr>
            <w:r>
              <w:rPr>
                <w:noProof/>
                <w:sz w:val="17"/>
                <w:szCs w:val="17"/>
              </w:rPr>
              <w:t>N/A</w:t>
            </w:r>
            <w:r>
              <w:rPr>
                <w:rStyle w:val="FootnoteReference"/>
                <w:noProof/>
                <w:sz w:val="17"/>
                <w:szCs w:val="17"/>
              </w:rPr>
              <w:footnoteReference w:id="15"/>
            </w:r>
          </w:p>
        </w:tc>
        <w:tc>
          <w:tcPr>
            <w:tcW w:w="1530" w:type="dxa"/>
            <w:vMerge w:val="restart"/>
            <w:shd w:val="clear" w:color="auto" w:fill="auto"/>
          </w:tcPr>
          <w:p w14:paraId="47C95286" w14:textId="7CE6B41F" w:rsidR="00B41FEF" w:rsidRPr="00A77A0E" w:rsidRDefault="00852F52" w:rsidP="00B41FEF">
            <w:pPr>
              <w:rPr>
                <w:color w:val="auto"/>
                <w:sz w:val="17"/>
                <w:szCs w:val="17"/>
              </w:rPr>
            </w:pPr>
            <w:r>
              <w:rPr>
                <w:noProof/>
                <w:sz w:val="17"/>
                <w:szCs w:val="17"/>
              </w:rPr>
              <w:t>N/A</w:t>
            </w:r>
          </w:p>
        </w:tc>
        <w:tc>
          <w:tcPr>
            <w:tcW w:w="1533" w:type="dxa"/>
            <w:vMerge w:val="restart"/>
            <w:shd w:val="clear" w:color="auto" w:fill="auto"/>
          </w:tcPr>
          <w:p w14:paraId="116FAEB5" w14:textId="78FA1E16" w:rsidR="0076226A" w:rsidRPr="00A956BF" w:rsidRDefault="00852F52" w:rsidP="00B41FEF">
            <w:pPr>
              <w:rPr>
                <w:color w:val="auto"/>
                <w:sz w:val="17"/>
                <w:szCs w:val="17"/>
              </w:rPr>
            </w:pPr>
            <w:r>
              <w:rPr>
                <w:color w:val="auto"/>
                <w:sz w:val="17"/>
                <w:szCs w:val="17"/>
              </w:rPr>
              <w:t>N/A</w:t>
            </w:r>
          </w:p>
        </w:tc>
      </w:tr>
      <w:tr w:rsidR="00A956BF" w:rsidRPr="00A956BF" w14:paraId="6885DE63" w14:textId="77777777" w:rsidTr="00001903">
        <w:trPr>
          <w:jc w:val="center"/>
        </w:trPr>
        <w:tc>
          <w:tcPr>
            <w:tcW w:w="1554" w:type="dxa"/>
            <w:shd w:val="clear" w:color="auto" w:fill="auto"/>
            <w:vAlign w:val="center"/>
          </w:tcPr>
          <w:p w14:paraId="57F96E9F" w14:textId="6C8750A9" w:rsidR="00CF06B8" w:rsidRPr="00A956BF" w:rsidRDefault="00F20F9C" w:rsidP="00CF06B8">
            <w:pPr>
              <w:pStyle w:val="Tableheadingrowmeasures85pt"/>
              <w:rPr>
                <w:color w:val="auto"/>
              </w:rPr>
            </w:pPr>
            <w:r>
              <w:rPr>
                <w:color w:val="auto"/>
              </w:rPr>
              <w:t>2021–</w:t>
            </w:r>
            <w:r w:rsidR="00101421">
              <w:rPr>
                <w:color w:val="auto"/>
              </w:rPr>
              <w:t>22</w:t>
            </w:r>
            <w:r w:rsidR="00101421">
              <w:rPr>
                <w:color w:val="auto"/>
              </w:rPr>
              <w:br/>
              <w:t>Expected Performance Result</w:t>
            </w:r>
          </w:p>
        </w:tc>
        <w:tc>
          <w:tcPr>
            <w:tcW w:w="1530" w:type="dxa"/>
            <w:vMerge/>
            <w:shd w:val="clear" w:color="auto" w:fill="auto"/>
          </w:tcPr>
          <w:p w14:paraId="1715B3A3" w14:textId="77777777" w:rsidR="00CF06B8" w:rsidRPr="00A956BF" w:rsidRDefault="00CF06B8" w:rsidP="00CF06B8">
            <w:pPr>
              <w:rPr>
                <w:color w:val="auto"/>
                <w:sz w:val="17"/>
                <w:szCs w:val="17"/>
              </w:rPr>
            </w:pPr>
          </w:p>
        </w:tc>
        <w:tc>
          <w:tcPr>
            <w:tcW w:w="1530" w:type="dxa"/>
            <w:vMerge/>
            <w:shd w:val="clear" w:color="auto" w:fill="auto"/>
          </w:tcPr>
          <w:p w14:paraId="369940F1" w14:textId="77777777" w:rsidR="00CF06B8" w:rsidRPr="00A956BF" w:rsidRDefault="00CF06B8" w:rsidP="00CF06B8">
            <w:pPr>
              <w:rPr>
                <w:color w:val="auto"/>
                <w:sz w:val="17"/>
                <w:szCs w:val="17"/>
              </w:rPr>
            </w:pPr>
          </w:p>
        </w:tc>
        <w:tc>
          <w:tcPr>
            <w:tcW w:w="1530" w:type="dxa"/>
            <w:vMerge/>
            <w:shd w:val="clear" w:color="auto" w:fill="auto"/>
          </w:tcPr>
          <w:p w14:paraId="305D3764" w14:textId="77777777" w:rsidR="00CF06B8" w:rsidRPr="00A956BF" w:rsidRDefault="00CF06B8" w:rsidP="00CF06B8">
            <w:pPr>
              <w:rPr>
                <w:color w:val="auto"/>
                <w:sz w:val="17"/>
                <w:szCs w:val="17"/>
              </w:rPr>
            </w:pPr>
          </w:p>
        </w:tc>
        <w:tc>
          <w:tcPr>
            <w:tcW w:w="1533" w:type="dxa"/>
            <w:vMerge/>
            <w:shd w:val="clear" w:color="auto" w:fill="auto"/>
          </w:tcPr>
          <w:p w14:paraId="0322C901" w14:textId="77777777" w:rsidR="00CF06B8" w:rsidRPr="00A956BF" w:rsidRDefault="00CF06B8" w:rsidP="00CF06B8">
            <w:pPr>
              <w:rPr>
                <w:color w:val="auto"/>
                <w:sz w:val="17"/>
                <w:szCs w:val="17"/>
              </w:rPr>
            </w:pPr>
          </w:p>
        </w:tc>
      </w:tr>
      <w:tr w:rsidR="00A956BF" w:rsidRPr="00A956BF" w14:paraId="56A5E100" w14:textId="77777777" w:rsidTr="00001903">
        <w:trPr>
          <w:jc w:val="center"/>
        </w:trPr>
        <w:tc>
          <w:tcPr>
            <w:tcW w:w="1554" w:type="dxa"/>
            <w:shd w:val="clear" w:color="auto" w:fill="auto"/>
          </w:tcPr>
          <w:p w14:paraId="72B1708E" w14:textId="33005028" w:rsidR="00CF06B8" w:rsidRPr="00A956BF" w:rsidRDefault="00B41FEF" w:rsidP="00722BA4">
            <w:pPr>
              <w:rPr>
                <w:color w:val="auto"/>
                <w:sz w:val="17"/>
                <w:szCs w:val="17"/>
              </w:rPr>
            </w:pPr>
            <w:r>
              <w:rPr>
                <w:color w:val="auto"/>
                <w:sz w:val="17"/>
                <w:szCs w:val="17"/>
              </w:rPr>
              <w:t>235,600</w:t>
            </w:r>
          </w:p>
        </w:tc>
        <w:tc>
          <w:tcPr>
            <w:tcW w:w="1530" w:type="dxa"/>
            <w:vMerge/>
            <w:shd w:val="clear" w:color="auto" w:fill="auto"/>
          </w:tcPr>
          <w:p w14:paraId="1C37DA58" w14:textId="77777777" w:rsidR="00CF06B8" w:rsidRPr="00A956BF" w:rsidRDefault="00CF06B8" w:rsidP="00CF06B8">
            <w:pPr>
              <w:rPr>
                <w:color w:val="auto"/>
                <w:sz w:val="17"/>
                <w:szCs w:val="17"/>
              </w:rPr>
            </w:pPr>
          </w:p>
        </w:tc>
        <w:tc>
          <w:tcPr>
            <w:tcW w:w="1530" w:type="dxa"/>
            <w:vMerge/>
            <w:shd w:val="clear" w:color="auto" w:fill="auto"/>
          </w:tcPr>
          <w:p w14:paraId="25C02508" w14:textId="77777777" w:rsidR="00CF06B8" w:rsidRPr="00A956BF" w:rsidRDefault="00CF06B8" w:rsidP="00CF06B8">
            <w:pPr>
              <w:rPr>
                <w:color w:val="auto"/>
                <w:sz w:val="17"/>
                <w:szCs w:val="17"/>
              </w:rPr>
            </w:pPr>
          </w:p>
        </w:tc>
        <w:tc>
          <w:tcPr>
            <w:tcW w:w="1530" w:type="dxa"/>
            <w:vMerge/>
            <w:shd w:val="clear" w:color="auto" w:fill="auto"/>
          </w:tcPr>
          <w:p w14:paraId="57596D2F" w14:textId="77777777" w:rsidR="00CF06B8" w:rsidRPr="00A956BF" w:rsidRDefault="00CF06B8" w:rsidP="00CF06B8">
            <w:pPr>
              <w:rPr>
                <w:color w:val="auto"/>
                <w:sz w:val="17"/>
                <w:szCs w:val="17"/>
              </w:rPr>
            </w:pPr>
          </w:p>
        </w:tc>
        <w:tc>
          <w:tcPr>
            <w:tcW w:w="1533" w:type="dxa"/>
            <w:vMerge/>
            <w:shd w:val="clear" w:color="auto" w:fill="auto"/>
          </w:tcPr>
          <w:p w14:paraId="1CBE96A4" w14:textId="77777777" w:rsidR="00CF06B8" w:rsidRPr="00A956BF" w:rsidRDefault="00CF06B8" w:rsidP="00CF06B8">
            <w:pPr>
              <w:rPr>
                <w:color w:val="auto"/>
                <w:sz w:val="17"/>
                <w:szCs w:val="17"/>
              </w:rPr>
            </w:pPr>
          </w:p>
        </w:tc>
      </w:tr>
      <w:tr w:rsidR="00A956BF" w:rsidRPr="00A956BF" w14:paraId="2FA0A03A" w14:textId="77777777" w:rsidTr="000A74AA">
        <w:trPr>
          <w:jc w:val="center"/>
        </w:trPr>
        <w:tc>
          <w:tcPr>
            <w:tcW w:w="7677" w:type="dxa"/>
            <w:gridSpan w:val="5"/>
            <w:shd w:val="clear" w:color="auto" w:fill="D9D9D9" w:themeFill="background1" w:themeFillShade="D9"/>
          </w:tcPr>
          <w:p w14:paraId="4C0D2711" w14:textId="3AF15032" w:rsidR="00101421" w:rsidRPr="00A956BF" w:rsidRDefault="00CF06B8" w:rsidP="00101421">
            <w:pPr>
              <w:pStyle w:val="Tableheadingrowmeasures85pt"/>
              <w:keepLines/>
              <w:rPr>
                <w:color w:val="auto"/>
              </w:rPr>
            </w:pPr>
            <w:r w:rsidRPr="00A956BF">
              <w:rPr>
                <w:color w:val="auto"/>
              </w:rPr>
              <w:t>Residential aged care places available as at 30 June.</w:t>
            </w:r>
          </w:p>
        </w:tc>
      </w:tr>
      <w:tr w:rsidR="00330D1D" w:rsidRPr="00A956BF" w14:paraId="57233AE1" w14:textId="77777777" w:rsidTr="00606B87">
        <w:trPr>
          <w:jc w:val="center"/>
        </w:trPr>
        <w:tc>
          <w:tcPr>
            <w:tcW w:w="1554" w:type="dxa"/>
            <w:shd w:val="clear" w:color="auto" w:fill="auto"/>
          </w:tcPr>
          <w:p w14:paraId="402F9DDF" w14:textId="105FD39B" w:rsidR="00330D1D" w:rsidRPr="00685583" w:rsidRDefault="00330D1D" w:rsidP="00330D1D">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20F9C">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30" w:type="dxa"/>
            <w:shd w:val="clear" w:color="auto" w:fill="auto"/>
          </w:tcPr>
          <w:p w14:paraId="7DC854D1" w14:textId="7260EC1D"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096AC9D8" w14:textId="53A59920"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60CE16F1" w14:textId="7F6DDB49"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3" w:type="dxa"/>
            <w:shd w:val="clear" w:color="auto" w:fill="auto"/>
          </w:tcPr>
          <w:p w14:paraId="5D531396" w14:textId="5698632F"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956BF" w:rsidRPr="00A956BF" w14:paraId="7E71B2D2" w14:textId="77777777" w:rsidTr="00001903">
        <w:trPr>
          <w:trHeight w:val="96"/>
          <w:jc w:val="center"/>
        </w:trPr>
        <w:tc>
          <w:tcPr>
            <w:tcW w:w="1554" w:type="dxa"/>
            <w:shd w:val="clear" w:color="auto" w:fill="auto"/>
          </w:tcPr>
          <w:p w14:paraId="7D96BE53" w14:textId="7BBD0BA8" w:rsidR="00303250" w:rsidRPr="00A956BF" w:rsidRDefault="0083268E" w:rsidP="00CF06B8">
            <w:pPr>
              <w:rPr>
                <w:color w:val="auto"/>
                <w:sz w:val="17"/>
                <w:szCs w:val="17"/>
              </w:rPr>
            </w:pPr>
            <w:r w:rsidRPr="00A956BF">
              <w:rPr>
                <w:color w:val="auto"/>
                <w:sz w:val="17"/>
                <w:szCs w:val="17"/>
              </w:rPr>
              <w:t>230,000</w:t>
            </w:r>
          </w:p>
        </w:tc>
        <w:tc>
          <w:tcPr>
            <w:tcW w:w="1530" w:type="dxa"/>
            <w:vMerge w:val="restart"/>
            <w:shd w:val="clear" w:color="auto" w:fill="auto"/>
          </w:tcPr>
          <w:p w14:paraId="1B106845" w14:textId="47E23B82" w:rsidR="007651D7" w:rsidRPr="00A956BF" w:rsidRDefault="00303250" w:rsidP="00CF06B8">
            <w:pPr>
              <w:rPr>
                <w:color w:val="auto"/>
                <w:sz w:val="17"/>
                <w:szCs w:val="17"/>
              </w:rPr>
            </w:pPr>
            <w:r>
              <w:rPr>
                <w:color w:val="auto"/>
                <w:sz w:val="17"/>
                <w:szCs w:val="17"/>
              </w:rPr>
              <w:t>230</w:t>
            </w:r>
            <w:r w:rsidR="0083268E" w:rsidRPr="00A956BF">
              <w:rPr>
                <w:color w:val="auto"/>
                <w:sz w:val="17"/>
                <w:szCs w:val="17"/>
              </w:rPr>
              <w:t>,000</w:t>
            </w:r>
          </w:p>
        </w:tc>
        <w:tc>
          <w:tcPr>
            <w:tcW w:w="1530" w:type="dxa"/>
            <w:vMerge w:val="restart"/>
            <w:shd w:val="clear" w:color="auto" w:fill="auto"/>
          </w:tcPr>
          <w:p w14:paraId="5F7CEB1E" w14:textId="338A7661" w:rsidR="007651D7" w:rsidRPr="00A956BF" w:rsidRDefault="00303250" w:rsidP="00CF06B8">
            <w:pPr>
              <w:rPr>
                <w:color w:val="auto"/>
                <w:sz w:val="17"/>
                <w:szCs w:val="17"/>
              </w:rPr>
            </w:pPr>
            <w:r>
              <w:rPr>
                <w:color w:val="auto"/>
                <w:sz w:val="17"/>
                <w:szCs w:val="17"/>
              </w:rPr>
              <w:t>235</w:t>
            </w:r>
            <w:r w:rsidR="0083268E" w:rsidRPr="00A956BF">
              <w:rPr>
                <w:color w:val="auto"/>
                <w:sz w:val="17"/>
                <w:szCs w:val="17"/>
              </w:rPr>
              <w:t>,000</w:t>
            </w:r>
          </w:p>
        </w:tc>
        <w:tc>
          <w:tcPr>
            <w:tcW w:w="1530" w:type="dxa"/>
            <w:vMerge w:val="restart"/>
            <w:shd w:val="clear" w:color="auto" w:fill="auto"/>
          </w:tcPr>
          <w:p w14:paraId="5654C5BF" w14:textId="5FBCE0FE" w:rsidR="007651D7" w:rsidRPr="00A956BF" w:rsidRDefault="000E2E62" w:rsidP="00CF06B8">
            <w:pPr>
              <w:rPr>
                <w:color w:val="auto"/>
                <w:sz w:val="17"/>
                <w:szCs w:val="17"/>
              </w:rPr>
            </w:pPr>
            <w:r>
              <w:rPr>
                <w:color w:val="auto"/>
                <w:sz w:val="17"/>
                <w:szCs w:val="17"/>
              </w:rPr>
              <w:t>N/A</w:t>
            </w:r>
            <w:r>
              <w:rPr>
                <w:rStyle w:val="FootnoteReference"/>
                <w:color w:val="auto"/>
                <w:sz w:val="17"/>
                <w:szCs w:val="17"/>
              </w:rPr>
              <w:footnoteReference w:id="16"/>
            </w:r>
          </w:p>
        </w:tc>
        <w:tc>
          <w:tcPr>
            <w:tcW w:w="1533" w:type="dxa"/>
            <w:vMerge w:val="restart"/>
            <w:shd w:val="clear" w:color="auto" w:fill="auto"/>
          </w:tcPr>
          <w:p w14:paraId="0D332727" w14:textId="6C1064C9" w:rsidR="007651D7" w:rsidRPr="00A956BF" w:rsidRDefault="000E2E62" w:rsidP="00CF06B8">
            <w:pPr>
              <w:rPr>
                <w:color w:val="auto"/>
                <w:sz w:val="17"/>
                <w:szCs w:val="17"/>
              </w:rPr>
            </w:pPr>
            <w:r>
              <w:rPr>
                <w:color w:val="auto"/>
                <w:sz w:val="17"/>
                <w:szCs w:val="17"/>
              </w:rPr>
              <w:t>N/A</w:t>
            </w:r>
          </w:p>
        </w:tc>
      </w:tr>
      <w:tr w:rsidR="00A956BF" w:rsidRPr="00A956BF" w14:paraId="4DD7CE0E" w14:textId="77777777" w:rsidTr="00001903">
        <w:trPr>
          <w:trHeight w:val="96"/>
          <w:jc w:val="center"/>
        </w:trPr>
        <w:tc>
          <w:tcPr>
            <w:tcW w:w="1554" w:type="dxa"/>
            <w:shd w:val="clear" w:color="auto" w:fill="auto"/>
            <w:vAlign w:val="center"/>
          </w:tcPr>
          <w:p w14:paraId="6AE61035" w14:textId="76A01DD7" w:rsidR="007651D7" w:rsidRPr="00A956BF" w:rsidRDefault="00F20F9C" w:rsidP="007651D7">
            <w:pPr>
              <w:pStyle w:val="Tableheadingrowmeasures85pt"/>
              <w:rPr>
                <w:color w:val="auto"/>
              </w:rPr>
            </w:pPr>
            <w:r>
              <w:rPr>
                <w:color w:val="auto"/>
              </w:rPr>
              <w:t>2021–</w:t>
            </w:r>
            <w:r w:rsidR="00101421">
              <w:rPr>
                <w:color w:val="auto"/>
              </w:rPr>
              <w:t>22</w:t>
            </w:r>
            <w:r w:rsidR="00101421">
              <w:rPr>
                <w:color w:val="auto"/>
              </w:rPr>
              <w:br/>
              <w:t>Expected Performance Result</w:t>
            </w:r>
          </w:p>
        </w:tc>
        <w:tc>
          <w:tcPr>
            <w:tcW w:w="1530" w:type="dxa"/>
            <w:vMerge/>
            <w:shd w:val="clear" w:color="auto" w:fill="auto"/>
          </w:tcPr>
          <w:p w14:paraId="1708AD14" w14:textId="77777777" w:rsidR="007651D7" w:rsidRPr="00A956BF" w:rsidRDefault="007651D7" w:rsidP="007651D7">
            <w:pPr>
              <w:rPr>
                <w:color w:val="auto"/>
                <w:sz w:val="17"/>
                <w:szCs w:val="17"/>
              </w:rPr>
            </w:pPr>
          </w:p>
        </w:tc>
        <w:tc>
          <w:tcPr>
            <w:tcW w:w="1530" w:type="dxa"/>
            <w:vMerge/>
            <w:shd w:val="clear" w:color="auto" w:fill="auto"/>
          </w:tcPr>
          <w:p w14:paraId="42E49A6D" w14:textId="77777777" w:rsidR="007651D7" w:rsidRPr="00A956BF" w:rsidRDefault="007651D7" w:rsidP="007651D7">
            <w:pPr>
              <w:rPr>
                <w:color w:val="auto"/>
                <w:sz w:val="17"/>
                <w:szCs w:val="17"/>
              </w:rPr>
            </w:pPr>
          </w:p>
        </w:tc>
        <w:tc>
          <w:tcPr>
            <w:tcW w:w="1530" w:type="dxa"/>
            <w:vMerge/>
            <w:shd w:val="clear" w:color="auto" w:fill="auto"/>
          </w:tcPr>
          <w:p w14:paraId="57053059" w14:textId="77777777" w:rsidR="007651D7" w:rsidRPr="00A956BF" w:rsidRDefault="007651D7" w:rsidP="007651D7">
            <w:pPr>
              <w:rPr>
                <w:color w:val="auto"/>
                <w:sz w:val="17"/>
                <w:szCs w:val="17"/>
              </w:rPr>
            </w:pPr>
          </w:p>
        </w:tc>
        <w:tc>
          <w:tcPr>
            <w:tcW w:w="1533" w:type="dxa"/>
            <w:vMerge/>
            <w:shd w:val="clear" w:color="auto" w:fill="auto"/>
          </w:tcPr>
          <w:p w14:paraId="7D1C9D9F" w14:textId="77777777" w:rsidR="007651D7" w:rsidRPr="00A956BF" w:rsidRDefault="007651D7" w:rsidP="007651D7">
            <w:pPr>
              <w:rPr>
                <w:color w:val="auto"/>
                <w:sz w:val="17"/>
                <w:szCs w:val="17"/>
              </w:rPr>
            </w:pPr>
          </w:p>
        </w:tc>
      </w:tr>
      <w:tr w:rsidR="00A956BF" w:rsidRPr="00A956BF" w14:paraId="233A8E0A" w14:textId="77777777" w:rsidTr="00001903">
        <w:trPr>
          <w:trHeight w:val="96"/>
          <w:jc w:val="center"/>
        </w:trPr>
        <w:tc>
          <w:tcPr>
            <w:tcW w:w="1554" w:type="dxa"/>
            <w:shd w:val="clear" w:color="auto" w:fill="auto"/>
          </w:tcPr>
          <w:p w14:paraId="6B08BB23" w14:textId="37929673" w:rsidR="007651D7" w:rsidRPr="00A956BF" w:rsidRDefault="00303250" w:rsidP="007651D7">
            <w:pPr>
              <w:rPr>
                <w:color w:val="auto"/>
                <w:sz w:val="17"/>
                <w:szCs w:val="17"/>
              </w:rPr>
            </w:pPr>
            <w:r w:rsidRPr="00303250">
              <w:rPr>
                <w:color w:val="auto"/>
                <w:sz w:val="17"/>
                <w:szCs w:val="17"/>
              </w:rPr>
              <w:t>225,000</w:t>
            </w:r>
          </w:p>
        </w:tc>
        <w:tc>
          <w:tcPr>
            <w:tcW w:w="1530" w:type="dxa"/>
            <w:vMerge/>
            <w:shd w:val="clear" w:color="auto" w:fill="auto"/>
          </w:tcPr>
          <w:p w14:paraId="49001591" w14:textId="77777777" w:rsidR="007651D7" w:rsidRPr="00A956BF" w:rsidRDefault="007651D7" w:rsidP="007651D7">
            <w:pPr>
              <w:rPr>
                <w:color w:val="auto"/>
                <w:sz w:val="17"/>
                <w:szCs w:val="17"/>
              </w:rPr>
            </w:pPr>
          </w:p>
        </w:tc>
        <w:tc>
          <w:tcPr>
            <w:tcW w:w="1530" w:type="dxa"/>
            <w:vMerge/>
            <w:shd w:val="clear" w:color="auto" w:fill="auto"/>
          </w:tcPr>
          <w:p w14:paraId="23482C3A" w14:textId="77777777" w:rsidR="007651D7" w:rsidRPr="00A956BF" w:rsidRDefault="007651D7" w:rsidP="007651D7">
            <w:pPr>
              <w:rPr>
                <w:color w:val="auto"/>
                <w:sz w:val="17"/>
                <w:szCs w:val="17"/>
              </w:rPr>
            </w:pPr>
          </w:p>
        </w:tc>
        <w:tc>
          <w:tcPr>
            <w:tcW w:w="1530" w:type="dxa"/>
            <w:vMerge/>
            <w:shd w:val="clear" w:color="auto" w:fill="auto"/>
          </w:tcPr>
          <w:p w14:paraId="22D56AAA" w14:textId="77777777" w:rsidR="007651D7" w:rsidRPr="00A956BF" w:rsidRDefault="007651D7" w:rsidP="007651D7">
            <w:pPr>
              <w:rPr>
                <w:color w:val="auto"/>
                <w:sz w:val="17"/>
                <w:szCs w:val="17"/>
              </w:rPr>
            </w:pPr>
          </w:p>
        </w:tc>
        <w:tc>
          <w:tcPr>
            <w:tcW w:w="1533" w:type="dxa"/>
            <w:vMerge/>
            <w:shd w:val="clear" w:color="auto" w:fill="auto"/>
          </w:tcPr>
          <w:p w14:paraId="7069BB12" w14:textId="77777777" w:rsidR="007651D7" w:rsidRPr="00A956BF" w:rsidRDefault="007651D7" w:rsidP="007651D7">
            <w:pPr>
              <w:rPr>
                <w:color w:val="auto"/>
                <w:sz w:val="17"/>
                <w:szCs w:val="17"/>
              </w:rPr>
            </w:pPr>
          </w:p>
        </w:tc>
      </w:tr>
      <w:tr w:rsidR="00A956BF" w:rsidRPr="00A956BF" w14:paraId="55807D82" w14:textId="77777777" w:rsidTr="00606B87">
        <w:trPr>
          <w:jc w:val="center"/>
        </w:trPr>
        <w:tc>
          <w:tcPr>
            <w:tcW w:w="7677" w:type="dxa"/>
            <w:gridSpan w:val="5"/>
            <w:shd w:val="clear" w:color="auto" w:fill="auto"/>
          </w:tcPr>
          <w:p w14:paraId="1867C9B6" w14:textId="77777777" w:rsidR="00001903" w:rsidRPr="00A956BF" w:rsidRDefault="00001903" w:rsidP="00606B87">
            <w:pPr>
              <w:pStyle w:val="Tableheadingrow9pt"/>
              <w:rPr>
                <w:color w:val="auto"/>
              </w:rPr>
            </w:pPr>
            <w:r w:rsidRPr="00A956BF">
              <w:rPr>
                <w:color w:val="auto"/>
              </w:rPr>
              <w:t>Material changes to Program 3.2 resulting from the following measures:</w:t>
            </w:r>
          </w:p>
          <w:p w14:paraId="11C88AC6" w14:textId="77992318" w:rsidR="00001903" w:rsidRPr="00474AAF" w:rsidRDefault="0083268E" w:rsidP="00474AAF">
            <w:pPr>
              <w:pStyle w:val="Tableheadingrow9pt"/>
              <w:rPr>
                <w:b w:val="0"/>
                <w:bCs/>
                <w:i/>
                <w:color w:val="auto"/>
              </w:rPr>
            </w:pPr>
            <w:r w:rsidRPr="00474AAF">
              <w:rPr>
                <w:b w:val="0"/>
                <w:sz w:val="17"/>
                <w:szCs w:val="17"/>
              </w:rPr>
              <w:t>There are no material changes to Program 3.2 resulting from measures.</w:t>
            </w:r>
          </w:p>
        </w:tc>
      </w:tr>
    </w:tbl>
    <w:p w14:paraId="3D5BCB2E" w14:textId="77777777" w:rsidR="00D26B6C" w:rsidRPr="00A956BF" w:rsidRDefault="00D26B6C" w:rsidP="00D26B6C">
      <w:pPr>
        <w:pStyle w:val="Tablenumberandreference"/>
        <w:pageBreakBefore/>
        <w:rPr>
          <w:color w:val="auto"/>
        </w:rPr>
      </w:pPr>
      <w:r w:rsidRPr="00A956BF">
        <w:rPr>
          <w:color w:val="auto"/>
        </w:rPr>
        <w:lastRenderedPageBreak/>
        <w:t>Table 2.3</w:t>
      </w:r>
      <w:r w:rsidR="00D628C2" w:rsidRPr="00A956BF">
        <w:rPr>
          <w:color w:val="auto"/>
        </w:rPr>
        <w:t>.4</w:t>
      </w:r>
      <w:r w:rsidRPr="00A956BF">
        <w:rPr>
          <w:color w:val="auto"/>
        </w:rPr>
        <w:t>: Perf</w:t>
      </w:r>
      <w:r w:rsidR="00A4016E" w:rsidRPr="00A956BF">
        <w:rPr>
          <w:color w:val="auto"/>
        </w:rPr>
        <w:t xml:space="preserve">ormance </w:t>
      </w:r>
      <w:r w:rsidR="007A06D4" w:rsidRPr="00A956BF">
        <w:rPr>
          <w:color w:val="auto"/>
        </w:rPr>
        <w:t>Measures</w:t>
      </w:r>
      <w:r w:rsidR="00A4016E" w:rsidRPr="00A956BF">
        <w:rPr>
          <w:color w:val="auto"/>
        </w:rPr>
        <w:t xml:space="preserve"> for Program 3.3</w:t>
      </w:r>
    </w:p>
    <w:tbl>
      <w:tblPr>
        <w:tblStyle w:val="TableGrid"/>
        <w:tblW w:w="7677" w:type="dxa"/>
        <w:jc w:val="center"/>
        <w:tblLayout w:type="fixed"/>
        <w:tblLook w:val="04A0" w:firstRow="1" w:lastRow="0" w:firstColumn="1" w:lastColumn="0" w:noHBand="0" w:noVBand="1"/>
        <w:tblCaption w:val="Table 2.3.4: Performance Measures for Program 3.3"/>
        <w:tblDescription w:val="This table outlines Program 3.3's objective and the key activities for Program 3.3. "/>
      </w:tblPr>
      <w:tblGrid>
        <w:gridCol w:w="7677"/>
      </w:tblGrid>
      <w:tr w:rsidR="00A956BF" w:rsidRPr="00A956BF" w14:paraId="6AA30D6A" w14:textId="77777777" w:rsidTr="00D628C2">
        <w:trPr>
          <w:trHeight w:val="50"/>
          <w:jc w:val="center"/>
        </w:trPr>
        <w:tc>
          <w:tcPr>
            <w:tcW w:w="7677" w:type="dxa"/>
            <w:shd w:val="clear" w:color="auto" w:fill="D9D9D9" w:themeFill="background1" w:themeFillShade="D9"/>
          </w:tcPr>
          <w:p w14:paraId="4400B816" w14:textId="0C7920C5" w:rsidR="003D76E1" w:rsidRPr="00A956BF" w:rsidRDefault="00D26B6C" w:rsidP="00D628C2">
            <w:pPr>
              <w:pStyle w:val="Tableheadingrow9pt"/>
              <w:rPr>
                <w:color w:val="auto"/>
              </w:rPr>
            </w:pPr>
            <w:r w:rsidRPr="00A956BF">
              <w:rPr>
                <w:color w:val="auto"/>
              </w:rPr>
              <w:t xml:space="preserve">Program Objective – Program </w:t>
            </w:r>
            <w:r w:rsidR="000A74AA" w:rsidRPr="00A956BF">
              <w:rPr>
                <w:color w:val="auto"/>
              </w:rPr>
              <w:t>3.3</w:t>
            </w:r>
            <w:r w:rsidRPr="00A956BF">
              <w:rPr>
                <w:color w:val="auto"/>
              </w:rPr>
              <w:t xml:space="preserve">: </w:t>
            </w:r>
            <w:r w:rsidR="00D628C2" w:rsidRPr="00A956BF">
              <w:rPr>
                <w:color w:val="auto"/>
              </w:rPr>
              <w:t>Aged Care Quality</w:t>
            </w:r>
          </w:p>
        </w:tc>
      </w:tr>
      <w:tr w:rsidR="00A956BF" w:rsidRPr="00A956BF" w14:paraId="09552360" w14:textId="77777777" w:rsidTr="00D628C2">
        <w:trPr>
          <w:jc w:val="center"/>
        </w:trPr>
        <w:tc>
          <w:tcPr>
            <w:tcW w:w="7677" w:type="dxa"/>
          </w:tcPr>
          <w:p w14:paraId="0C468B28" w14:textId="77777777" w:rsidR="00D26B6C" w:rsidRPr="00A956BF" w:rsidRDefault="009305C3" w:rsidP="00FC3CB5">
            <w:pPr>
              <w:pStyle w:val="Heading2"/>
              <w:outlineLvl w:val="1"/>
              <w:rPr>
                <w:color w:val="auto"/>
              </w:rPr>
            </w:pPr>
            <w:r w:rsidRPr="00A956BF">
              <w:rPr>
                <w:rFonts w:eastAsiaTheme="minorEastAsia"/>
                <w:color w:val="auto"/>
              </w:rPr>
              <w:t>Support the provision of safe and quality care for senior Australians in their choice of care through regulatory activities, collaboration with the aged care sector and consumers, as well as capacity building and awareness raising activities.</w:t>
            </w:r>
          </w:p>
        </w:tc>
      </w:tr>
      <w:tr w:rsidR="00A956BF" w:rsidRPr="00A956BF" w14:paraId="5A3FD554" w14:textId="77777777" w:rsidTr="00D628C2">
        <w:trPr>
          <w:jc w:val="center"/>
        </w:trPr>
        <w:tc>
          <w:tcPr>
            <w:tcW w:w="7677" w:type="dxa"/>
            <w:shd w:val="clear" w:color="auto" w:fill="D9D9D9" w:themeFill="background1" w:themeFillShade="D9"/>
          </w:tcPr>
          <w:p w14:paraId="69E03AE2" w14:textId="45E52192" w:rsidR="003D76E1" w:rsidRPr="00A956BF" w:rsidRDefault="00041B53" w:rsidP="00B52C7C">
            <w:pPr>
              <w:pStyle w:val="Tableheadingrow9pt"/>
              <w:rPr>
                <w:color w:val="auto"/>
              </w:rPr>
            </w:pPr>
            <w:r>
              <w:rPr>
                <w:color w:val="auto"/>
              </w:rPr>
              <w:t>Key Activities</w:t>
            </w:r>
          </w:p>
        </w:tc>
      </w:tr>
      <w:tr w:rsidR="00A956BF" w:rsidRPr="00A956BF" w14:paraId="306C1D38" w14:textId="77777777" w:rsidTr="00D628C2">
        <w:trPr>
          <w:jc w:val="center"/>
        </w:trPr>
        <w:tc>
          <w:tcPr>
            <w:tcW w:w="7677" w:type="dxa"/>
          </w:tcPr>
          <w:p w14:paraId="5EECF5D8" w14:textId="23683F06" w:rsidR="004F39A4" w:rsidRPr="004F39A4" w:rsidRDefault="004F39A4" w:rsidP="004F39A4">
            <w:pPr>
              <w:pStyle w:val="Tabletextnormal9pt"/>
              <w:numPr>
                <w:ilvl w:val="0"/>
                <w:numId w:val="1"/>
              </w:numPr>
              <w:ind w:left="314" w:hanging="284"/>
              <w:rPr>
                <w:color w:val="auto"/>
              </w:rPr>
            </w:pPr>
            <w:r w:rsidRPr="000C0E64">
              <w:rPr>
                <w:color w:val="auto"/>
              </w:rPr>
              <w:t xml:space="preserve">Implementing more equitable access to aged care for </w:t>
            </w:r>
            <w:r w:rsidR="00D23286">
              <w:rPr>
                <w:color w:val="auto"/>
              </w:rPr>
              <w:t>Aboriginal and Torres Strait Islander</w:t>
            </w:r>
            <w:r w:rsidR="002922AC">
              <w:rPr>
                <w:color w:val="auto"/>
              </w:rPr>
              <w:t xml:space="preserve"> people</w:t>
            </w:r>
            <w:r w:rsidRPr="000C0E64">
              <w:rPr>
                <w:color w:val="auto"/>
              </w:rPr>
              <w:t xml:space="preserve"> and special needs </w:t>
            </w:r>
            <w:r w:rsidR="00F20F9C">
              <w:rPr>
                <w:color w:val="auto"/>
              </w:rPr>
              <w:t>groups</w:t>
            </w:r>
            <w:r w:rsidRPr="004F39A4">
              <w:rPr>
                <w:color w:val="auto"/>
              </w:rPr>
              <w:t>.</w:t>
            </w:r>
          </w:p>
          <w:p w14:paraId="43A04F1D" w14:textId="77777777" w:rsidR="004F39A4" w:rsidRPr="004F39A4" w:rsidRDefault="004F39A4" w:rsidP="004F39A4">
            <w:pPr>
              <w:pStyle w:val="Tabletextnormal9pt"/>
              <w:numPr>
                <w:ilvl w:val="0"/>
                <w:numId w:val="1"/>
              </w:numPr>
              <w:ind w:left="314" w:hanging="284"/>
              <w:rPr>
                <w:color w:val="auto"/>
              </w:rPr>
            </w:pPr>
            <w:r w:rsidRPr="004F39A4">
              <w:rPr>
                <w:color w:val="auto"/>
              </w:rPr>
              <w:t>Ensuring provision of quality aged care services, including equitable care for people from diverse backgrounds and support for people with dementia.</w:t>
            </w:r>
          </w:p>
          <w:p w14:paraId="7807D7BC" w14:textId="126DF969" w:rsidR="004F39A4" w:rsidRPr="004F39A4" w:rsidRDefault="004F39A4" w:rsidP="004F39A4">
            <w:pPr>
              <w:pStyle w:val="Tabletextnormal9pt"/>
              <w:numPr>
                <w:ilvl w:val="0"/>
                <w:numId w:val="1"/>
              </w:numPr>
              <w:ind w:left="314" w:hanging="284"/>
              <w:rPr>
                <w:color w:val="auto"/>
              </w:rPr>
            </w:pPr>
            <w:r w:rsidRPr="004F39A4">
              <w:rPr>
                <w:color w:val="auto"/>
              </w:rPr>
              <w:t>Reducing</w:t>
            </w:r>
            <w:r w:rsidR="00E96D20">
              <w:rPr>
                <w:color w:val="auto"/>
              </w:rPr>
              <w:t xml:space="preserve"> the</w:t>
            </w:r>
            <w:r w:rsidRPr="004F39A4">
              <w:rPr>
                <w:color w:val="auto"/>
              </w:rPr>
              <w:t xml:space="preserve"> use of restrictive practices in residential aged care services through the ‘use of physical restraints’ and ‘medication management’ quality indicators under the </w:t>
            </w:r>
            <w:r w:rsidR="00E96D20">
              <w:rPr>
                <w:color w:val="auto"/>
              </w:rPr>
              <w:t>Quality Indicator (</w:t>
            </w:r>
            <w:r w:rsidRPr="004F39A4">
              <w:rPr>
                <w:color w:val="auto"/>
              </w:rPr>
              <w:t>QI</w:t>
            </w:r>
            <w:r w:rsidR="00E96D20">
              <w:rPr>
                <w:color w:val="auto"/>
              </w:rPr>
              <w:t>)</w:t>
            </w:r>
            <w:r w:rsidRPr="004F39A4">
              <w:rPr>
                <w:color w:val="auto"/>
              </w:rPr>
              <w:t xml:space="preserve"> Program.</w:t>
            </w:r>
          </w:p>
          <w:p w14:paraId="5FEC3D15" w14:textId="77777777" w:rsidR="004F39A4" w:rsidRPr="004F39A4" w:rsidRDefault="004F39A4" w:rsidP="004F39A4">
            <w:pPr>
              <w:pStyle w:val="Tabletextnormal9pt"/>
              <w:numPr>
                <w:ilvl w:val="0"/>
                <w:numId w:val="1"/>
              </w:numPr>
              <w:ind w:left="314" w:hanging="284"/>
              <w:rPr>
                <w:color w:val="auto"/>
              </w:rPr>
            </w:pPr>
            <w:r w:rsidRPr="004F39A4">
              <w:rPr>
                <w:color w:val="auto"/>
              </w:rPr>
              <w:t>Providing funding and support through the Dementia Training Program, Dementia Behaviour Management Advisory Service and Severe Behaviour Response Teams.</w:t>
            </w:r>
          </w:p>
          <w:p w14:paraId="0F66B193" w14:textId="4E455D51" w:rsidR="004F39A4" w:rsidRPr="002922AC" w:rsidRDefault="004F39A4" w:rsidP="002922AC">
            <w:pPr>
              <w:pStyle w:val="Tabletextnormal9pt"/>
              <w:numPr>
                <w:ilvl w:val="0"/>
                <w:numId w:val="1"/>
              </w:numPr>
              <w:ind w:left="314" w:hanging="284"/>
              <w:rPr>
                <w:color w:val="auto"/>
              </w:rPr>
            </w:pPr>
            <w:r w:rsidRPr="004F39A4">
              <w:rPr>
                <w:color w:val="auto"/>
              </w:rPr>
              <w:t>Supporting aged care providers to deliver appropriate, sensitive care to senior Australians with diverse needs, including through the adoption of trauma informed care practices.</w:t>
            </w:r>
          </w:p>
          <w:p w14:paraId="71B714EA" w14:textId="57455E46" w:rsidR="004F39A4" w:rsidRPr="004F39A4" w:rsidRDefault="004F39A4" w:rsidP="004F39A4">
            <w:pPr>
              <w:pStyle w:val="Tabletextnormal9pt"/>
              <w:numPr>
                <w:ilvl w:val="0"/>
                <w:numId w:val="1"/>
              </w:numPr>
              <w:ind w:left="314" w:hanging="284"/>
              <w:rPr>
                <w:color w:val="auto"/>
              </w:rPr>
            </w:pPr>
            <w:r w:rsidRPr="004F39A4">
              <w:rPr>
                <w:color w:val="auto"/>
              </w:rPr>
              <w:t xml:space="preserve">Working with the Aged Care Quality and Safety Commission (ACQSC) to refine the </w:t>
            </w:r>
            <w:r w:rsidR="00E96D20">
              <w:rPr>
                <w:color w:val="auto"/>
              </w:rPr>
              <w:br/>
            </w:r>
            <w:r w:rsidRPr="004F39A4">
              <w:rPr>
                <w:color w:val="auto"/>
              </w:rPr>
              <w:t>risk-based targeting and information sharing capability within the ACQSC, including information about home care.</w:t>
            </w:r>
          </w:p>
          <w:p w14:paraId="17AA3DE9" w14:textId="77777777" w:rsidR="004F39A4" w:rsidRPr="004F39A4" w:rsidRDefault="004F39A4" w:rsidP="004F39A4">
            <w:pPr>
              <w:pStyle w:val="Tabletextnormal9pt"/>
              <w:numPr>
                <w:ilvl w:val="0"/>
                <w:numId w:val="1"/>
              </w:numPr>
              <w:ind w:left="314" w:hanging="284"/>
              <w:rPr>
                <w:color w:val="auto"/>
              </w:rPr>
            </w:pPr>
            <w:r w:rsidRPr="004F39A4">
              <w:rPr>
                <w:color w:val="auto"/>
              </w:rPr>
              <w:t>Consulting with stakeholders to refine the reporting requirements associated with the 2021 basic daily fee supplement. Continuing to develop policy options for improving food and nutrition for those in residential aged care.</w:t>
            </w:r>
          </w:p>
          <w:p w14:paraId="7915D282" w14:textId="26C78C29" w:rsidR="004F39A4" w:rsidRPr="004F39A4" w:rsidRDefault="004F39A4" w:rsidP="004F39A4">
            <w:pPr>
              <w:pStyle w:val="Tabletextnormal9pt"/>
              <w:numPr>
                <w:ilvl w:val="0"/>
                <w:numId w:val="1"/>
              </w:numPr>
              <w:ind w:left="314" w:hanging="284"/>
              <w:rPr>
                <w:color w:val="auto"/>
              </w:rPr>
            </w:pPr>
            <w:r w:rsidRPr="004F39A4">
              <w:rPr>
                <w:color w:val="auto"/>
              </w:rPr>
              <w:t xml:space="preserve">Supporting the operation of the Aged Care Workforce Industry Council to implement the Aged Care Workforce Strategy Taskforce report </w:t>
            </w:r>
            <w:r w:rsidRPr="00E96D20">
              <w:rPr>
                <w:i/>
                <w:color w:val="auto"/>
              </w:rPr>
              <w:t>A Matter of Care: Australia’s Aged Care Workforce Strategy</w:t>
            </w:r>
            <w:r w:rsidRPr="004F39A4">
              <w:rPr>
                <w:color w:val="auto"/>
              </w:rPr>
              <w:t>.</w:t>
            </w:r>
          </w:p>
          <w:p w14:paraId="5539AE46" w14:textId="77777777" w:rsidR="004F39A4" w:rsidRPr="004F39A4" w:rsidRDefault="004F39A4" w:rsidP="004F39A4">
            <w:pPr>
              <w:pStyle w:val="Tabletextnormal9pt"/>
              <w:numPr>
                <w:ilvl w:val="0"/>
                <w:numId w:val="1"/>
              </w:numPr>
              <w:ind w:left="314" w:hanging="284"/>
              <w:rPr>
                <w:color w:val="auto"/>
              </w:rPr>
            </w:pPr>
            <w:r w:rsidRPr="004F39A4">
              <w:rPr>
                <w:color w:val="auto"/>
              </w:rPr>
              <w:t>Implementing the aged care nurses’ bonus initiative and transition to practice programs.</w:t>
            </w:r>
          </w:p>
          <w:p w14:paraId="20DFA6BF" w14:textId="77777777" w:rsidR="004F39A4" w:rsidRPr="004F39A4" w:rsidRDefault="004F39A4" w:rsidP="004F39A4">
            <w:pPr>
              <w:pStyle w:val="Tabletextnormal9pt"/>
              <w:numPr>
                <w:ilvl w:val="0"/>
                <w:numId w:val="1"/>
              </w:numPr>
              <w:ind w:left="314" w:hanging="284"/>
              <w:rPr>
                <w:color w:val="auto"/>
              </w:rPr>
            </w:pPr>
            <w:r w:rsidRPr="004F39A4">
              <w:rPr>
                <w:color w:val="auto"/>
              </w:rPr>
              <w:t>Implementing the National Care and Support Worker Regulation measure.</w:t>
            </w:r>
            <w:r w:rsidRPr="004F39A4" w:rsidDel="00D919E0">
              <w:rPr>
                <w:color w:val="auto"/>
              </w:rPr>
              <w:t xml:space="preserve"> </w:t>
            </w:r>
          </w:p>
          <w:p w14:paraId="3F0CB5C5" w14:textId="77777777" w:rsidR="004F39A4" w:rsidRPr="004F39A4" w:rsidRDefault="004F39A4" w:rsidP="004F39A4">
            <w:pPr>
              <w:pStyle w:val="Tabletextnormal9pt"/>
              <w:numPr>
                <w:ilvl w:val="0"/>
                <w:numId w:val="1"/>
              </w:numPr>
              <w:ind w:left="314" w:hanging="284"/>
              <w:rPr>
                <w:color w:val="auto"/>
              </w:rPr>
            </w:pPr>
            <w:r w:rsidRPr="004F39A4">
              <w:rPr>
                <w:color w:val="auto"/>
              </w:rPr>
              <w:t>Establishing a Centre for Growth and Translational Research.</w:t>
            </w:r>
          </w:p>
          <w:p w14:paraId="65A60BE0" w14:textId="77777777" w:rsidR="004F39A4" w:rsidRPr="004F39A4" w:rsidRDefault="004F39A4" w:rsidP="004F39A4">
            <w:pPr>
              <w:pStyle w:val="Tabletextnormal9pt"/>
              <w:numPr>
                <w:ilvl w:val="0"/>
                <w:numId w:val="1"/>
              </w:numPr>
              <w:ind w:left="314" w:hanging="284"/>
              <w:rPr>
                <w:color w:val="auto"/>
              </w:rPr>
            </w:pPr>
            <w:r w:rsidRPr="004F39A4">
              <w:rPr>
                <w:color w:val="auto"/>
              </w:rPr>
              <w:t>Continuing to provide free independent business advisory services, including workforce advisory services, to residential aged care and home care providers.</w:t>
            </w:r>
          </w:p>
          <w:p w14:paraId="2E226AE4" w14:textId="77777777" w:rsidR="004F39A4" w:rsidRPr="004F39A4" w:rsidRDefault="004F39A4" w:rsidP="004F39A4">
            <w:pPr>
              <w:pStyle w:val="Tabletextnormal9pt"/>
              <w:numPr>
                <w:ilvl w:val="0"/>
                <w:numId w:val="1"/>
              </w:numPr>
              <w:ind w:left="314" w:hanging="284"/>
              <w:rPr>
                <w:color w:val="auto"/>
              </w:rPr>
            </w:pPr>
            <w:r w:rsidRPr="004F39A4">
              <w:rPr>
                <w:color w:val="auto"/>
              </w:rPr>
              <w:t>Providing grant funding to support residential aged care providers to deliver quality care and achieve a stronger and more viable residential aged care sector through the Structural Adjustment Program.</w:t>
            </w:r>
          </w:p>
          <w:p w14:paraId="796B707C" w14:textId="606AE246" w:rsidR="004F39A4" w:rsidRPr="004F39A4" w:rsidRDefault="004F39A4" w:rsidP="004F39A4">
            <w:pPr>
              <w:pStyle w:val="Tabletextnormal9pt"/>
              <w:numPr>
                <w:ilvl w:val="0"/>
                <w:numId w:val="1"/>
              </w:numPr>
              <w:ind w:left="314" w:hanging="284"/>
              <w:rPr>
                <w:color w:val="auto"/>
              </w:rPr>
            </w:pPr>
            <w:r w:rsidRPr="004F39A4">
              <w:rPr>
                <w:color w:val="auto"/>
              </w:rPr>
              <w:t>Expand</w:t>
            </w:r>
            <w:r w:rsidR="00E96D20">
              <w:rPr>
                <w:color w:val="auto"/>
              </w:rPr>
              <w:t>ing</w:t>
            </w:r>
            <w:r w:rsidRPr="004F39A4">
              <w:rPr>
                <w:color w:val="auto"/>
              </w:rPr>
              <w:t xml:space="preserve"> the Financial Monitoring Program to identify and support providers at financial risk and refer them to support.</w:t>
            </w:r>
          </w:p>
          <w:p w14:paraId="29C74613" w14:textId="6DEF902E" w:rsidR="004F39A4" w:rsidRPr="004F39A4" w:rsidRDefault="004F39A4" w:rsidP="004F39A4">
            <w:pPr>
              <w:pStyle w:val="Tabletextnormal9pt"/>
              <w:numPr>
                <w:ilvl w:val="0"/>
                <w:numId w:val="1"/>
              </w:numPr>
              <w:ind w:left="314" w:hanging="284"/>
              <w:rPr>
                <w:color w:val="auto"/>
              </w:rPr>
            </w:pPr>
            <w:r w:rsidRPr="004F39A4">
              <w:rPr>
                <w:color w:val="auto"/>
              </w:rPr>
              <w:t>Improv</w:t>
            </w:r>
            <w:r w:rsidR="00E96D20">
              <w:rPr>
                <w:color w:val="auto"/>
              </w:rPr>
              <w:t>ing</w:t>
            </w:r>
            <w:r w:rsidRPr="004F39A4">
              <w:rPr>
                <w:color w:val="auto"/>
              </w:rPr>
              <w:t xml:space="preserve"> coordination and accessibility of post-diagnostic supports for people living with dementia and their </w:t>
            </w:r>
            <w:proofErr w:type="spellStart"/>
            <w:r w:rsidRPr="004F39A4">
              <w:rPr>
                <w:color w:val="auto"/>
              </w:rPr>
              <w:t>carers</w:t>
            </w:r>
            <w:proofErr w:type="spellEnd"/>
            <w:r w:rsidRPr="004F39A4">
              <w:rPr>
                <w:color w:val="auto"/>
              </w:rPr>
              <w:t>, including through an expansion of the National Dementia Support Program.</w:t>
            </w:r>
          </w:p>
          <w:p w14:paraId="5CD818A6" w14:textId="77777777" w:rsidR="004F39A4" w:rsidRPr="004F39A4" w:rsidRDefault="004F39A4" w:rsidP="004F39A4">
            <w:pPr>
              <w:pStyle w:val="Tabletextnormal9pt"/>
              <w:numPr>
                <w:ilvl w:val="0"/>
                <w:numId w:val="1"/>
              </w:numPr>
              <w:ind w:left="314" w:hanging="284"/>
              <w:rPr>
                <w:color w:val="auto"/>
              </w:rPr>
            </w:pPr>
            <w:r w:rsidRPr="004F39A4">
              <w:rPr>
                <w:color w:val="auto"/>
              </w:rPr>
              <w:t>Developing accommodation design standards for residential aged care.</w:t>
            </w:r>
          </w:p>
          <w:p w14:paraId="693678A9" w14:textId="4EEA63E7" w:rsidR="004F39A4" w:rsidRPr="004F39A4" w:rsidRDefault="004F39A4" w:rsidP="004F39A4">
            <w:pPr>
              <w:pStyle w:val="Tabletextnormal9pt"/>
              <w:numPr>
                <w:ilvl w:val="0"/>
                <w:numId w:val="1"/>
              </w:numPr>
              <w:ind w:left="314" w:hanging="284"/>
              <w:rPr>
                <w:color w:val="auto"/>
              </w:rPr>
            </w:pPr>
            <w:r w:rsidRPr="004F39A4">
              <w:rPr>
                <w:color w:val="auto"/>
              </w:rPr>
              <w:t xml:space="preserve">Aligning regulation across the care and support sector, including aged care, the </w:t>
            </w:r>
            <w:r w:rsidR="00AD7D75">
              <w:rPr>
                <w:color w:val="auto"/>
              </w:rPr>
              <w:t>National Disability Insurance Scheme (</w:t>
            </w:r>
            <w:r w:rsidRPr="004F39A4">
              <w:rPr>
                <w:color w:val="auto"/>
              </w:rPr>
              <w:t>NDIS</w:t>
            </w:r>
            <w:r w:rsidR="00AD7D75">
              <w:rPr>
                <w:color w:val="auto"/>
              </w:rPr>
              <w:t>)</w:t>
            </w:r>
            <w:r w:rsidRPr="004F39A4">
              <w:rPr>
                <w:color w:val="auto"/>
              </w:rPr>
              <w:t xml:space="preserve"> and disability services, and veterans’ care.</w:t>
            </w:r>
          </w:p>
          <w:p w14:paraId="69BFDBDC" w14:textId="0BBDF7DB" w:rsidR="004F39A4" w:rsidRPr="004F39A4" w:rsidRDefault="004F39A4" w:rsidP="004F39A4">
            <w:pPr>
              <w:pStyle w:val="Tabletextnormal9pt"/>
              <w:numPr>
                <w:ilvl w:val="0"/>
                <w:numId w:val="1"/>
              </w:numPr>
              <w:ind w:left="314" w:hanging="284"/>
              <w:rPr>
                <w:color w:val="auto"/>
              </w:rPr>
            </w:pPr>
            <w:r w:rsidRPr="004F39A4">
              <w:rPr>
                <w:color w:val="auto"/>
              </w:rPr>
              <w:t>Review of the Aged Care Quality Standards, with</w:t>
            </w:r>
            <w:r w:rsidR="002922AC">
              <w:rPr>
                <w:color w:val="auto"/>
              </w:rPr>
              <w:t xml:space="preserve"> a</w:t>
            </w:r>
            <w:r w:rsidRPr="004F39A4">
              <w:rPr>
                <w:color w:val="auto"/>
              </w:rPr>
              <w:t xml:space="preserve"> focus on governance, diversity, dementia, food and nutrition.</w:t>
            </w:r>
          </w:p>
          <w:p w14:paraId="611CFEE9" w14:textId="0062796B" w:rsidR="00127D69" w:rsidRPr="00A956BF" w:rsidRDefault="004F39A4" w:rsidP="004F39A4">
            <w:pPr>
              <w:pStyle w:val="Tabletextnormal9pt"/>
              <w:numPr>
                <w:ilvl w:val="0"/>
                <w:numId w:val="1"/>
              </w:numPr>
              <w:ind w:left="314" w:hanging="284"/>
              <w:rPr>
                <w:color w:val="auto"/>
              </w:rPr>
            </w:pPr>
            <w:r w:rsidRPr="004F39A4">
              <w:rPr>
                <w:color w:val="auto"/>
              </w:rPr>
              <w:t>Expanding the Serious Incident Response Scheme (SIRS) to in-home services.</w:t>
            </w:r>
          </w:p>
        </w:tc>
      </w:tr>
    </w:tbl>
    <w:p w14:paraId="71300063" w14:textId="77777777" w:rsidR="00303250" w:rsidRDefault="00303250">
      <w:r>
        <w:rPr>
          <w:b/>
        </w:rPr>
        <w:br w:type="page"/>
      </w:r>
    </w:p>
    <w:tbl>
      <w:tblPr>
        <w:tblStyle w:val="TableGrid"/>
        <w:tblW w:w="7677" w:type="dxa"/>
        <w:jc w:val="center"/>
        <w:tblLayout w:type="fixed"/>
        <w:tblLook w:val="04A0" w:firstRow="1" w:lastRow="0" w:firstColumn="1" w:lastColumn="0" w:noHBand="0" w:noVBand="1"/>
        <w:tblCaption w:val="Table 2.3.4: Performance Measures for Program 3.3 (continued)"/>
        <w:tblDescription w:val="This table includes a performance measure for Program 3.3, with an expected performance result for 2021-22, and planned performance results for 2022-23 and the forward estimates"/>
      </w:tblPr>
      <w:tblGrid>
        <w:gridCol w:w="1555"/>
        <w:gridCol w:w="1530"/>
        <w:gridCol w:w="1531"/>
        <w:gridCol w:w="1530"/>
        <w:gridCol w:w="1531"/>
      </w:tblGrid>
      <w:tr w:rsidR="00A956BF" w:rsidRPr="00A956BF" w14:paraId="0DADBCE7" w14:textId="77777777" w:rsidTr="00D628C2">
        <w:trPr>
          <w:jc w:val="center"/>
        </w:trPr>
        <w:tc>
          <w:tcPr>
            <w:tcW w:w="7677" w:type="dxa"/>
            <w:gridSpan w:val="5"/>
            <w:shd w:val="clear" w:color="auto" w:fill="D9D9D9" w:themeFill="background1" w:themeFillShade="D9"/>
          </w:tcPr>
          <w:p w14:paraId="3EA9A863" w14:textId="138F07EE" w:rsidR="00127D69" w:rsidRPr="00A956BF" w:rsidRDefault="00127D69" w:rsidP="00394FF0">
            <w:pPr>
              <w:pStyle w:val="Tableheadingrow9pt"/>
              <w:rPr>
                <w:color w:val="auto"/>
              </w:rPr>
            </w:pPr>
            <w:r w:rsidRPr="00A956BF">
              <w:rPr>
                <w:color w:val="auto"/>
              </w:rPr>
              <w:lastRenderedPageBreak/>
              <w:t>Performance Measures</w:t>
            </w:r>
          </w:p>
        </w:tc>
      </w:tr>
      <w:tr w:rsidR="00A956BF" w:rsidRPr="00A956BF" w14:paraId="11582C5B" w14:textId="77777777" w:rsidTr="00D628C2">
        <w:trPr>
          <w:jc w:val="center"/>
        </w:trPr>
        <w:tc>
          <w:tcPr>
            <w:tcW w:w="7677" w:type="dxa"/>
            <w:gridSpan w:val="5"/>
            <w:shd w:val="clear" w:color="auto" w:fill="D9D9D9" w:themeFill="background1" w:themeFillShade="D9"/>
          </w:tcPr>
          <w:p w14:paraId="239474F9" w14:textId="0DFF46BF" w:rsidR="00E64BDB" w:rsidRPr="00A956BF" w:rsidRDefault="00127D69" w:rsidP="00D4222D">
            <w:pPr>
              <w:pStyle w:val="Tableheadingrow9pt"/>
              <w:rPr>
                <w:color w:val="auto"/>
                <w:sz w:val="17"/>
                <w:szCs w:val="17"/>
              </w:rPr>
            </w:pPr>
            <w:r w:rsidRPr="00A956BF">
              <w:rPr>
                <w:color w:val="auto"/>
                <w:sz w:val="17"/>
                <w:szCs w:val="17"/>
              </w:rPr>
              <w:t>Percentage of care givers providing feedback via a survey</w:t>
            </w:r>
            <w:r w:rsidR="00183F45" w:rsidRPr="00A956BF">
              <w:rPr>
                <w:color w:val="auto"/>
                <w:sz w:val="17"/>
                <w:szCs w:val="17"/>
              </w:rPr>
              <w:t xml:space="preserve"> who</w:t>
            </w:r>
            <w:r w:rsidRPr="00A956BF">
              <w:rPr>
                <w:color w:val="auto"/>
                <w:sz w:val="17"/>
                <w:szCs w:val="17"/>
              </w:rPr>
              <w:t xml:space="preserve"> report an improvement in confidence when managing Behavioural and Psycholo</w:t>
            </w:r>
            <w:r w:rsidR="002C6FD4" w:rsidRPr="00A956BF">
              <w:rPr>
                <w:color w:val="auto"/>
                <w:sz w:val="17"/>
                <w:szCs w:val="17"/>
              </w:rPr>
              <w:t>gical Symptoms of Dementia</w:t>
            </w:r>
            <w:r w:rsidRPr="00A956BF">
              <w:rPr>
                <w:color w:val="auto"/>
                <w:sz w:val="17"/>
                <w:szCs w:val="17"/>
              </w:rPr>
              <w:t>, following an intervention from the Dementia Behaviour Management Advisory Service or the Severe Behaviour Response Teams.</w:t>
            </w:r>
          </w:p>
        </w:tc>
      </w:tr>
      <w:tr w:rsidR="00330D1D" w:rsidRPr="00A956BF" w14:paraId="0EDA2771" w14:textId="77777777" w:rsidTr="00606B87">
        <w:trPr>
          <w:jc w:val="center"/>
        </w:trPr>
        <w:tc>
          <w:tcPr>
            <w:tcW w:w="1555" w:type="dxa"/>
            <w:shd w:val="clear" w:color="auto" w:fill="auto"/>
          </w:tcPr>
          <w:p w14:paraId="7EAA65DD" w14:textId="29793D47" w:rsidR="00330D1D" w:rsidRPr="00685583" w:rsidRDefault="00330D1D" w:rsidP="00330D1D">
            <w:pPr>
              <w:pStyle w:val="Tableheadingrow9pt"/>
              <w:keepNext/>
              <w:keepLines/>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20F9C">
              <w:rPr>
                <w:color w:val="auto"/>
                <w:sz w:val="17"/>
                <w:szCs w:val="17"/>
              </w:rPr>
              <w:t>–</w:t>
            </w:r>
            <w:r w:rsidRPr="005D0368">
              <w:rPr>
                <w:color w:val="auto"/>
                <w:sz w:val="17"/>
                <w:szCs w:val="17"/>
              </w:rPr>
              <w:t>2</w:t>
            </w:r>
            <w:r>
              <w:rPr>
                <w:color w:val="auto"/>
                <w:sz w:val="17"/>
                <w:szCs w:val="17"/>
              </w:rPr>
              <w:t>2</w:t>
            </w:r>
            <w:bookmarkStart w:id="0" w:name="_GoBack"/>
            <w:bookmarkEnd w:id="0"/>
            <w:r>
              <w:rPr>
                <w:color w:val="auto"/>
                <w:sz w:val="17"/>
                <w:szCs w:val="17"/>
              </w:rPr>
              <w:br/>
              <w:t>Planned Performance Result</w:t>
            </w:r>
          </w:p>
        </w:tc>
        <w:tc>
          <w:tcPr>
            <w:tcW w:w="1530" w:type="dxa"/>
            <w:shd w:val="clear" w:color="auto" w:fill="auto"/>
          </w:tcPr>
          <w:p w14:paraId="6A12C213" w14:textId="11E0A274" w:rsidR="00330D1D" w:rsidRPr="00685583" w:rsidRDefault="00330D1D" w:rsidP="00330D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20F9C">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6CAC373B" w14:textId="713D445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20F9C">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0" w:type="dxa"/>
            <w:shd w:val="clear" w:color="auto" w:fill="auto"/>
          </w:tcPr>
          <w:p w14:paraId="25CFB497" w14:textId="358EFE8D"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20F9C">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2C4FDCE6" w14:textId="6045CB1B" w:rsidR="00330D1D" w:rsidRPr="00685583" w:rsidRDefault="00330D1D" w:rsidP="00330D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20F9C">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A956BF" w:rsidRPr="00A956BF" w14:paraId="73BE29DA" w14:textId="77777777" w:rsidTr="00BA5327">
        <w:trPr>
          <w:jc w:val="center"/>
        </w:trPr>
        <w:tc>
          <w:tcPr>
            <w:tcW w:w="1555" w:type="dxa"/>
            <w:shd w:val="clear" w:color="auto" w:fill="auto"/>
          </w:tcPr>
          <w:p w14:paraId="6227E341" w14:textId="77777777" w:rsidR="00127D69" w:rsidRPr="00A956BF" w:rsidRDefault="00127D69" w:rsidP="00127D69">
            <w:pPr>
              <w:rPr>
                <w:b/>
                <w:bCs/>
                <w:color w:val="auto"/>
                <w:sz w:val="17"/>
                <w:szCs w:val="17"/>
              </w:rPr>
            </w:pPr>
            <w:r w:rsidRPr="00A956BF">
              <w:rPr>
                <w:color w:val="auto"/>
                <w:sz w:val="17"/>
                <w:szCs w:val="17"/>
              </w:rPr>
              <w:t>≥75%</w:t>
            </w:r>
          </w:p>
        </w:tc>
        <w:tc>
          <w:tcPr>
            <w:tcW w:w="1530" w:type="dxa"/>
            <w:vMerge w:val="restart"/>
            <w:shd w:val="clear" w:color="auto" w:fill="auto"/>
          </w:tcPr>
          <w:p w14:paraId="2F462036" w14:textId="77777777" w:rsidR="00127D69" w:rsidRPr="00A956BF" w:rsidRDefault="00127D69" w:rsidP="00127D69">
            <w:pPr>
              <w:rPr>
                <w:color w:val="auto"/>
                <w:sz w:val="17"/>
                <w:szCs w:val="17"/>
              </w:rPr>
            </w:pPr>
            <w:r w:rsidRPr="00A956BF">
              <w:rPr>
                <w:color w:val="auto"/>
                <w:sz w:val="17"/>
                <w:szCs w:val="17"/>
              </w:rPr>
              <w:t>≥75%</w:t>
            </w:r>
          </w:p>
        </w:tc>
        <w:tc>
          <w:tcPr>
            <w:tcW w:w="1531" w:type="dxa"/>
            <w:vMerge w:val="restart"/>
            <w:shd w:val="clear" w:color="auto" w:fill="auto"/>
          </w:tcPr>
          <w:p w14:paraId="304E8B2A" w14:textId="77777777" w:rsidR="00127D69" w:rsidRPr="00A956BF" w:rsidRDefault="00127D69" w:rsidP="00127D69">
            <w:pPr>
              <w:pStyle w:val="Tableheadingrow9pt"/>
              <w:rPr>
                <w:b w:val="0"/>
                <w:color w:val="auto"/>
                <w:sz w:val="17"/>
                <w:szCs w:val="17"/>
              </w:rPr>
            </w:pPr>
            <w:r w:rsidRPr="00A956BF">
              <w:rPr>
                <w:b w:val="0"/>
                <w:color w:val="auto"/>
                <w:sz w:val="17"/>
                <w:szCs w:val="17"/>
              </w:rPr>
              <w:t>≥75%</w:t>
            </w:r>
          </w:p>
        </w:tc>
        <w:tc>
          <w:tcPr>
            <w:tcW w:w="1530" w:type="dxa"/>
            <w:vMerge w:val="restart"/>
            <w:shd w:val="clear" w:color="auto" w:fill="auto"/>
          </w:tcPr>
          <w:p w14:paraId="503D920A" w14:textId="77777777" w:rsidR="00127D69" w:rsidRPr="00A956BF" w:rsidRDefault="00127D69" w:rsidP="00127D69">
            <w:pPr>
              <w:pStyle w:val="Tableheadingrow9pt"/>
              <w:rPr>
                <w:b w:val="0"/>
                <w:color w:val="auto"/>
                <w:sz w:val="17"/>
                <w:szCs w:val="17"/>
              </w:rPr>
            </w:pPr>
            <w:r w:rsidRPr="00A956BF">
              <w:rPr>
                <w:b w:val="0"/>
                <w:color w:val="auto"/>
                <w:sz w:val="17"/>
                <w:szCs w:val="17"/>
              </w:rPr>
              <w:t>≥75%</w:t>
            </w:r>
          </w:p>
        </w:tc>
        <w:tc>
          <w:tcPr>
            <w:tcW w:w="1531" w:type="dxa"/>
            <w:vMerge w:val="restart"/>
            <w:shd w:val="clear" w:color="auto" w:fill="auto"/>
          </w:tcPr>
          <w:p w14:paraId="651863EB" w14:textId="6DAB97D1" w:rsidR="00127D69" w:rsidRPr="00A956BF" w:rsidRDefault="00E96D20" w:rsidP="00127D69">
            <w:pPr>
              <w:pStyle w:val="Tableheadingrow9pt"/>
              <w:rPr>
                <w:b w:val="0"/>
                <w:color w:val="auto"/>
                <w:sz w:val="17"/>
                <w:szCs w:val="17"/>
              </w:rPr>
            </w:pPr>
            <w:r w:rsidRPr="00A956BF">
              <w:rPr>
                <w:b w:val="0"/>
                <w:color w:val="auto"/>
                <w:sz w:val="17"/>
                <w:szCs w:val="17"/>
              </w:rPr>
              <w:t>≥</w:t>
            </w:r>
            <w:r w:rsidR="00303250" w:rsidRPr="00A956BF">
              <w:rPr>
                <w:b w:val="0"/>
                <w:color w:val="auto"/>
                <w:sz w:val="17"/>
                <w:szCs w:val="17"/>
              </w:rPr>
              <w:t>75%</w:t>
            </w:r>
          </w:p>
        </w:tc>
      </w:tr>
      <w:tr w:rsidR="00A956BF" w:rsidRPr="00A956BF" w14:paraId="1221923E" w14:textId="77777777" w:rsidTr="00BA5327">
        <w:trPr>
          <w:jc w:val="center"/>
        </w:trPr>
        <w:tc>
          <w:tcPr>
            <w:tcW w:w="1555" w:type="dxa"/>
            <w:shd w:val="clear" w:color="auto" w:fill="auto"/>
            <w:vAlign w:val="center"/>
          </w:tcPr>
          <w:p w14:paraId="61587738" w14:textId="26270A28" w:rsidR="00127D69" w:rsidRPr="00A956BF" w:rsidRDefault="00F20F9C" w:rsidP="00127D69">
            <w:pPr>
              <w:pStyle w:val="Tableheadingrowmeasures85pt"/>
              <w:rPr>
                <w:color w:val="auto"/>
              </w:rPr>
            </w:pPr>
            <w:r>
              <w:rPr>
                <w:color w:val="auto"/>
              </w:rPr>
              <w:t>2021–</w:t>
            </w:r>
            <w:r w:rsidR="00E64BDB">
              <w:rPr>
                <w:color w:val="auto"/>
              </w:rPr>
              <w:t>22</w:t>
            </w:r>
            <w:r w:rsidR="00E64BDB">
              <w:rPr>
                <w:color w:val="auto"/>
              </w:rPr>
              <w:br/>
              <w:t>Expected Performance Result</w:t>
            </w:r>
          </w:p>
        </w:tc>
        <w:tc>
          <w:tcPr>
            <w:tcW w:w="1530" w:type="dxa"/>
            <w:vMerge/>
            <w:shd w:val="clear" w:color="auto" w:fill="auto"/>
          </w:tcPr>
          <w:p w14:paraId="19E29642" w14:textId="77777777" w:rsidR="00127D69" w:rsidRPr="00A956BF" w:rsidRDefault="00127D69" w:rsidP="00127D69">
            <w:pPr>
              <w:rPr>
                <w:color w:val="auto"/>
                <w:sz w:val="17"/>
                <w:szCs w:val="17"/>
              </w:rPr>
            </w:pPr>
          </w:p>
        </w:tc>
        <w:tc>
          <w:tcPr>
            <w:tcW w:w="1531" w:type="dxa"/>
            <w:vMerge/>
            <w:shd w:val="clear" w:color="auto" w:fill="auto"/>
          </w:tcPr>
          <w:p w14:paraId="24AB1F92" w14:textId="77777777" w:rsidR="00127D69" w:rsidRPr="00A956BF" w:rsidRDefault="00127D69" w:rsidP="00127D69">
            <w:pPr>
              <w:rPr>
                <w:color w:val="auto"/>
                <w:sz w:val="17"/>
                <w:szCs w:val="17"/>
              </w:rPr>
            </w:pPr>
          </w:p>
        </w:tc>
        <w:tc>
          <w:tcPr>
            <w:tcW w:w="1530" w:type="dxa"/>
            <w:vMerge/>
            <w:shd w:val="clear" w:color="auto" w:fill="auto"/>
          </w:tcPr>
          <w:p w14:paraId="53E6E35A" w14:textId="77777777" w:rsidR="00127D69" w:rsidRPr="00A956BF" w:rsidRDefault="00127D69" w:rsidP="00127D69">
            <w:pPr>
              <w:pStyle w:val="Tableheadingrow9pt"/>
              <w:rPr>
                <w:b w:val="0"/>
                <w:color w:val="auto"/>
                <w:sz w:val="17"/>
                <w:szCs w:val="17"/>
              </w:rPr>
            </w:pPr>
          </w:p>
        </w:tc>
        <w:tc>
          <w:tcPr>
            <w:tcW w:w="1531" w:type="dxa"/>
            <w:vMerge/>
            <w:shd w:val="clear" w:color="auto" w:fill="auto"/>
          </w:tcPr>
          <w:p w14:paraId="5BACE031" w14:textId="77777777" w:rsidR="00127D69" w:rsidRPr="00A956BF" w:rsidRDefault="00127D69" w:rsidP="00127D69">
            <w:pPr>
              <w:pStyle w:val="Tableheadingrow9pt"/>
              <w:rPr>
                <w:b w:val="0"/>
                <w:color w:val="auto"/>
                <w:sz w:val="17"/>
                <w:szCs w:val="17"/>
              </w:rPr>
            </w:pPr>
          </w:p>
        </w:tc>
      </w:tr>
      <w:tr w:rsidR="00A956BF" w:rsidRPr="00A956BF" w14:paraId="6A49827F" w14:textId="77777777" w:rsidTr="00BA5327">
        <w:trPr>
          <w:jc w:val="center"/>
        </w:trPr>
        <w:tc>
          <w:tcPr>
            <w:tcW w:w="1555" w:type="dxa"/>
            <w:shd w:val="clear" w:color="auto" w:fill="auto"/>
          </w:tcPr>
          <w:p w14:paraId="2CF41138" w14:textId="23A146CB" w:rsidR="00127D69" w:rsidRPr="00A956BF" w:rsidRDefault="006D6FDF" w:rsidP="006D6FDF">
            <w:pPr>
              <w:rPr>
                <w:bCs/>
                <w:color w:val="auto"/>
                <w:sz w:val="17"/>
                <w:szCs w:val="17"/>
              </w:rPr>
            </w:pPr>
            <w:r w:rsidRPr="006D6FDF">
              <w:rPr>
                <w:bCs/>
                <w:color w:val="auto"/>
                <w:sz w:val="17"/>
                <w:szCs w:val="17"/>
              </w:rPr>
              <w:t>95%</w:t>
            </w:r>
          </w:p>
        </w:tc>
        <w:tc>
          <w:tcPr>
            <w:tcW w:w="1530" w:type="dxa"/>
            <w:vMerge/>
            <w:shd w:val="clear" w:color="auto" w:fill="auto"/>
          </w:tcPr>
          <w:p w14:paraId="2A4549C4" w14:textId="77777777" w:rsidR="00127D69" w:rsidRPr="00A956BF" w:rsidRDefault="00127D69" w:rsidP="00127D69">
            <w:pPr>
              <w:rPr>
                <w:color w:val="auto"/>
                <w:sz w:val="17"/>
                <w:szCs w:val="17"/>
              </w:rPr>
            </w:pPr>
          </w:p>
        </w:tc>
        <w:tc>
          <w:tcPr>
            <w:tcW w:w="1531" w:type="dxa"/>
            <w:vMerge/>
            <w:shd w:val="clear" w:color="auto" w:fill="auto"/>
          </w:tcPr>
          <w:p w14:paraId="3F2BB56D" w14:textId="77777777" w:rsidR="00127D69" w:rsidRPr="00A956BF" w:rsidRDefault="00127D69" w:rsidP="00127D69">
            <w:pPr>
              <w:rPr>
                <w:color w:val="auto"/>
                <w:sz w:val="17"/>
                <w:szCs w:val="17"/>
              </w:rPr>
            </w:pPr>
          </w:p>
        </w:tc>
        <w:tc>
          <w:tcPr>
            <w:tcW w:w="1530" w:type="dxa"/>
            <w:vMerge/>
            <w:shd w:val="clear" w:color="auto" w:fill="auto"/>
          </w:tcPr>
          <w:p w14:paraId="0ADBEC8B" w14:textId="77777777" w:rsidR="00127D69" w:rsidRPr="00A956BF" w:rsidRDefault="00127D69" w:rsidP="00127D69">
            <w:pPr>
              <w:pStyle w:val="Tableheadingrow9pt"/>
              <w:rPr>
                <w:b w:val="0"/>
                <w:color w:val="auto"/>
                <w:sz w:val="17"/>
                <w:szCs w:val="17"/>
              </w:rPr>
            </w:pPr>
          </w:p>
        </w:tc>
        <w:tc>
          <w:tcPr>
            <w:tcW w:w="1531" w:type="dxa"/>
            <w:vMerge/>
            <w:shd w:val="clear" w:color="auto" w:fill="auto"/>
          </w:tcPr>
          <w:p w14:paraId="320E5116" w14:textId="77777777" w:rsidR="00127D69" w:rsidRPr="00A956BF" w:rsidRDefault="00127D69" w:rsidP="00127D69">
            <w:pPr>
              <w:pStyle w:val="Tableheadingrow9pt"/>
              <w:rPr>
                <w:b w:val="0"/>
                <w:color w:val="auto"/>
                <w:sz w:val="17"/>
                <w:szCs w:val="17"/>
              </w:rPr>
            </w:pPr>
          </w:p>
        </w:tc>
      </w:tr>
      <w:tr w:rsidR="00A956BF" w:rsidRPr="00A956BF" w14:paraId="05FE5699" w14:textId="77777777" w:rsidTr="00D628C2">
        <w:trPr>
          <w:jc w:val="center"/>
        </w:trPr>
        <w:tc>
          <w:tcPr>
            <w:tcW w:w="7677" w:type="dxa"/>
            <w:gridSpan w:val="5"/>
            <w:shd w:val="clear" w:color="auto" w:fill="auto"/>
          </w:tcPr>
          <w:p w14:paraId="2120233F" w14:textId="77777777" w:rsidR="00127D69" w:rsidRPr="00A956BF" w:rsidRDefault="00127D69" w:rsidP="00127D69">
            <w:pPr>
              <w:pStyle w:val="Tableheadingrow9pt"/>
              <w:rPr>
                <w:color w:val="auto"/>
              </w:rPr>
            </w:pPr>
            <w:r w:rsidRPr="00A956BF">
              <w:rPr>
                <w:color w:val="auto"/>
              </w:rPr>
              <w:t>Material changes to Program 3.3 resulting from the following measures:</w:t>
            </w:r>
          </w:p>
          <w:p w14:paraId="18A17B27" w14:textId="77777777" w:rsidR="00127D69" w:rsidRPr="00A956BF" w:rsidRDefault="003D76E1" w:rsidP="003D76E1">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3</w:t>
            </w:r>
            <w:r w:rsidRPr="00473719">
              <w:rPr>
                <w:sz w:val="17"/>
                <w:szCs w:val="17"/>
              </w:rPr>
              <w:t xml:space="preserve"> resulting from measures.</w:t>
            </w:r>
          </w:p>
        </w:tc>
      </w:tr>
    </w:tbl>
    <w:p w14:paraId="6BC86F07" w14:textId="77777777" w:rsidR="00DD671F" w:rsidRDefault="00DD671F" w:rsidP="00915F18">
      <w:pPr>
        <w:spacing w:before="0" w:after="160" w:line="259" w:lineRule="auto"/>
        <w:rPr>
          <w:color w:val="auto"/>
          <w:szCs w:val="20"/>
        </w:rPr>
        <w:sectPr w:rsidR="00DD671F" w:rsidSect="00B607A3">
          <w:headerReference w:type="even" r:id="rId8"/>
          <w:headerReference w:type="default" r:id="rId9"/>
          <w:footerReference w:type="even" r:id="rId10"/>
          <w:footerReference w:type="default" r:id="rId11"/>
          <w:type w:val="continuous"/>
          <w:pgSz w:w="11906" w:h="16838"/>
          <w:pgMar w:top="2466" w:right="2268" w:bottom="2126" w:left="2268" w:header="1899" w:footer="1899" w:gutter="0"/>
          <w:pgNumType w:start="101"/>
          <w:cols w:space="708"/>
          <w:docGrid w:linePitch="360"/>
        </w:sectPr>
      </w:pPr>
    </w:p>
    <w:p w14:paraId="41071D54" w14:textId="010D06BF" w:rsidR="00BB03FB" w:rsidRDefault="00BB03FB" w:rsidP="008F0151">
      <w:pPr>
        <w:spacing w:before="0" w:after="160" w:line="259" w:lineRule="auto"/>
        <w:rPr>
          <w:color w:val="auto"/>
          <w:szCs w:val="20"/>
        </w:rPr>
      </w:pPr>
    </w:p>
    <w:sectPr w:rsidR="00BB03FB" w:rsidSect="008F0151">
      <w:headerReference w:type="even" r:id="rId12"/>
      <w:headerReference w:type="default" r:id="rId13"/>
      <w:footerReference w:type="default" r:id="rId1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DC93" w14:textId="77777777" w:rsidR="000565D7" w:rsidRDefault="000565D7" w:rsidP="00DE27DD">
      <w:r>
        <w:separator/>
      </w:r>
    </w:p>
  </w:endnote>
  <w:endnote w:type="continuationSeparator" w:id="0">
    <w:p w14:paraId="2B77F78B" w14:textId="77777777" w:rsidR="000565D7" w:rsidRDefault="000565D7"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81781"/>
      <w:docPartObj>
        <w:docPartGallery w:val="Page Numbers (Bottom of Page)"/>
        <w:docPartUnique/>
      </w:docPartObj>
    </w:sdtPr>
    <w:sdtEndPr>
      <w:rPr>
        <w:noProof/>
      </w:rPr>
    </w:sdtEndPr>
    <w:sdtContent>
      <w:p w14:paraId="02095399" w14:textId="31B34618" w:rsidR="000565D7" w:rsidRDefault="000565D7" w:rsidP="00125EA6">
        <w:pPr>
          <w:pStyle w:val="Footer"/>
          <w:pBdr>
            <w:top w:val="single" w:sz="4" w:space="1" w:color="auto"/>
          </w:pBdr>
          <w:spacing w:before="0"/>
          <w:jc w:val="center"/>
        </w:pPr>
        <w:r>
          <w:fldChar w:fldCharType="begin"/>
        </w:r>
        <w:r>
          <w:instrText xml:space="preserve"> PAGE   \* MERGEFORMAT </w:instrText>
        </w:r>
        <w:r>
          <w:fldChar w:fldCharType="separate"/>
        </w:r>
        <w:r w:rsidR="00870A99">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9B02" w14:textId="04DFEDBD" w:rsidR="000565D7" w:rsidRPr="00A40C24" w:rsidRDefault="000565D7" w:rsidP="005B7F18">
    <w:pPr>
      <w:framePr w:w="851" w:h="1701" w:hRule="exact" w:wrap="around" w:vAnchor="page" w:hAnchor="margin" w:x="7939" w:y="5501"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Outc</w:t>
    </w:r>
    <w:r w:rsidR="00474AAF">
      <w:rPr>
        <w:b/>
        <w:color w:val="FFFFFF" w:themeColor="background1"/>
        <w:spacing w:val="20"/>
        <w:sz w:val="24"/>
        <w:szCs w:val="24"/>
      </w:rPr>
      <w:t>o</w:t>
    </w:r>
    <w:r w:rsidRPr="00A40C24">
      <w:rPr>
        <w:b/>
        <w:color w:val="FFFFFF" w:themeColor="background1"/>
        <w:spacing w:val="20"/>
        <w:sz w:val="24"/>
        <w:szCs w:val="24"/>
      </w:rPr>
      <w:t xml:space="preserve">me </w:t>
    </w:r>
    <w:r>
      <w:rPr>
        <w:b/>
        <w:color w:val="FFFFFF" w:themeColor="background1"/>
        <w:spacing w:val="20"/>
        <w:sz w:val="24"/>
        <w:szCs w:val="24"/>
      </w:rPr>
      <w:t>3</w:t>
    </w:r>
  </w:p>
  <w:sdt>
    <w:sdtPr>
      <w:id w:val="2133986380"/>
      <w:docPartObj>
        <w:docPartGallery w:val="Page Numbers (Bottom of Page)"/>
        <w:docPartUnique/>
      </w:docPartObj>
    </w:sdtPr>
    <w:sdtEndPr>
      <w:rPr>
        <w:noProof/>
      </w:rPr>
    </w:sdtEndPr>
    <w:sdtContent>
      <w:p w14:paraId="47DD6B4D" w14:textId="79E55554" w:rsidR="000565D7" w:rsidRDefault="000565D7" w:rsidP="000565D7">
        <w:pPr>
          <w:pStyle w:val="Heading1"/>
          <w:pBdr>
            <w:top w:val="single" w:sz="4" w:space="1" w:color="auto"/>
          </w:pBdr>
          <w:spacing w:before="0"/>
          <w:rPr>
            <w:noProof/>
          </w:rPr>
        </w:pPr>
        <w:r>
          <w:rPr>
            <w:noProof/>
          </w:rPr>
          <w:fldChar w:fldCharType="begin"/>
        </w:r>
        <w:r>
          <w:rPr>
            <w:noProof/>
          </w:rPr>
          <w:instrText xml:space="preserve"> PAGE   \* MERGEFORMAT </w:instrText>
        </w:r>
        <w:r>
          <w:rPr>
            <w:noProof/>
          </w:rPr>
          <w:fldChar w:fldCharType="separate"/>
        </w:r>
        <w:r w:rsidR="00870A99">
          <w:rPr>
            <w:noProof/>
          </w:rPr>
          <w:t>109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827620"/>
      <w:docPartObj>
        <w:docPartGallery w:val="Page Numbers (Bottom of Page)"/>
        <w:docPartUnique/>
      </w:docPartObj>
    </w:sdtPr>
    <w:sdtEndPr>
      <w:rPr>
        <w:noProof/>
      </w:rPr>
    </w:sdtEndPr>
    <w:sdtContent>
      <w:p w14:paraId="5DF33C0E" w14:textId="55EF30DB" w:rsidR="008F0151" w:rsidRDefault="008F01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43193D" w14:textId="52533A5F" w:rsidR="00DD671F" w:rsidRDefault="00DD671F" w:rsidP="000565D7">
    <w:pPr>
      <w:pStyle w:val="Heading1"/>
      <w:pBdr>
        <w:top w:val="single" w:sz="4" w:space="1" w:color="auto"/>
      </w:pBdr>
      <w:spacing w:befor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E7DC" w14:textId="77777777" w:rsidR="000565D7" w:rsidRDefault="000565D7" w:rsidP="00DE27DD">
      <w:r>
        <w:separator/>
      </w:r>
    </w:p>
  </w:footnote>
  <w:footnote w:type="continuationSeparator" w:id="0">
    <w:p w14:paraId="693ADC42" w14:textId="77777777" w:rsidR="000565D7" w:rsidRDefault="000565D7" w:rsidP="00DE27DD">
      <w:r>
        <w:continuationSeparator/>
      </w:r>
    </w:p>
  </w:footnote>
  <w:footnote w:id="1">
    <w:p w14:paraId="3005E3A8" w14:textId="77777777" w:rsidR="000565D7" w:rsidRDefault="000565D7" w:rsidP="00992B62">
      <w:pPr>
        <w:pStyle w:val="FootnoteText"/>
        <w:spacing w:before="0"/>
      </w:pPr>
      <w:r>
        <w:rPr>
          <w:rStyle w:val="FootnoteReference"/>
        </w:rPr>
        <w:footnoteRef/>
      </w:r>
      <w:r>
        <w:tab/>
      </w:r>
      <w:r w:rsidRPr="003B1379">
        <w:t xml:space="preserve">Refer to the </w:t>
      </w:r>
      <w:r w:rsidRPr="00562F06">
        <w:t>ACQSC</w:t>
      </w:r>
      <w:r w:rsidRPr="003B1379">
        <w:t xml:space="preserve"> chapter in these </w:t>
      </w:r>
      <w:r w:rsidRPr="00207AAE">
        <w:t>Portfolio</w:t>
      </w:r>
      <w:r w:rsidRPr="003B1379">
        <w:t xml:space="preserve"> Budget Statement</w:t>
      </w:r>
      <w:r>
        <w:t>s (PB Statements)</w:t>
      </w:r>
      <w:r w:rsidRPr="003B1379">
        <w:t xml:space="preserve"> for further information on the work of this entity.</w:t>
      </w:r>
    </w:p>
  </w:footnote>
  <w:footnote w:id="2">
    <w:p w14:paraId="6CFB5F86" w14:textId="77777777" w:rsidR="000565D7" w:rsidRDefault="000565D7" w:rsidP="00992B62">
      <w:pPr>
        <w:pStyle w:val="FootnoteText"/>
        <w:spacing w:before="0"/>
      </w:pPr>
      <w:r>
        <w:rPr>
          <w:rStyle w:val="FootnoteReference"/>
        </w:rPr>
        <w:footnoteRef/>
      </w:r>
      <w:r>
        <w:tab/>
      </w:r>
      <w:r w:rsidRPr="00AE5838">
        <w:t>For Budget estimates relating to the National Partnership component of the program, refer to Budget Paper No. 3 or Program 1.9 of Treasury’s PB Statements.</w:t>
      </w:r>
    </w:p>
  </w:footnote>
  <w:footnote w:id="3">
    <w:p w14:paraId="028C7A11" w14:textId="65EBB162" w:rsidR="000565D7" w:rsidRDefault="000565D7" w:rsidP="0067549A">
      <w:pPr>
        <w:pStyle w:val="FootnoteText"/>
        <w:spacing w:before="0"/>
      </w:pPr>
      <w:r>
        <w:rPr>
          <w:rStyle w:val="FootnoteReference"/>
        </w:rPr>
        <w:footnoteRef/>
      </w:r>
      <w:r>
        <w:tab/>
      </w:r>
      <w:r w:rsidRPr="003B1379">
        <w:t xml:space="preserve">Refer to the </w:t>
      </w:r>
      <w:r>
        <w:t>IHPA</w:t>
      </w:r>
      <w:r w:rsidRPr="003B1379">
        <w:t xml:space="preserve"> chapter in these </w:t>
      </w:r>
      <w:r>
        <w:t>PB Statements</w:t>
      </w:r>
      <w:r w:rsidRPr="003B1379">
        <w:t xml:space="preserve"> for further information on the work of this entity.</w:t>
      </w:r>
    </w:p>
  </w:footnote>
  <w:footnote w:id="4">
    <w:p w14:paraId="6C143ADE" w14:textId="0480CFC8" w:rsidR="000565D7" w:rsidRDefault="000565D7" w:rsidP="0067549A">
      <w:pPr>
        <w:pStyle w:val="FootnoteText"/>
        <w:spacing w:before="0"/>
      </w:pPr>
      <w:r>
        <w:rPr>
          <w:rStyle w:val="FootnoteReference"/>
        </w:rPr>
        <w:footnoteRef/>
      </w:r>
      <w:r>
        <w:t xml:space="preserve"> </w:t>
      </w:r>
      <w:r>
        <w:tab/>
      </w:r>
      <w:r w:rsidRPr="00923ED5">
        <w:rPr>
          <w:color w:val="auto"/>
        </w:rPr>
        <w:t>Refers to updated key activities tha</w:t>
      </w:r>
      <w:r>
        <w:rPr>
          <w:color w:val="auto"/>
        </w:rPr>
        <w:t>t will be reflected in the 2022–</w:t>
      </w:r>
      <w:r w:rsidRPr="00923ED5">
        <w:rPr>
          <w:color w:val="auto"/>
        </w:rPr>
        <w:t>23 Corporate Plan</w:t>
      </w:r>
      <w:r>
        <w:rPr>
          <w:color w:val="auto"/>
        </w:rPr>
        <w:t>.</w:t>
      </w:r>
    </w:p>
  </w:footnote>
  <w:footnote w:id="5">
    <w:p w14:paraId="03B34125" w14:textId="77777777" w:rsidR="000565D7" w:rsidRDefault="000565D7" w:rsidP="007E797C">
      <w:pPr>
        <w:pStyle w:val="FootnoteText"/>
      </w:pPr>
      <w:r>
        <w:rPr>
          <w:rStyle w:val="FootnoteReference"/>
        </w:rPr>
        <w:footnoteRef/>
      </w:r>
      <w:r>
        <w:t xml:space="preserve"> </w:t>
      </w:r>
      <w:r>
        <w:tab/>
        <w:t>Ibid.</w:t>
      </w:r>
    </w:p>
  </w:footnote>
  <w:footnote w:id="6">
    <w:p w14:paraId="76946881" w14:textId="33F641B8" w:rsidR="000565D7" w:rsidRDefault="000565D7" w:rsidP="0067549A">
      <w:pPr>
        <w:pStyle w:val="FootnoteText"/>
        <w:tabs>
          <w:tab w:val="clear" w:pos="284"/>
        </w:tabs>
        <w:spacing w:before="0"/>
      </w:pPr>
      <w:r>
        <w:rPr>
          <w:rStyle w:val="FootnoteReference"/>
        </w:rPr>
        <w:footnoteRef/>
      </w:r>
      <w:r>
        <w:t xml:space="preserve"> </w:t>
      </w:r>
      <w:r>
        <w:tab/>
        <w:t>Assessment organisations are currently funded to 30 June 2023. Targets beyond this date will be considered in the future single assessment system arrangements.</w:t>
      </w:r>
    </w:p>
  </w:footnote>
  <w:footnote w:id="7">
    <w:p w14:paraId="62337E51" w14:textId="77777777" w:rsidR="000565D7" w:rsidRDefault="000565D7" w:rsidP="00992B62">
      <w:pPr>
        <w:pStyle w:val="FootnoteText"/>
        <w:spacing w:before="0"/>
      </w:pPr>
      <w:r>
        <w:rPr>
          <w:rStyle w:val="FootnoteReference"/>
        </w:rPr>
        <w:footnoteRef/>
      </w:r>
      <w:r>
        <w:tab/>
      </w:r>
      <w:r w:rsidRPr="00C8136C">
        <w:t>‘Users’ refers</w:t>
      </w:r>
      <w:r>
        <w:t xml:space="preserve"> </w:t>
      </w:r>
      <w:r w:rsidRPr="00C8136C">
        <w:t>to callers to</w:t>
      </w:r>
      <w:r>
        <w:t xml:space="preserve"> the</w:t>
      </w:r>
      <w:r w:rsidRPr="00C8136C">
        <w:t xml:space="preserve"> My Aged Care Contact Centre and visitors to</w:t>
      </w:r>
      <w:r>
        <w:t xml:space="preserve"> the</w:t>
      </w:r>
      <w:r w:rsidRPr="00C8136C">
        <w:t xml:space="preserve"> My Aged Care </w:t>
      </w:r>
      <w:r>
        <w:t>w</w:t>
      </w:r>
      <w:r w:rsidRPr="00C8136C">
        <w:t>ebsite, including people seeking information or services for themselves or others</w:t>
      </w:r>
      <w:r>
        <w:t>,</w:t>
      </w:r>
      <w:r w:rsidRPr="00C8136C">
        <w:t xml:space="preserve"> as well as aged care service providers seeking information or system help</w:t>
      </w:r>
      <w:r>
        <w:t>.</w:t>
      </w:r>
    </w:p>
  </w:footnote>
  <w:footnote w:id="8">
    <w:p w14:paraId="6C81E6B5" w14:textId="66C0CCE6" w:rsidR="000565D7" w:rsidRPr="003B069F" w:rsidRDefault="000565D7" w:rsidP="00992B62">
      <w:pPr>
        <w:pStyle w:val="FootnoteText"/>
        <w:spacing w:before="0"/>
        <w:rPr>
          <w:color w:val="auto"/>
        </w:rPr>
      </w:pPr>
      <w:r>
        <w:rPr>
          <w:rStyle w:val="FootnoteReference"/>
        </w:rPr>
        <w:footnoteRef/>
      </w:r>
      <w:r>
        <w:tab/>
        <w:t>‘Satisfied’ callers to the My Aged Care Contact Centre are those who give the</w:t>
      </w:r>
      <w:r w:rsidRPr="00BB2AC9">
        <w:t xml:space="preserve"> </w:t>
      </w:r>
      <w:r>
        <w:t xml:space="preserve">contact centre a score of </w:t>
      </w:r>
      <w:r>
        <w:br/>
        <w:t>6 to 10 on a scale of zero to 10 in response to the My Aged Care Customer Satisfaction Survey question: ‘How satisfied were you overall with your experience?</w:t>
      </w:r>
      <w:r>
        <w:rPr>
          <w:color w:val="000000" w:themeColor="text1"/>
        </w:rPr>
        <w:t>’ ‘</w:t>
      </w:r>
      <w:r w:rsidRPr="003B069F">
        <w:rPr>
          <w:color w:val="auto"/>
        </w:rPr>
        <w:t>Satisfied’ visitors to the website consi</w:t>
      </w:r>
      <w:r>
        <w:rPr>
          <w:color w:val="auto"/>
        </w:rPr>
        <w:t xml:space="preserve">st of an aggregate score from </w:t>
      </w:r>
      <w:r w:rsidRPr="003B069F">
        <w:rPr>
          <w:color w:val="auto"/>
        </w:rPr>
        <w:t>multiple questions which measure key indi</w:t>
      </w:r>
      <w:r>
        <w:rPr>
          <w:color w:val="auto"/>
        </w:rPr>
        <w:t>cators of website satisfaction.</w:t>
      </w:r>
    </w:p>
  </w:footnote>
  <w:footnote w:id="9">
    <w:p w14:paraId="0A78501D" w14:textId="77777777" w:rsidR="000565D7" w:rsidRDefault="000565D7" w:rsidP="00013D29">
      <w:pPr>
        <w:pStyle w:val="Tabletextmeasure85pt"/>
        <w:keepNext/>
        <w:keepLines/>
        <w:spacing w:before="0" w:after="0"/>
        <w:ind w:left="284" w:hanging="284"/>
      </w:pPr>
      <w:r w:rsidRPr="00C438A0">
        <w:rPr>
          <w:rStyle w:val="FootnoteReference"/>
        </w:rPr>
        <w:footnoteRef/>
      </w:r>
      <w:r w:rsidRPr="00C438A0">
        <w:t xml:space="preserve"> </w:t>
      </w:r>
      <w:r w:rsidRPr="00C438A0">
        <w:tab/>
      </w:r>
      <w:r>
        <w:rPr>
          <w:sz w:val="15"/>
          <w:szCs w:val="20"/>
        </w:rPr>
        <w:t>F</w:t>
      </w:r>
      <w:r w:rsidRPr="00C438A0">
        <w:rPr>
          <w:sz w:val="15"/>
          <w:szCs w:val="20"/>
        </w:rPr>
        <w:t>orward estimates</w:t>
      </w:r>
      <w:r>
        <w:rPr>
          <w:sz w:val="15"/>
          <w:szCs w:val="20"/>
        </w:rPr>
        <w:t xml:space="preserve"> planned performance results</w:t>
      </w:r>
      <w:r w:rsidRPr="00C438A0">
        <w:rPr>
          <w:sz w:val="15"/>
          <w:szCs w:val="20"/>
        </w:rPr>
        <w:t xml:space="preserve"> are not</w:t>
      </w:r>
      <w:r>
        <w:rPr>
          <w:sz w:val="15"/>
          <w:szCs w:val="20"/>
        </w:rPr>
        <w:t xml:space="preserve"> yet</w:t>
      </w:r>
      <w:r w:rsidRPr="00C438A0">
        <w:rPr>
          <w:sz w:val="15"/>
          <w:szCs w:val="20"/>
        </w:rPr>
        <w:t xml:space="preserve"> available as they are subject to new contractual arrangements.</w:t>
      </w:r>
      <w:r>
        <w:t xml:space="preserve"> </w:t>
      </w:r>
    </w:p>
  </w:footnote>
  <w:footnote w:id="10">
    <w:p w14:paraId="684B3856" w14:textId="64FDFF9C" w:rsidR="000565D7" w:rsidRPr="00C438A0" w:rsidRDefault="000565D7" w:rsidP="00C438A0">
      <w:pPr>
        <w:pStyle w:val="FootnoteText"/>
        <w:spacing w:before="0"/>
      </w:pPr>
      <w:r w:rsidRPr="00C438A0">
        <w:rPr>
          <w:rStyle w:val="FootnoteReference"/>
        </w:rPr>
        <w:footnoteRef/>
      </w:r>
      <w:r w:rsidRPr="00C438A0">
        <w:t xml:space="preserve"> </w:t>
      </w:r>
      <w:r w:rsidRPr="00C438A0">
        <w:tab/>
      </w:r>
      <w:r>
        <w:t>Due to ongoing contract negotiations, t</w:t>
      </w:r>
      <w:r w:rsidRPr="00C438A0">
        <w:t>he</w:t>
      </w:r>
      <w:r>
        <w:t xml:space="preserve"> Budget year</w:t>
      </w:r>
      <w:r w:rsidRPr="00C438A0">
        <w:t xml:space="preserve"> planned performance re</w:t>
      </w:r>
      <w:r>
        <w:t>sult for this measure is not yet available. It will be</w:t>
      </w:r>
      <w:r w:rsidRPr="00C438A0">
        <w:t xml:space="preserve"> published in the 2022</w:t>
      </w:r>
      <w:r>
        <w:t>–</w:t>
      </w:r>
      <w:r w:rsidRPr="00C438A0">
        <w:t>23 Portfolio Addit</w:t>
      </w:r>
      <w:r>
        <w:t>ional Estimate Statements</w:t>
      </w:r>
      <w:r w:rsidRPr="00C438A0">
        <w:t>.</w:t>
      </w:r>
    </w:p>
  </w:footnote>
  <w:footnote w:id="11">
    <w:p w14:paraId="0D68CF04" w14:textId="3C9B4C11" w:rsidR="000565D7" w:rsidRPr="0071368C" w:rsidRDefault="000565D7" w:rsidP="001F0161">
      <w:pPr>
        <w:pStyle w:val="FootnoteText"/>
        <w:spacing w:before="0"/>
      </w:pPr>
      <w:r>
        <w:rPr>
          <w:rStyle w:val="FootnoteReference"/>
        </w:rPr>
        <w:footnoteRef/>
      </w:r>
      <w:r>
        <w:t xml:space="preserve"> </w:t>
      </w:r>
      <w:r>
        <w:tab/>
        <w:t>The annual number of website visitors is in the order of 4.5 million, with around 14,000 (or 0.30%) completing the online survey. In addition to those who complete the survey that are ‘satisfied’ with the website, there is another 30% who are ‘neutral’, meaning they are neither satisfied nor dissatisfied with their experience of the website.</w:t>
      </w:r>
    </w:p>
  </w:footnote>
  <w:footnote w:id="12">
    <w:p w14:paraId="0AA8772A" w14:textId="6BDA7740" w:rsidR="000565D7" w:rsidRDefault="000565D7" w:rsidP="0067549A">
      <w:pPr>
        <w:pStyle w:val="FootnoteText"/>
        <w:spacing w:before="0"/>
      </w:pPr>
      <w:r>
        <w:rPr>
          <w:rStyle w:val="FootnoteReference"/>
        </w:rPr>
        <w:footnoteRef/>
      </w:r>
      <w:r>
        <w:t xml:space="preserve"> </w:t>
      </w:r>
      <w:r>
        <w:tab/>
      </w:r>
      <w:r w:rsidRPr="00923ED5">
        <w:rPr>
          <w:color w:val="auto"/>
        </w:rPr>
        <w:t>Refers to updated key activities tha</w:t>
      </w:r>
      <w:r>
        <w:rPr>
          <w:color w:val="auto"/>
        </w:rPr>
        <w:t>t will be reflected in the 2022–</w:t>
      </w:r>
      <w:r w:rsidRPr="00923ED5">
        <w:rPr>
          <w:color w:val="auto"/>
        </w:rPr>
        <w:t>23 Corporate Plan</w:t>
      </w:r>
      <w:r>
        <w:rPr>
          <w:color w:val="auto"/>
        </w:rPr>
        <w:t>.</w:t>
      </w:r>
    </w:p>
  </w:footnote>
  <w:footnote w:id="13">
    <w:p w14:paraId="4BB23038" w14:textId="7F7601C9" w:rsidR="000565D7" w:rsidRDefault="000565D7" w:rsidP="0067549A">
      <w:pPr>
        <w:pStyle w:val="FootnoteText"/>
        <w:spacing w:before="0"/>
      </w:pPr>
      <w:r>
        <w:rPr>
          <w:rStyle w:val="FootnoteReference"/>
        </w:rPr>
        <w:footnoteRef/>
      </w:r>
      <w:r>
        <w:t xml:space="preserve"> </w:t>
      </w:r>
      <w:r>
        <w:tab/>
        <w:t>A new support at home program to replace the Commonwealth Home Support Programme, the Home Care Packages Program and the Short Term Restorative Care Programme is being developed, to apply from July 2023.</w:t>
      </w:r>
    </w:p>
  </w:footnote>
  <w:footnote w:id="14">
    <w:p w14:paraId="610FB44E" w14:textId="10CE70D2" w:rsidR="000565D7" w:rsidRDefault="000565D7" w:rsidP="000C1C8B">
      <w:pPr>
        <w:pStyle w:val="FootnoteText"/>
        <w:tabs>
          <w:tab w:val="clear" w:pos="284"/>
          <w:tab w:val="left" w:pos="0"/>
        </w:tabs>
        <w:spacing w:before="0"/>
      </w:pPr>
      <w:r>
        <w:rPr>
          <w:rStyle w:val="FootnoteReference"/>
        </w:rPr>
        <w:footnoteRef/>
      </w:r>
      <w:r>
        <w:t xml:space="preserve"> </w:t>
      </w:r>
      <w:r>
        <w:tab/>
        <w:t>The planned performance results for each financial year reflect 30 June estimates and are rounded to the nearest 100.</w:t>
      </w:r>
    </w:p>
  </w:footnote>
  <w:footnote w:id="15">
    <w:p w14:paraId="0FAE9D8C" w14:textId="213A32E0" w:rsidR="000565D7" w:rsidRDefault="000565D7" w:rsidP="000C1C8B">
      <w:pPr>
        <w:pStyle w:val="FootnoteText"/>
        <w:spacing w:before="0"/>
      </w:pPr>
      <w:r>
        <w:rPr>
          <w:rStyle w:val="FootnoteReference"/>
        </w:rPr>
        <w:footnoteRef/>
      </w:r>
      <w:r>
        <w:t xml:space="preserve"> </w:t>
      </w:r>
      <w:r>
        <w:tab/>
        <w:t>A new support at home program to replace the Commonwealth Home Support Programme, the Home Care Packages Program and the Short Term Restorative Care Programme is being developed, to apply from July 2023.</w:t>
      </w:r>
    </w:p>
  </w:footnote>
  <w:footnote w:id="16">
    <w:p w14:paraId="66EA06A0" w14:textId="526933F0" w:rsidR="000565D7" w:rsidRDefault="000565D7" w:rsidP="0067549A">
      <w:pPr>
        <w:pStyle w:val="FootnoteText"/>
        <w:spacing w:before="0"/>
      </w:pPr>
      <w:r>
        <w:rPr>
          <w:rStyle w:val="FootnoteReference"/>
        </w:rPr>
        <w:footnoteRef/>
      </w:r>
      <w:r>
        <w:t xml:space="preserve"> </w:t>
      </w:r>
      <w:r>
        <w:tab/>
        <w:t>From 1 July 2024, residential care places will be allocated directly to consumers.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F5CA" w14:textId="5FE297EA" w:rsidR="000565D7" w:rsidRDefault="000565D7" w:rsidP="00915F18">
    <w:pPr>
      <w:pStyle w:val="Header2-Left-Even"/>
      <w:spacing w:before="0" w:after="40"/>
    </w:pPr>
    <w:r>
      <w:t>2022–23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6C8D" w14:textId="12EACE8B" w:rsidR="000565D7" w:rsidRDefault="000565D7" w:rsidP="00915F18">
    <w:pPr>
      <w:pStyle w:val="Header1-Right-Odd"/>
      <w:spacing w:before="0" w:after="40"/>
    </w:pPr>
    <w:r w:rsidRPr="00F76F6B">
      <w:t>Sec</w:t>
    </w:r>
    <w:r>
      <w:t>tion 2 – Department Outcomes – 3</w:t>
    </w:r>
    <w:r w:rsidRPr="00F76F6B">
      <w:t>:</w:t>
    </w:r>
    <w:r>
      <w:t xml:space="preserve"> Ageing and Aged Care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A85F" w14:textId="100542F2" w:rsidR="008F0151" w:rsidRPr="008F0151" w:rsidRDefault="008F0151" w:rsidP="008F0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250F" w14:textId="388D0168" w:rsidR="00DD671F" w:rsidRPr="00DD671F" w:rsidRDefault="00DD671F" w:rsidP="00DD6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B64"/>
    <w:multiLevelType w:val="hybridMultilevel"/>
    <w:tmpl w:val="A6C42018"/>
    <w:lvl w:ilvl="0" w:tplc="DDD284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038C6"/>
    <w:multiLevelType w:val="hybridMultilevel"/>
    <w:tmpl w:val="7654FE3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655FA5"/>
    <w:multiLevelType w:val="hybridMultilevel"/>
    <w:tmpl w:val="352C21C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B32F8D"/>
    <w:multiLevelType w:val="hybridMultilevel"/>
    <w:tmpl w:val="AE42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9429F"/>
    <w:multiLevelType w:val="hybridMultilevel"/>
    <w:tmpl w:val="3C5E472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C0C25"/>
    <w:multiLevelType w:val="hybridMultilevel"/>
    <w:tmpl w:val="E5C0AFA8"/>
    <w:lvl w:ilvl="0" w:tplc="4A5E4B4C">
      <w:start w:val="1"/>
      <w:numFmt w:val="bullet"/>
      <w:lvlText w:val=""/>
      <w:lvlJc w:val="left"/>
      <w:pPr>
        <w:ind w:left="284" w:hanging="284"/>
      </w:pPr>
      <w:rPr>
        <w:rFonts w:ascii="Symbol" w:hAnsi="Symbol"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EB64BC"/>
    <w:multiLevelType w:val="hybridMultilevel"/>
    <w:tmpl w:val="D01AED5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E863B53"/>
    <w:multiLevelType w:val="hybridMultilevel"/>
    <w:tmpl w:val="CBA05DE2"/>
    <w:lvl w:ilvl="0" w:tplc="146014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F7D392A"/>
    <w:multiLevelType w:val="hybridMultilevel"/>
    <w:tmpl w:val="F330066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1992277"/>
    <w:multiLevelType w:val="hybridMultilevel"/>
    <w:tmpl w:val="E4E4A2D2"/>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C4F89"/>
    <w:multiLevelType w:val="hybridMultilevel"/>
    <w:tmpl w:val="F59ABADA"/>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222ED"/>
    <w:multiLevelType w:val="hybridMultilevel"/>
    <w:tmpl w:val="0CB4DB5A"/>
    <w:lvl w:ilvl="0" w:tplc="DDD284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C1F90"/>
    <w:multiLevelType w:val="hybridMultilevel"/>
    <w:tmpl w:val="2C844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A0C08"/>
    <w:multiLevelType w:val="hybridMultilevel"/>
    <w:tmpl w:val="51B281FE"/>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F7003E1"/>
    <w:multiLevelType w:val="hybridMultilevel"/>
    <w:tmpl w:val="C2DAE1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014344"/>
    <w:multiLevelType w:val="hybridMultilevel"/>
    <w:tmpl w:val="6214EDE2"/>
    <w:lvl w:ilvl="0" w:tplc="B0321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236764"/>
    <w:multiLevelType w:val="hybridMultilevel"/>
    <w:tmpl w:val="3BAE0A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443F11"/>
    <w:multiLevelType w:val="hybridMultilevel"/>
    <w:tmpl w:val="65AC0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
  </w:num>
  <w:num w:numId="4">
    <w:abstractNumId w:val="5"/>
  </w:num>
  <w:num w:numId="5">
    <w:abstractNumId w:val="15"/>
  </w:num>
  <w:num w:numId="6">
    <w:abstractNumId w:val="17"/>
  </w:num>
  <w:num w:numId="7">
    <w:abstractNumId w:val="7"/>
  </w:num>
  <w:num w:numId="8">
    <w:abstractNumId w:val="8"/>
  </w:num>
  <w:num w:numId="9">
    <w:abstractNumId w:val="6"/>
  </w:num>
  <w:num w:numId="10">
    <w:abstractNumId w:val="16"/>
  </w:num>
  <w:num w:numId="11">
    <w:abstractNumId w:val="14"/>
  </w:num>
  <w:num w:numId="12">
    <w:abstractNumId w:val="3"/>
  </w:num>
  <w:num w:numId="13">
    <w:abstractNumId w:val="10"/>
  </w:num>
  <w:num w:numId="14">
    <w:abstractNumId w:val="9"/>
  </w:num>
  <w:num w:numId="15">
    <w:abstractNumId w:val="2"/>
  </w:num>
  <w:num w:numId="16">
    <w:abstractNumId w:val="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1903"/>
    <w:rsid w:val="0000361E"/>
    <w:rsid w:val="000110CF"/>
    <w:rsid w:val="00013D29"/>
    <w:rsid w:val="00041B53"/>
    <w:rsid w:val="00050C46"/>
    <w:rsid w:val="00052E77"/>
    <w:rsid w:val="0005567C"/>
    <w:rsid w:val="000565D7"/>
    <w:rsid w:val="00073A04"/>
    <w:rsid w:val="00074E5D"/>
    <w:rsid w:val="00076A6A"/>
    <w:rsid w:val="000A4168"/>
    <w:rsid w:val="000A74AA"/>
    <w:rsid w:val="000C0E64"/>
    <w:rsid w:val="000C1C8B"/>
    <w:rsid w:val="000E2E62"/>
    <w:rsid w:val="000F174A"/>
    <w:rsid w:val="00101421"/>
    <w:rsid w:val="00115047"/>
    <w:rsid w:val="00115A8C"/>
    <w:rsid w:val="00125EA6"/>
    <w:rsid w:val="00127609"/>
    <w:rsid w:val="00127D69"/>
    <w:rsid w:val="001367A0"/>
    <w:rsid w:val="00142CD1"/>
    <w:rsid w:val="00144BF1"/>
    <w:rsid w:val="00173E41"/>
    <w:rsid w:val="001749D5"/>
    <w:rsid w:val="00183F45"/>
    <w:rsid w:val="00186376"/>
    <w:rsid w:val="001A3F5D"/>
    <w:rsid w:val="001A7A30"/>
    <w:rsid w:val="001B27AF"/>
    <w:rsid w:val="001B47E7"/>
    <w:rsid w:val="001D4981"/>
    <w:rsid w:val="001F0161"/>
    <w:rsid w:val="001F143C"/>
    <w:rsid w:val="00207AAE"/>
    <w:rsid w:val="0022456E"/>
    <w:rsid w:val="00234983"/>
    <w:rsid w:val="002368DB"/>
    <w:rsid w:val="00245378"/>
    <w:rsid w:val="00253629"/>
    <w:rsid w:val="00253AE8"/>
    <w:rsid w:val="00275628"/>
    <w:rsid w:val="00280050"/>
    <w:rsid w:val="00290DF0"/>
    <w:rsid w:val="002922AC"/>
    <w:rsid w:val="002947DF"/>
    <w:rsid w:val="002A55DB"/>
    <w:rsid w:val="002A5850"/>
    <w:rsid w:val="002A650D"/>
    <w:rsid w:val="002A6E06"/>
    <w:rsid w:val="002B22C2"/>
    <w:rsid w:val="002B3951"/>
    <w:rsid w:val="002C6FD4"/>
    <w:rsid w:val="002D1A09"/>
    <w:rsid w:val="002E6BEB"/>
    <w:rsid w:val="00303250"/>
    <w:rsid w:val="003164F9"/>
    <w:rsid w:val="00320F18"/>
    <w:rsid w:val="00330D1D"/>
    <w:rsid w:val="00353FCE"/>
    <w:rsid w:val="00362D81"/>
    <w:rsid w:val="0037037F"/>
    <w:rsid w:val="00383A2E"/>
    <w:rsid w:val="00385570"/>
    <w:rsid w:val="003874A6"/>
    <w:rsid w:val="00394FF0"/>
    <w:rsid w:val="003A20B0"/>
    <w:rsid w:val="003D0522"/>
    <w:rsid w:val="003D5525"/>
    <w:rsid w:val="003D76E1"/>
    <w:rsid w:val="003E099E"/>
    <w:rsid w:val="003E34B2"/>
    <w:rsid w:val="003E5806"/>
    <w:rsid w:val="00405D94"/>
    <w:rsid w:val="004456BE"/>
    <w:rsid w:val="00450259"/>
    <w:rsid w:val="004536E3"/>
    <w:rsid w:val="00455ACD"/>
    <w:rsid w:val="00466B2D"/>
    <w:rsid w:val="004747FA"/>
    <w:rsid w:val="00474AAF"/>
    <w:rsid w:val="00486194"/>
    <w:rsid w:val="00487904"/>
    <w:rsid w:val="004911F3"/>
    <w:rsid w:val="004A1285"/>
    <w:rsid w:val="004B06A4"/>
    <w:rsid w:val="004B3FBB"/>
    <w:rsid w:val="004C0086"/>
    <w:rsid w:val="004C61D8"/>
    <w:rsid w:val="004C6EF9"/>
    <w:rsid w:val="004E1957"/>
    <w:rsid w:val="004F39A4"/>
    <w:rsid w:val="004F7FDD"/>
    <w:rsid w:val="005002DE"/>
    <w:rsid w:val="005052E9"/>
    <w:rsid w:val="005139AA"/>
    <w:rsid w:val="00522640"/>
    <w:rsid w:val="005228F1"/>
    <w:rsid w:val="00523E25"/>
    <w:rsid w:val="005401C2"/>
    <w:rsid w:val="0055133A"/>
    <w:rsid w:val="0055211F"/>
    <w:rsid w:val="00562F06"/>
    <w:rsid w:val="00564EA0"/>
    <w:rsid w:val="00575802"/>
    <w:rsid w:val="00586613"/>
    <w:rsid w:val="0059440B"/>
    <w:rsid w:val="005A7BF5"/>
    <w:rsid w:val="005B7E3C"/>
    <w:rsid w:val="005B7F18"/>
    <w:rsid w:val="005D52B5"/>
    <w:rsid w:val="005E5506"/>
    <w:rsid w:val="005F723E"/>
    <w:rsid w:val="00600845"/>
    <w:rsid w:val="006030E4"/>
    <w:rsid w:val="00605F41"/>
    <w:rsid w:val="00606B87"/>
    <w:rsid w:val="00616AA1"/>
    <w:rsid w:val="00633145"/>
    <w:rsid w:val="00640E0F"/>
    <w:rsid w:val="00646FB1"/>
    <w:rsid w:val="00661929"/>
    <w:rsid w:val="00663AED"/>
    <w:rsid w:val="00667ED0"/>
    <w:rsid w:val="0067549A"/>
    <w:rsid w:val="006810AA"/>
    <w:rsid w:val="006906BA"/>
    <w:rsid w:val="006A36A3"/>
    <w:rsid w:val="006B1D02"/>
    <w:rsid w:val="006B394C"/>
    <w:rsid w:val="006C225F"/>
    <w:rsid w:val="006C7B8A"/>
    <w:rsid w:val="006C7F1F"/>
    <w:rsid w:val="006D4ECE"/>
    <w:rsid w:val="006D6FDF"/>
    <w:rsid w:val="006E6C35"/>
    <w:rsid w:val="006F17D4"/>
    <w:rsid w:val="006F2395"/>
    <w:rsid w:val="006F503B"/>
    <w:rsid w:val="00710053"/>
    <w:rsid w:val="007103B9"/>
    <w:rsid w:val="00712321"/>
    <w:rsid w:val="0071368C"/>
    <w:rsid w:val="00716A77"/>
    <w:rsid w:val="00722BA4"/>
    <w:rsid w:val="007231FE"/>
    <w:rsid w:val="0074463C"/>
    <w:rsid w:val="0076226A"/>
    <w:rsid w:val="007651D7"/>
    <w:rsid w:val="0076603F"/>
    <w:rsid w:val="00772DED"/>
    <w:rsid w:val="007A06D4"/>
    <w:rsid w:val="007A30EA"/>
    <w:rsid w:val="007B2A27"/>
    <w:rsid w:val="007C2543"/>
    <w:rsid w:val="007D5F25"/>
    <w:rsid w:val="007E797C"/>
    <w:rsid w:val="00814F06"/>
    <w:rsid w:val="008227FA"/>
    <w:rsid w:val="00822EAF"/>
    <w:rsid w:val="0083268E"/>
    <w:rsid w:val="00852F52"/>
    <w:rsid w:val="00865619"/>
    <w:rsid w:val="00870A99"/>
    <w:rsid w:val="00871A65"/>
    <w:rsid w:val="008A0D89"/>
    <w:rsid w:val="008B3B67"/>
    <w:rsid w:val="008D21BC"/>
    <w:rsid w:val="008D6876"/>
    <w:rsid w:val="008F0151"/>
    <w:rsid w:val="008F0746"/>
    <w:rsid w:val="008F5EE1"/>
    <w:rsid w:val="009018F7"/>
    <w:rsid w:val="0091544B"/>
    <w:rsid w:val="00915F18"/>
    <w:rsid w:val="009305C3"/>
    <w:rsid w:val="009428D7"/>
    <w:rsid w:val="00955D76"/>
    <w:rsid w:val="009566C6"/>
    <w:rsid w:val="00963480"/>
    <w:rsid w:val="00963C16"/>
    <w:rsid w:val="00967426"/>
    <w:rsid w:val="00970CF9"/>
    <w:rsid w:val="009771F5"/>
    <w:rsid w:val="0098677F"/>
    <w:rsid w:val="00992B62"/>
    <w:rsid w:val="009939E6"/>
    <w:rsid w:val="009A1CA6"/>
    <w:rsid w:val="009A7303"/>
    <w:rsid w:val="009B0FBD"/>
    <w:rsid w:val="009B3D71"/>
    <w:rsid w:val="009C343F"/>
    <w:rsid w:val="009C478D"/>
    <w:rsid w:val="009C4FA6"/>
    <w:rsid w:val="009C6185"/>
    <w:rsid w:val="009D53A6"/>
    <w:rsid w:val="009E1198"/>
    <w:rsid w:val="009E53AD"/>
    <w:rsid w:val="009E5DC1"/>
    <w:rsid w:val="009F337D"/>
    <w:rsid w:val="009F4EBA"/>
    <w:rsid w:val="00A4016E"/>
    <w:rsid w:val="00A42BED"/>
    <w:rsid w:val="00A50C1D"/>
    <w:rsid w:val="00A65345"/>
    <w:rsid w:val="00A668BF"/>
    <w:rsid w:val="00A76C4D"/>
    <w:rsid w:val="00A77A0E"/>
    <w:rsid w:val="00A81FC1"/>
    <w:rsid w:val="00A82F39"/>
    <w:rsid w:val="00A90CEF"/>
    <w:rsid w:val="00A956BF"/>
    <w:rsid w:val="00AA5E46"/>
    <w:rsid w:val="00AD0B01"/>
    <w:rsid w:val="00AD605C"/>
    <w:rsid w:val="00AD6B91"/>
    <w:rsid w:val="00AD6D83"/>
    <w:rsid w:val="00AD7D75"/>
    <w:rsid w:val="00AE5838"/>
    <w:rsid w:val="00AE5A26"/>
    <w:rsid w:val="00AF234D"/>
    <w:rsid w:val="00AF64A1"/>
    <w:rsid w:val="00B02235"/>
    <w:rsid w:val="00B0279F"/>
    <w:rsid w:val="00B06AD9"/>
    <w:rsid w:val="00B15CDF"/>
    <w:rsid w:val="00B22C27"/>
    <w:rsid w:val="00B365EF"/>
    <w:rsid w:val="00B41FEF"/>
    <w:rsid w:val="00B43BA1"/>
    <w:rsid w:val="00B460C5"/>
    <w:rsid w:val="00B51BB7"/>
    <w:rsid w:val="00B52C7C"/>
    <w:rsid w:val="00B56C44"/>
    <w:rsid w:val="00B607A3"/>
    <w:rsid w:val="00B64C4C"/>
    <w:rsid w:val="00B67A1B"/>
    <w:rsid w:val="00B73145"/>
    <w:rsid w:val="00BA14F4"/>
    <w:rsid w:val="00BA5327"/>
    <w:rsid w:val="00BA69CD"/>
    <w:rsid w:val="00BA7605"/>
    <w:rsid w:val="00BB01EC"/>
    <w:rsid w:val="00BB03FB"/>
    <w:rsid w:val="00BC4810"/>
    <w:rsid w:val="00BC571E"/>
    <w:rsid w:val="00BD0FF9"/>
    <w:rsid w:val="00BD5993"/>
    <w:rsid w:val="00BE0EC1"/>
    <w:rsid w:val="00BE5C33"/>
    <w:rsid w:val="00BE6B21"/>
    <w:rsid w:val="00BE7B69"/>
    <w:rsid w:val="00BF2952"/>
    <w:rsid w:val="00BF62AB"/>
    <w:rsid w:val="00C000E6"/>
    <w:rsid w:val="00C10F04"/>
    <w:rsid w:val="00C22567"/>
    <w:rsid w:val="00C23C45"/>
    <w:rsid w:val="00C30ACA"/>
    <w:rsid w:val="00C40B75"/>
    <w:rsid w:val="00C438A0"/>
    <w:rsid w:val="00C575BE"/>
    <w:rsid w:val="00C66531"/>
    <w:rsid w:val="00C73F5C"/>
    <w:rsid w:val="00C76613"/>
    <w:rsid w:val="00C85B80"/>
    <w:rsid w:val="00C8687A"/>
    <w:rsid w:val="00C91EB9"/>
    <w:rsid w:val="00C92BDB"/>
    <w:rsid w:val="00CA6732"/>
    <w:rsid w:val="00CD71E3"/>
    <w:rsid w:val="00CD7464"/>
    <w:rsid w:val="00CE2F67"/>
    <w:rsid w:val="00CF06B8"/>
    <w:rsid w:val="00CF1709"/>
    <w:rsid w:val="00CF4661"/>
    <w:rsid w:val="00CF7D8F"/>
    <w:rsid w:val="00D02030"/>
    <w:rsid w:val="00D142F1"/>
    <w:rsid w:val="00D1432D"/>
    <w:rsid w:val="00D23286"/>
    <w:rsid w:val="00D242D1"/>
    <w:rsid w:val="00D26B6C"/>
    <w:rsid w:val="00D3567C"/>
    <w:rsid w:val="00D4222D"/>
    <w:rsid w:val="00D429DB"/>
    <w:rsid w:val="00D5072B"/>
    <w:rsid w:val="00D517C9"/>
    <w:rsid w:val="00D628C2"/>
    <w:rsid w:val="00D63BF9"/>
    <w:rsid w:val="00D66199"/>
    <w:rsid w:val="00D7484F"/>
    <w:rsid w:val="00D74C17"/>
    <w:rsid w:val="00D9662C"/>
    <w:rsid w:val="00DA0267"/>
    <w:rsid w:val="00DA438E"/>
    <w:rsid w:val="00DA6477"/>
    <w:rsid w:val="00DB1AC7"/>
    <w:rsid w:val="00DB487A"/>
    <w:rsid w:val="00DD1151"/>
    <w:rsid w:val="00DD39E3"/>
    <w:rsid w:val="00DD44DC"/>
    <w:rsid w:val="00DD671F"/>
    <w:rsid w:val="00DE27DD"/>
    <w:rsid w:val="00DE7DCB"/>
    <w:rsid w:val="00DF3D0F"/>
    <w:rsid w:val="00E205CD"/>
    <w:rsid w:val="00E2086E"/>
    <w:rsid w:val="00E25555"/>
    <w:rsid w:val="00E26588"/>
    <w:rsid w:val="00E3652B"/>
    <w:rsid w:val="00E37191"/>
    <w:rsid w:val="00E405A1"/>
    <w:rsid w:val="00E40DDC"/>
    <w:rsid w:val="00E47451"/>
    <w:rsid w:val="00E64BDB"/>
    <w:rsid w:val="00E73AB8"/>
    <w:rsid w:val="00E76BBE"/>
    <w:rsid w:val="00E80B3A"/>
    <w:rsid w:val="00E86B9D"/>
    <w:rsid w:val="00E9264F"/>
    <w:rsid w:val="00E92C8D"/>
    <w:rsid w:val="00E96D20"/>
    <w:rsid w:val="00EA0B7A"/>
    <w:rsid w:val="00EA10F6"/>
    <w:rsid w:val="00EB2D08"/>
    <w:rsid w:val="00EB4A4E"/>
    <w:rsid w:val="00EB6204"/>
    <w:rsid w:val="00EB7C90"/>
    <w:rsid w:val="00EC6B87"/>
    <w:rsid w:val="00ED36FB"/>
    <w:rsid w:val="00EF2E65"/>
    <w:rsid w:val="00EF6BE7"/>
    <w:rsid w:val="00F026C8"/>
    <w:rsid w:val="00F13A56"/>
    <w:rsid w:val="00F14D6C"/>
    <w:rsid w:val="00F20F9C"/>
    <w:rsid w:val="00F21ADD"/>
    <w:rsid w:val="00F33F24"/>
    <w:rsid w:val="00F3422C"/>
    <w:rsid w:val="00F51E4F"/>
    <w:rsid w:val="00F52C31"/>
    <w:rsid w:val="00F53BA5"/>
    <w:rsid w:val="00F54A50"/>
    <w:rsid w:val="00F667EF"/>
    <w:rsid w:val="00F76F6B"/>
    <w:rsid w:val="00FA06C5"/>
    <w:rsid w:val="00FA2B84"/>
    <w:rsid w:val="00FA5053"/>
    <w:rsid w:val="00FB1E5B"/>
    <w:rsid w:val="00FB494D"/>
    <w:rsid w:val="00FC2A3D"/>
    <w:rsid w:val="00FC3CB5"/>
    <w:rsid w:val="00FC4239"/>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4CC61803"/>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001903"/>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4E195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Default">
    <w:name w:val="Default"/>
    <w:uiPriority w:val="99"/>
    <w:rsid w:val="00562F06"/>
    <w:pPr>
      <w:autoSpaceDE w:val="0"/>
      <w:autoSpaceDN w:val="0"/>
      <w:adjustRightInd w:val="0"/>
      <w:spacing w:after="0" w:line="240" w:lineRule="auto"/>
    </w:pPr>
    <w:rPr>
      <w:rFonts w:ascii="Arial" w:hAnsi="Arial" w:cs="Arial"/>
      <w:color w:val="000000"/>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FA5053"/>
    <w:pPr>
      <w:ind w:left="720"/>
      <w:contextualSpacing/>
    </w:pPr>
  </w:style>
  <w:style w:type="paragraph" w:customStyle="1" w:styleId="Tabletextnormal9pt">
    <w:name w:val="Table text (normal) 9pt"/>
    <w:qFormat/>
    <w:locked/>
    <w:rsid w:val="00FA5053"/>
    <w:pPr>
      <w:spacing w:before="40" w:after="40" w:line="240" w:lineRule="auto"/>
    </w:pPr>
    <w:rPr>
      <w:rFonts w:ascii="Arial" w:eastAsia="Times New Roman" w:hAnsi="Arial" w:cs="Arial"/>
      <w:color w:val="000000"/>
      <w:sz w:val="18"/>
      <w:szCs w:val="18"/>
      <w:lang w:eastAsia="en-AU"/>
    </w:rPr>
  </w:style>
  <w:style w:type="paragraph" w:styleId="BalloonText">
    <w:name w:val="Balloon Text"/>
    <w:basedOn w:val="Normal"/>
    <w:link w:val="BalloonTextChar"/>
    <w:rsid w:val="00646FB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6FB1"/>
    <w:rPr>
      <w:rFonts w:ascii="Tahoma" w:eastAsia="Times New Roman" w:hAnsi="Tahoma" w:cs="Tahoma"/>
      <w:color w:val="000000"/>
      <w:sz w:val="16"/>
      <w:szCs w:val="16"/>
      <w:lang w:eastAsia="en-AU"/>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646FB1"/>
    <w:rPr>
      <w:rFonts w:ascii="Arial" w:eastAsia="Times New Roman" w:hAnsi="Arial" w:cs="Arial"/>
      <w:color w:val="000000"/>
      <w:sz w:val="18"/>
      <w:szCs w:val="18"/>
      <w:lang w:eastAsia="en-AU"/>
    </w:rPr>
  </w:style>
  <w:style w:type="paragraph" w:customStyle="1" w:styleId="StyleTableGraphicItalicRed">
    <w:name w:val="Style Table Graphic + Italic Red"/>
    <w:basedOn w:val="Normal"/>
    <w:rsid w:val="00383A2E"/>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3E34B2"/>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3E34B2"/>
    <w:rPr>
      <w:rFonts w:eastAsia="Times New Roman"/>
      <w:b/>
      <w:bCs/>
      <w:i/>
      <w:iCs/>
      <w:color w:val="5B9BD5" w:themeColor="accent1"/>
    </w:rPr>
  </w:style>
  <w:style w:type="paragraph" w:customStyle="1" w:styleId="Tabletextmeasure85pt">
    <w:name w:val="Table text (measure) 8.5pt"/>
    <w:basedOn w:val="Tabletextnormal9pt"/>
    <w:qFormat/>
    <w:rsid w:val="003E34B2"/>
    <w:rPr>
      <w:sz w:val="17"/>
      <w:szCs w:val="17"/>
    </w:rPr>
  </w:style>
  <w:style w:type="paragraph" w:styleId="CommentText">
    <w:name w:val="annotation text"/>
    <w:basedOn w:val="Normal"/>
    <w:link w:val="CommentTextChar"/>
    <w:uiPriority w:val="99"/>
    <w:semiHidden/>
    <w:unhideWhenUsed/>
    <w:rsid w:val="00076A6A"/>
    <w:rPr>
      <w:sz w:val="20"/>
      <w:szCs w:val="20"/>
    </w:rPr>
  </w:style>
  <w:style w:type="character" w:customStyle="1" w:styleId="CommentTextChar">
    <w:name w:val="Comment Text Char"/>
    <w:basedOn w:val="DefaultParagraphFont"/>
    <w:link w:val="CommentText"/>
    <w:uiPriority w:val="99"/>
    <w:semiHidden/>
    <w:rsid w:val="00076A6A"/>
    <w:rPr>
      <w:rFonts w:ascii="Arial" w:eastAsia="Times New Roman" w:hAnsi="Arial" w:cs="Arial"/>
      <w:color w:val="000000"/>
      <w:sz w:val="20"/>
      <w:szCs w:val="20"/>
      <w:lang w:eastAsia="en-AU"/>
    </w:rPr>
  </w:style>
  <w:style w:type="character" w:styleId="CommentReference">
    <w:name w:val="annotation reference"/>
    <w:basedOn w:val="DefaultParagraphFont"/>
    <w:uiPriority w:val="99"/>
    <w:semiHidden/>
    <w:unhideWhenUsed/>
    <w:rsid w:val="00CF4661"/>
    <w:rPr>
      <w:sz w:val="16"/>
      <w:szCs w:val="16"/>
    </w:rPr>
  </w:style>
  <w:style w:type="paragraph" w:styleId="CommentSubject">
    <w:name w:val="annotation subject"/>
    <w:basedOn w:val="CommentText"/>
    <w:next w:val="CommentText"/>
    <w:link w:val="CommentSubjectChar"/>
    <w:uiPriority w:val="99"/>
    <w:semiHidden/>
    <w:unhideWhenUsed/>
    <w:rsid w:val="00CF4661"/>
    <w:rPr>
      <w:b/>
      <w:bCs/>
    </w:rPr>
  </w:style>
  <w:style w:type="character" w:customStyle="1" w:styleId="CommentSubjectChar">
    <w:name w:val="Comment Subject Char"/>
    <w:basedOn w:val="CommentTextChar"/>
    <w:link w:val="CommentSubject"/>
    <w:uiPriority w:val="99"/>
    <w:semiHidden/>
    <w:rsid w:val="00CF4661"/>
    <w:rPr>
      <w:rFonts w:ascii="Arial" w:eastAsia="Times New Roman" w:hAnsi="Arial" w:cs="Arial"/>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497">
      <w:bodyDiv w:val="1"/>
      <w:marLeft w:val="0"/>
      <w:marRight w:val="0"/>
      <w:marTop w:val="0"/>
      <w:marBottom w:val="0"/>
      <w:divBdr>
        <w:top w:val="none" w:sz="0" w:space="0" w:color="auto"/>
        <w:left w:val="none" w:sz="0" w:space="0" w:color="auto"/>
        <w:bottom w:val="none" w:sz="0" w:space="0" w:color="auto"/>
        <w:right w:val="none" w:sz="0" w:space="0" w:color="auto"/>
      </w:divBdr>
    </w:div>
    <w:div w:id="268121985">
      <w:bodyDiv w:val="1"/>
      <w:marLeft w:val="0"/>
      <w:marRight w:val="0"/>
      <w:marTop w:val="0"/>
      <w:marBottom w:val="0"/>
      <w:divBdr>
        <w:top w:val="none" w:sz="0" w:space="0" w:color="auto"/>
        <w:left w:val="none" w:sz="0" w:space="0" w:color="auto"/>
        <w:bottom w:val="none" w:sz="0" w:space="0" w:color="auto"/>
        <w:right w:val="none" w:sz="0" w:space="0" w:color="auto"/>
      </w:divBdr>
    </w:div>
    <w:div w:id="375859775">
      <w:bodyDiv w:val="1"/>
      <w:marLeft w:val="0"/>
      <w:marRight w:val="0"/>
      <w:marTop w:val="0"/>
      <w:marBottom w:val="0"/>
      <w:divBdr>
        <w:top w:val="none" w:sz="0" w:space="0" w:color="auto"/>
        <w:left w:val="none" w:sz="0" w:space="0" w:color="auto"/>
        <w:bottom w:val="none" w:sz="0" w:space="0" w:color="auto"/>
        <w:right w:val="none" w:sz="0" w:space="0" w:color="auto"/>
      </w:divBdr>
    </w:div>
    <w:div w:id="693313337">
      <w:bodyDiv w:val="1"/>
      <w:marLeft w:val="0"/>
      <w:marRight w:val="0"/>
      <w:marTop w:val="0"/>
      <w:marBottom w:val="0"/>
      <w:divBdr>
        <w:top w:val="none" w:sz="0" w:space="0" w:color="auto"/>
        <w:left w:val="none" w:sz="0" w:space="0" w:color="auto"/>
        <w:bottom w:val="none" w:sz="0" w:space="0" w:color="auto"/>
        <w:right w:val="none" w:sz="0" w:space="0" w:color="auto"/>
      </w:divBdr>
    </w:div>
    <w:div w:id="953514089">
      <w:bodyDiv w:val="1"/>
      <w:marLeft w:val="0"/>
      <w:marRight w:val="0"/>
      <w:marTop w:val="0"/>
      <w:marBottom w:val="0"/>
      <w:divBdr>
        <w:top w:val="none" w:sz="0" w:space="0" w:color="auto"/>
        <w:left w:val="none" w:sz="0" w:space="0" w:color="auto"/>
        <w:bottom w:val="none" w:sz="0" w:space="0" w:color="auto"/>
        <w:right w:val="none" w:sz="0" w:space="0" w:color="auto"/>
      </w:divBdr>
    </w:div>
    <w:div w:id="1144197180">
      <w:bodyDiv w:val="1"/>
      <w:marLeft w:val="0"/>
      <w:marRight w:val="0"/>
      <w:marTop w:val="0"/>
      <w:marBottom w:val="0"/>
      <w:divBdr>
        <w:top w:val="none" w:sz="0" w:space="0" w:color="auto"/>
        <w:left w:val="none" w:sz="0" w:space="0" w:color="auto"/>
        <w:bottom w:val="none" w:sz="0" w:space="0" w:color="auto"/>
        <w:right w:val="none" w:sz="0" w:space="0" w:color="auto"/>
      </w:divBdr>
    </w:div>
    <w:div w:id="1323239629">
      <w:bodyDiv w:val="1"/>
      <w:marLeft w:val="0"/>
      <w:marRight w:val="0"/>
      <w:marTop w:val="0"/>
      <w:marBottom w:val="0"/>
      <w:divBdr>
        <w:top w:val="none" w:sz="0" w:space="0" w:color="auto"/>
        <w:left w:val="none" w:sz="0" w:space="0" w:color="auto"/>
        <w:bottom w:val="none" w:sz="0" w:space="0" w:color="auto"/>
        <w:right w:val="none" w:sz="0" w:space="0" w:color="auto"/>
      </w:divBdr>
    </w:div>
    <w:div w:id="1759135208">
      <w:bodyDiv w:val="1"/>
      <w:marLeft w:val="0"/>
      <w:marRight w:val="0"/>
      <w:marTop w:val="0"/>
      <w:marBottom w:val="0"/>
      <w:divBdr>
        <w:top w:val="none" w:sz="0" w:space="0" w:color="auto"/>
        <w:left w:val="none" w:sz="0" w:space="0" w:color="auto"/>
        <w:bottom w:val="none" w:sz="0" w:space="0" w:color="auto"/>
        <w:right w:val="none" w:sz="0" w:space="0" w:color="auto"/>
      </w:divBdr>
    </w:div>
    <w:div w:id="17855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68FB-FE75-402F-A645-BC74B72D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12</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283</cp:revision>
  <cp:lastPrinted>2022-03-14T22:31:00Z</cp:lastPrinted>
  <dcterms:created xsi:type="dcterms:W3CDTF">2021-02-10T03:21:00Z</dcterms:created>
  <dcterms:modified xsi:type="dcterms:W3CDTF">2022-03-29T03:01:00Z</dcterms:modified>
</cp:coreProperties>
</file>