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D717" w14:textId="77777777" w:rsidR="00280050" w:rsidRPr="00685583" w:rsidRDefault="006F17D4" w:rsidP="00DE27DD">
      <w:pPr>
        <w:pStyle w:val="Heading3"/>
        <w:rPr>
          <w:color w:val="auto"/>
        </w:rPr>
      </w:pPr>
      <w:r w:rsidRPr="00685583">
        <w:rPr>
          <w:color w:val="auto"/>
        </w:rPr>
        <w:t xml:space="preserve">2.1 </w:t>
      </w:r>
      <w:r w:rsidRPr="00685583">
        <w:rPr>
          <w:color w:val="auto"/>
        </w:rPr>
        <w:tab/>
        <w:t>Budgeted Expenses and Performance for Outcome 1</w:t>
      </w:r>
    </w:p>
    <w:p w14:paraId="5B4A6A7D" w14:textId="77777777" w:rsidR="00FC7329" w:rsidRPr="00685583" w:rsidRDefault="00FC7329" w:rsidP="00EA4159">
      <w:pPr>
        <w:pStyle w:val="OutcomeStatement"/>
        <w:pBdr>
          <w:top w:val="single" w:sz="4" w:space="1" w:color="auto"/>
          <w:left w:val="single" w:sz="4" w:space="4" w:color="auto"/>
          <w:bottom w:val="single" w:sz="4" w:space="4" w:color="auto"/>
          <w:right w:val="single" w:sz="4" w:space="4" w:color="auto"/>
        </w:pBdr>
        <w:shd w:val="clear" w:color="auto" w:fill="D9D9D9" w:themeFill="background1" w:themeFillShade="D9"/>
        <w:rPr>
          <w:color w:val="auto"/>
        </w:rPr>
      </w:pPr>
      <w:r w:rsidRPr="00685583">
        <w:rPr>
          <w:color w:val="auto"/>
        </w:rPr>
        <w:t>Outcome 1: Health Policy, Access and Support</w:t>
      </w:r>
    </w:p>
    <w:p w14:paraId="5DD7B052" w14:textId="023A83C7" w:rsidR="00652447" w:rsidRPr="00685583" w:rsidRDefault="00FC7329" w:rsidP="00EA4159">
      <w:pPr>
        <w:pBdr>
          <w:top w:val="single" w:sz="4" w:space="1" w:color="auto"/>
          <w:left w:val="single" w:sz="4" w:space="4" w:color="auto"/>
          <w:bottom w:val="single" w:sz="4" w:space="4" w:color="auto"/>
          <w:right w:val="single" w:sz="4" w:space="4" w:color="auto"/>
        </w:pBdr>
        <w:shd w:val="clear" w:color="auto" w:fill="D9D9D9" w:themeFill="background1" w:themeFillShade="D9"/>
        <w:rPr>
          <w:color w:val="auto"/>
        </w:rPr>
      </w:pPr>
      <w:r w:rsidRPr="00685583">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p>
    <w:p w14:paraId="36941880" w14:textId="093E64A7" w:rsidR="006F17D4" w:rsidRDefault="006F17D4" w:rsidP="00DE27DD">
      <w:pPr>
        <w:pStyle w:val="Heading4"/>
        <w:rPr>
          <w:color w:val="auto"/>
        </w:rPr>
      </w:pPr>
      <w:r w:rsidRPr="00685583">
        <w:rPr>
          <w:color w:val="auto"/>
        </w:rPr>
        <w:t>Programs Contributing to Outcome 1</w:t>
      </w:r>
    </w:p>
    <w:p w14:paraId="6A7CB0C0" w14:textId="02D3D108" w:rsidR="00F22B2A" w:rsidRPr="00685583" w:rsidRDefault="00F22B2A" w:rsidP="00A12316">
      <w:pPr>
        <w:pStyle w:val="ProgramContributingNames"/>
        <w:rPr>
          <w:color w:val="auto"/>
        </w:rPr>
      </w:pPr>
      <w:r w:rsidRPr="00685583">
        <w:rPr>
          <w:color w:val="auto"/>
        </w:rPr>
        <w:t>Program 1.1:</w:t>
      </w:r>
      <w:r w:rsidRPr="00685583">
        <w:rPr>
          <w:color w:val="auto"/>
        </w:rPr>
        <w:tab/>
        <w:t>Health Research, Coordination and Access</w:t>
      </w:r>
      <w:r w:rsidR="001C6058">
        <w:rPr>
          <w:color w:val="auto"/>
        </w:rPr>
        <w:t xml:space="preserve"> </w:t>
      </w:r>
    </w:p>
    <w:p w14:paraId="4C95B62D" w14:textId="27567F87" w:rsidR="00F22B2A" w:rsidRPr="00685583" w:rsidRDefault="00F22B2A" w:rsidP="00A12316">
      <w:pPr>
        <w:pStyle w:val="ProgramContributingNames"/>
        <w:rPr>
          <w:color w:val="auto"/>
        </w:rPr>
      </w:pPr>
      <w:r w:rsidRPr="00685583">
        <w:rPr>
          <w:color w:val="auto"/>
        </w:rPr>
        <w:t>Program 1.2:</w:t>
      </w:r>
      <w:r w:rsidRPr="00685583">
        <w:rPr>
          <w:color w:val="auto"/>
        </w:rPr>
        <w:tab/>
      </w:r>
      <w:r w:rsidR="00897B40" w:rsidRPr="00685583">
        <w:rPr>
          <w:color w:val="auto"/>
        </w:rPr>
        <w:t>Mental Health</w:t>
      </w:r>
      <w:r w:rsidR="001C6058">
        <w:rPr>
          <w:color w:val="auto"/>
        </w:rPr>
        <w:t xml:space="preserve"> </w:t>
      </w:r>
    </w:p>
    <w:p w14:paraId="267AC2ED" w14:textId="4BCD6A24" w:rsidR="00F22B2A" w:rsidRPr="00685583" w:rsidRDefault="00F22B2A" w:rsidP="00A12316">
      <w:pPr>
        <w:pStyle w:val="ProgramContributingNames"/>
        <w:rPr>
          <w:color w:val="auto"/>
        </w:rPr>
      </w:pPr>
      <w:r w:rsidRPr="00685583">
        <w:rPr>
          <w:color w:val="auto"/>
        </w:rPr>
        <w:t>Program 1.3:</w:t>
      </w:r>
      <w:r w:rsidRPr="00685583">
        <w:rPr>
          <w:color w:val="auto"/>
        </w:rPr>
        <w:tab/>
        <w:t>Aboriginal an</w:t>
      </w:r>
      <w:r w:rsidR="00897B40" w:rsidRPr="00685583">
        <w:rPr>
          <w:color w:val="auto"/>
        </w:rPr>
        <w:t>d Torres Strait Islander Health</w:t>
      </w:r>
      <w:r w:rsidR="001C6058">
        <w:rPr>
          <w:color w:val="auto"/>
        </w:rPr>
        <w:t xml:space="preserve"> </w:t>
      </w:r>
    </w:p>
    <w:p w14:paraId="4E94CB20" w14:textId="5682EFFE" w:rsidR="00F22B2A" w:rsidRPr="00685583" w:rsidRDefault="00F22B2A" w:rsidP="00A12316">
      <w:pPr>
        <w:pStyle w:val="ProgramContributingNames"/>
        <w:rPr>
          <w:color w:val="auto"/>
        </w:rPr>
      </w:pPr>
      <w:r w:rsidRPr="00685583">
        <w:rPr>
          <w:color w:val="auto"/>
        </w:rPr>
        <w:t>Program 1.4:</w:t>
      </w:r>
      <w:r w:rsidRPr="00685583">
        <w:rPr>
          <w:color w:val="auto"/>
        </w:rPr>
        <w:tab/>
      </w:r>
      <w:r w:rsidR="00897B40" w:rsidRPr="00685583">
        <w:rPr>
          <w:color w:val="auto"/>
        </w:rPr>
        <w:t>Health Workforce</w:t>
      </w:r>
      <w:r w:rsidR="001C6058">
        <w:rPr>
          <w:color w:val="auto"/>
        </w:rPr>
        <w:t xml:space="preserve"> </w:t>
      </w:r>
    </w:p>
    <w:p w14:paraId="3D4159F9" w14:textId="2F3721A7" w:rsidR="00F22B2A" w:rsidRPr="00685583" w:rsidRDefault="00F22B2A" w:rsidP="00A12316">
      <w:pPr>
        <w:pStyle w:val="ProgramContributingNames"/>
        <w:rPr>
          <w:color w:val="auto"/>
        </w:rPr>
      </w:pPr>
      <w:r w:rsidRPr="00685583">
        <w:rPr>
          <w:color w:val="auto"/>
        </w:rPr>
        <w:t>Program 1.5:</w:t>
      </w:r>
      <w:r w:rsidRPr="00685583">
        <w:rPr>
          <w:color w:val="auto"/>
        </w:rPr>
        <w:tab/>
        <w:t>Preventive Hea</w:t>
      </w:r>
      <w:r w:rsidR="00897B40" w:rsidRPr="00685583">
        <w:rPr>
          <w:color w:val="auto"/>
        </w:rPr>
        <w:t>lth and Chronic Disease Support</w:t>
      </w:r>
      <w:r w:rsidR="001C6058">
        <w:rPr>
          <w:color w:val="auto"/>
        </w:rPr>
        <w:t xml:space="preserve"> </w:t>
      </w:r>
    </w:p>
    <w:p w14:paraId="0F258D03" w14:textId="4471EF0D" w:rsidR="00F22B2A" w:rsidRPr="00685583" w:rsidRDefault="00F22B2A" w:rsidP="00A12316">
      <w:pPr>
        <w:pStyle w:val="ProgramContributingNames"/>
        <w:rPr>
          <w:color w:val="auto"/>
        </w:rPr>
      </w:pPr>
      <w:r w:rsidRPr="00685583">
        <w:rPr>
          <w:color w:val="auto"/>
        </w:rPr>
        <w:t>Program 1.6:</w:t>
      </w:r>
      <w:r w:rsidRPr="00685583">
        <w:rPr>
          <w:color w:val="auto"/>
        </w:rPr>
        <w:tab/>
        <w:t>Primary Healt</w:t>
      </w:r>
      <w:r w:rsidR="00897B40" w:rsidRPr="00685583">
        <w:rPr>
          <w:color w:val="auto"/>
        </w:rPr>
        <w:t>h Care Quality and Coordination</w:t>
      </w:r>
      <w:r w:rsidR="001C6058">
        <w:rPr>
          <w:color w:val="auto"/>
        </w:rPr>
        <w:t xml:space="preserve"> </w:t>
      </w:r>
    </w:p>
    <w:p w14:paraId="2E9F609E" w14:textId="6BBF9E07" w:rsidR="00F22B2A" w:rsidRPr="00685583" w:rsidRDefault="00F22B2A" w:rsidP="00A12316">
      <w:pPr>
        <w:pStyle w:val="ProgramContributingNames"/>
        <w:rPr>
          <w:color w:val="auto"/>
        </w:rPr>
      </w:pPr>
      <w:r w:rsidRPr="00685583">
        <w:rPr>
          <w:color w:val="auto"/>
        </w:rPr>
        <w:t>Program 1.7:</w:t>
      </w:r>
      <w:r w:rsidRPr="00685583">
        <w:rPr>
          <w:color w:val="auto"/>
        </w:rPr>
        <w:tab/>
        <w:t xml:space="preserve">Primary Care Practice Incentives </w:t>
      </w:r>
      <w:r w:rsidR="00897B40" w:rsidRPr="00685583">
        <w:rPr>
          <w:color w:val="auto"/>
        </w:rPr>
        <w:t>and Medical Indemnity</w:t>
      </w:r>
      <w:r w:rsidR="001C6058">
        <w:rPr>
          <w:color w:val="auto"/>
        </w:rPr>
        <w:t xml:space="preserve"> </w:t>
      </w:r>
    </w:p>
    <w:p w14:paraId="448D6D31" w14:textId="28A2F853" w:rsidR="00F22B2A" w:rsidRPr="00685583" w:rsidRDefault="006B6CF1" w:rsidP="00A12316">
      <w:pPr>
        <w:pStyle w:val="ProgramContributingNames"/>
        <w:rPr>
          <w:color w:val="auto"/>
        </w:rPr>
      </w:pPr>
      <w:r w:rsidRPr="00685583">
        <w:rPr>
          <w:color w:val="auto"/>
        </w:rPr>
        <w:t>Program 1.8</w:t>
      </w:r>
      <w:r w:rsidR="00F22B2A" w:rsidRPr="00685583">
        <w:rPr>
          <w:color w:val="auto"/>
        </w:rPr>
        <w:t>:</w:t>
      </w:r>
      <w:r w:rsidR="00F22B2A" w:rsidRPr="00685583">
        <w:rPr>
          <w:color w:val="auto"/>
        </w:rPr>
        <w:tab/>
        <w:t>Health Protection, Em</w:t>
      </w:r>
      <w:r w:rsidR="00897B40" w:rsidRPr="00685583">
        <w:rPr>
          <w:color w:val="auto"/>
        </w:rPr>
        <w:t>ergency Response and Regulation</w:t>
      </w:r>
      <w:r w:rsidR="001C6058">
        <w:rPr>
          <w:color w:val="auto"/>
        </w:rPr>
        <w:t xml:space="preserve"> </w:t>
      </w:r>
    </w:p>
    <w:p w14:paraId="00A2C446" w14:textId="5BFD6B69" w:rsidR="00F22B2A" w:rsidRPr="00685583" w:rsidRDefault="006B6CF1" w:rsidP="00A12316">
      <w:pPr>
        <w:pStyle w:val="ProgramContributingNames"/>
        <w:rPr>
          <w:color w:val="auto"/>
        </w:rPr>
      </w:pPr>
      <w:r w:rsidRPr="00685583">
        <w:rPr>
          <w:color w:val="auto"/>
        </w:rPr>
        <w:t>Program 1.9</w:t>
      </w:r>
      <w:r w:rsidR="00F22B2A" w:rsidRPr="00685583">
        <w:rPr>
          <w:color w:val="auto"/>
        </w:rPr>
        <w:t>:</w:t>
      </w:r>
      <w:r w:rsidR="00F22B2A" w:rsidRPr="00685583">
        <w:rPr>
          <w:color w:val="auto"/>
        </w:rPr>
        <w:tab/>
      </w:r>
      <w:r w:rsidR="00897B40" w:rsidRPr="00685583">
        <w:rPr>
          <w:color w:val="auto"/>
        </w:rPr>
        <w:t>Immunisation</w:t>
      </w:r>
      <w:r w:rsidR="001C6058">
        <w:rPr>
          <w:color w:val="auto"/>
        </w:rPr>
        <w:t xml:space="preserve"> </w:t>
      </w:r>
    </w:p>
    <w:p w14:paraId="1B8C741E" w14:textId="01C388C0" w:rsidR="00EA2674" w:rsidRPr="00340B9E" w:rsidRDefault="00207AAE" w:rsidP="00340B9E">
      <w:pPr>
        <w:pStyle w:val="Heading4"/>
        <w:rPr>
          <w:color w:val="auto"/>
        </w:rPr>
      </w:pPr>
      <w:r w:rsidRPr="00685583">
        <w:rPr>
          <w:color w:val="auto"/>
        </w:rPr>
        <w:t>Linked Programs</w:t>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685583" w:rsidRPr="00685583" w14:paraId="7996E44E" w14:textId="77777777" w:rsidTr="00837E76">
        <w:trPr>
          <w:tblHeader/>
          <w:jc w:val="center"/>
        </w:trPr>
        <w:tc>
          <w:tcPr>
            <w:tcW w:w="7677" w:type="dxa"/>
            <w:shd w:val="clear" w:color="auto" w:fill="D9D9D9" w:themeFill="background1" w:themeFillShade="D9"/>
          </w:tcPr>
          <w:p w14:paraId="2480BB1C" w14:textId="77777777" w:rsidR="00207AAE" w:rsidRPr="00685583" w:rsidRDefault="00207AAE" w:rsidP="00334D13">
            <w:pPr>
              <w:pStyle w:val="Tableheadingrow9pt"/>
              <w:widowControl w:val="0"/>
              <w:rPr>
                <w:color w:val="auto"/>
              </w:rPr>
            </w:pPr>
            <w:r w:rsidRPr="00685583">
              <w:rPr>
                <w:color w:val="auto"/>
              </w:rPr>
              <w:t>Other Commonwealth entities that contribute to Outcome 1</w:t>
            </w:r>
          </w:p>
        </w:tc>
      </w:tr>
      <w:tr w:rsidR="00685583" w:rsidRPr="00685583" w14:paraId="635CF23B" w14:textId="77777777" w:rsidTr="00837E76">
        <w:trPr>
          <w:jc w:val="center"/>
        </w:trPr>
        <w:tc>
          <w:tcPr>
            <w:tcW w:w="7677" w:type="dxa"/>
          </w:tcPr>
          <w:p w14:paraId="2CC17AF3" w14:textId="77777777" w:rsidR="00C722B9" w:rsidRPr="00685583" w:rsidRDefault="00C722B9" w:rsidP="00334D13">
            <w:pPr>
              <w:pStyle w:val="Tableheadingrow9pt"/>
              <w:widowControl w:val="0"/>
              <w:rPr>
                <w:color w:val="auto"/>
              </w:rPr>
            </w:pPr>
            <w:r w:rsidRPr="00685583">
              <w:rPr>
                <w:color w:val="auto"/>
              </w:rPr>
              <w:t>Australian Commission on Safety and Quality in Health Care (ACSQHC)</w:t>
            </w:r>
            <w:r w:rsidRPr="00685583">
              <w:rPr>
                <w:rStyle w:val="FootnoteReference"/>
                <w:color w:val="auto"/>
              </w:rPr>
              <w:footnoteReference w:id="1"/>
            </w:r>
          </w:p>
          <w:p w14:paraId="15968470" w14:textId="77777777" w:rsidR="00C722B9" w:rsidRPr="00685583" w:rsidRDefault="00C722B9" w:rsidP="00334D13">
            <w:pPr>
              <w:pStyle w:val="Tableheadingrow9pt"/>
              <w:widowControl w:val="0"/>
              <w:rPr>
                <w:color w:val="auto"/>
              </w:rPr>
            </w:pPr>
            <w:r w:rsidRPr="00685583">
              <w:rPr>
                <w:color w:val="auto"/>
              </w:rPr>
              <w:t>Program 1.1: Safety and Quality in Health Care</w:t>
            </w:r>
          </w:p>
          <w:p w14:paraId="4A636D17" w14:textId="10D6EE4E" w:rsidR="00207AAE" w:rsidRPr="00685583" w:rsidRDefault="004D03D0" w:rsidP="00334D13">
            <w:pPr>
              <w:widowControl w:val="0"/>
              <w:rPr>
                <w:color w:val="auto"/>
              </w:rPr>
            </w:pPr>
            <w:r w:rsidRPr="00685583">
              <w:rPr>
                <w:color w:val="auto"/>
              </w:rPr>
              <w:t xml:space="preserve">The </w:t>
            </w:r>
            <w:r w:rsidR="00C722B9" w:rsidRPr="00685583">
              <w:rPr>
                <w:color w:val="auto"/>
              </w:rPr>
              <w:t>ACSQHC works to strengthen safety and quality across Australia’s healthcare system, with a focus on developing standards, improving appropriateness of care, and minimising risk of harm (1.1).</w:t>
            </w:r>
          </w:p>
        </w:tc>
      </w:tr>
      <w:tr w:rsidR="00685583" w:rsidRPr="00685583" w14:paraId="13567A4D" w14:textId="77777777" w:rsidTr="00837E76">
        <w:trPr>
          <w:jc w:val="center"/>
        </w:trPr>
        <w:tc>
          <w:tcPr>
            <w:tcW w:w="7677" w:type="dxa"/>
          </w:tcPr>
          <w:p w14:paraId="45774A37" w14:textId="77777777" w:rsidR="00236AF3" w:rsidRPr="00685583" w:rsidRDefault="00236AF3" w:rsidP="00334D13">
            <w:pPr>
              <w:pStyle w:val="Tableheadingrow9pt"/>
              <w:widowControl w:val="0"/>
              <w:rPr>
                <w:color w:val="auto"/>
              </w:rPr>
            </w:pPr>
            <w:r w:rsidRPr="00685583">
              <w:rPr>
                <w:color w:val="auto"/>
              </w:rPr>
              <w:t>Australian Competition and Consumer Commission (ACCC)</w:t>
            </w:r>
          </w:p>
          <w:p w14:paraId="0C66EA50" w14:textId="77777777" w:rsidR="00236AF3" w:rsidRPr="00685583" w:rsidRDefault="00236AF3" w:rsidP="00334D13">
            <w:pPr>
              <w:pStyle w:val="Tableheadingrow9pt"/>
              <w:widowControl w:val="0"/>
              <w:rPr>
                <w:color w:val="auto"/>
              </w:rPr>
            </w:pPr>
            <w:r w:rsidRPr="00685583">
              <w:rPr>
                <w:color w:val="auto"/>
              </w:rPr>
              <w:t>Program 1.1: Australian Competition and Consumer Commission</w:t>
            </w:r>
          </w:p>
          <w:p w14:paraId="783E913B" w14:textId="4917BF1B" w:rsidR="00236AF3" w:rsidRPr="00685583" w:rsidRDefault="00236AF3" w:rsidP="006B6CF1">
            <w:pPr>
              <w:pStyle w:val="Tableheadingrow9pt"/>
              <w:widowControl w:val="0"/>
              <w:rPr>
                <w:color w:val="auto"/>
              </w:rPr>
            </w:pPr>
            <w:r w:rsidRPr="00685583">
              <w:rPr>
                <w:rFonts w:eastAsia="Calibri"/>
                <w:b w:val="0"/>
                <w:color w:val="auto"/>
              </w:rPr>
              <w:t>The ACCC contributes to the health and safety of the community through the consideration and management of unacceptable safety risks posed by consumer goods (1.</w:t>
            </w:r>
            <w:r w:rsidR="006B6CF1" w:rsidRPr="00685583">
              <w:rPr>
                <w:rFonts w:eastAsia="Calibri"/>
                <w:b w:val="0"/>
                <w:color w:val="auto"/>
              </w:rPr>
              <w:t>8</w:t>
            </w:r>
            <w:r w:rsidRPr="00685583">
              <w:rPr>
                <w:rFonts w:eastAsia="Calibri"/>
                <w:b w:val="0"/>
                <w:color w:val="auto"/>
              </w:rPr>
              <w:t>).</w:t>
            </w:r>
          </w:p>
        </w:tc>
      </w:tr>
      <w:tr w:rsidR="00685583" w:rsidRPr="00685583" w14:paraId="0FF7CC99" w14:textId="77777777" w:rsidTr="00837E76">
        <w:trPr>
          <w:jc w:val="center"/>
        </w:trPr>
        <w:tc>
          <w:tcPr>
            <w:tcW w:w="7677" w:type="dxa"/>
          </w:tcPr>
          <w:p w14:paraId="7FC5AA54" w14:textId="77777777" w:rsidR="00C722B9" w:rsidRPr="00685583" w:rsidRDefault="00C722B9" w:rsidP="00334D13">
            <w:pPr>
              <w:pStyle w:val="Tableheadingrow9pt"/>
              <w:widowControl w:val="0"/>
              <w:rPr>
                <w:color w:val="auto"/>
              </w:rPr>
            </w:pPr>
            <w:r w:rsidRPr="00685583">
              <w:rPr>
                <w:color w:val="auto"/>
              </w:rPr>
              <w:t>Australian Digital Health Agency (Digital Health)</w:t>
            </w:r>
            <w:r w:rsidRPr="00685583">
              <w:rPr>
                <w:rStyle w:val="FootnoteReference"/>
                <w:color w:val="auto"/>
              </w:rPr>
              <w:footnoteReference w:id="2"/>
            </w:r>
          </w:p>
          <w:p w14:paraId="5D24641B" w14:textId="77777777" w:rsidR="00C722B9" w:rsidRPr="00685583" w:rsidRDefault="00C722B9" w:rsidP="00334D13">
            <w:pPr>
              <w:pStyle w:val="Tableheadingrow9pt"/>
              <w:widowControl w:val="0"/>
              <w:rPr>
                <w:color w:val="auto"/>
              </w:rPr>
            </w:pPr>
            <w:r w:rsidRPr="00685583">
              <w:rPr>
                <w:color w:val="auto"/>
              </w:rPr>
              <w:t>Program 1.1: Digital Health</w:t>
            </w:r>
          </w:p>
          <w:p w14:paraId="582148EF" w14:textId="77777777" w:rsidR="00207AAE" w:rsidRPr="00685583" w:rsidRDefault="00C722B9" w:rsidP="00334D13">
            <w:pPr>
              <w:widowControl w:val="0"/>
              <w:rPr>
                <w:color w:val="auto"/>
              </w:rPr>
            </w:pPr>
            <w:r w:rsidRPr="00685583">
              <w:rPr>
                <w:color w:val="auto"/>
              </w:rPr>
              <w:t>Digital Health manages and governs the national digital health strategy and the design, delivery and operations of My Health Record (1</w:t>
            </w:r>
            <w:r w:rsidR="007E6379" w:rsidRPr="00685583">
              <w:rPr>
                <w:color w:val="auto"/>
              </w:rPr>
              <w:t>.1</w:t>
            </w:r>
            <w:r w:rsidRPr="00685583">
              <w:rPr>
                <w:color w:val="auto"/>
              </w:rPr>
              <w:t>).</w:t>
            </w:r>
          </w:p>
        </w:tc>
      </w:tr>
      <w:tr w:rsidR="00685583" w:rsidRPr="00685583" w14:paraId="60C58CAC" w14:textId="77777777" w:rsidTr="00837E76">
        <w:trPr>
          <w:jc w:val="center"/>
        </w:trPr>
        <w:tc>
          <w:tcPr>
            <w:tcW w:w="7677" w:type="dxa"/>
          </w:tcPr>
          <w:p w14:paraId="3070BFE8" w14:textId="10F3A3A0" w:rsidR="00C722B9" w:rsidRPr="00685583" w:rsidRDefault="0091535A" w:rsidP="00334D13">
            <w:pPr>
              <w:pStyle w:val="Tableheadingrow9pt"/>
              <w:widowControl w:val="0"/>
              <w:rPr>
                <w:color w:val="auto"/>
              </w:rPr>
            </w:pPr>
            <w:r w:rsidRPr="00685583">
              <w:rPr>
                <w:color w:val="auto"/>
              </w:rPr>
              <w:br w:type="page"/>
            </w:r>
            <w:r w:rsidR="00C722B9" w:rsidRPr="00685583">
              <w:rPr>
                <w:color w:val="auto"/>
              </w:rPr>
              <w:t>Australian Institute of Health and Welfare (AIHW)</w:t>
            </w:r>
            <w:r w:rsidR="00C722B9" w:rsidRPr="00685583">
              <w:rPr>
                <w:rStyle w:val="FootnoteReference"/>
                <w:color w:val="auto"/>
              </w:rPr>
              <w:footnoteReference w:id="3"/>
            </w:r>
            <w:r w:rsidR="00C722B9" w:rsidRPr="00685583">
              <w:rPr>
                <w:color w:val="auto"/>
                <w:sz w:val="15"/>
                <w:szCs w:val="15"/>
              </w:rPr>
              <w:t xml:space="preserve"> </w:t>
            </w:r>
          </w:p>
          <w:p w14:paraId="707EF534" w14:textId="79598635" w:rsidR="00C722B9" w:rsidRPr="00685583" w:rsidRDefault="00C722B9" w:rsidP="00334D13">
            <w:pPr>
              <w:pStyle w:val="Tableheadingrow9pt"/>
              <w:widowControl w:val="0"/>
              <w:rPr>
                <w:color w:val="auto"/>
              </w:rPr>
            </w:pPr>
            <w:r w:rsidRPr="00685583">
              <w:rPr>
                <w:color w:val="auto"/>
              </w:rPr>
              <w:t>Program 1.1: Develop, Collect, Analyse and Report High Quality National Health and Welfare Information and Statistics for Governments and the Community</w:t>
            </w:r>
          </w:p>
          <w:p w14:paraId="5191C87F" w14:textId="4403294D" w:rsidR="00C722B9" w:rsidRPr="00685583" w:rsidRDefault="004D03D0" w:rsidP="00334D13">
            <w:pPr>
              <w:pStyle w:val="Tableheadingrow9pt"/>
              <w:widowControl w:val="0"/>
              <w:rPr>
                <w:color w:val="auto"/>
              </w:rPr>
            </w:pPr>
            <w:r w:rsidRPr="00685583">
              <w:rPr>
                <w:b w:val="0"/>
                <w:color w:val="auto"/>
              </w:rPr>
              <w:t xml:space="preserve">The </w:t>
            </w:r>
            <w:r w:rsidR="00C722B9" w:rsidRPr="00685583">
              <w:rPr>
                <w:b w:val="0"/>
                <w:color w:val="auto"/>
              </w:rPr>
              <w:t>AIHW provides high quality national health-related data and analysis (1.1).</w:t>
            </w:r>
          </w:p>
        </w:tc>
      </w:tr>
      <w:tr w:rsidR="00685583" w:rsidRPr="00685583" w14:paraId="05EB5AB3" w14:textId="77777777" w:rsidTr="00837E76">
        <w:trPr>
          <w:jc w:val="center"/>
        </w:trPr>
        <w:tc>
          <w:tcPr>
            <w:tcW w:w="7677" w:type="dxa"/>
          </w:tcPr>
          <w:p w14:paraId="2CEDB2E6" w14:textId="77777777" w:rsidR="00236AF3" w:rsidRPr="00685583" w:rsidRDefault="00236AF3" w:rsidP="00334D13">
            <w:pPr>
              <w:pStyle w:val="Tableheadingrow9pt"/>
              <w:widowControl w:val="0"/>
              <w:rPr>
                <w:color w:val="auto"/>
              </w:rPr>
            </w:pPr>
            <w:r w:rsidRPr="00685583">
              <w:rPr>
                <w:color w:val="auto"/>
              </w:rPr>
              <w:t>Australian Radiation Protection and Nuclear Safety Agency (ARPANSA)</w:t>
            </w:r>
            <w:r w:rsidRPr="00685583">
              <w:rPr>
                <w:rStyle w:val="FootnoteReference"/>
                <w:color w:val="auto"/>
              </w:rPr>
              <w:footnoteReference w:id="4"/>
            </w:r>
          </w:p>
          <w:p w14:paraId="35F4FE04" w14:textId="77777777" w:rsidR="00236AF3" w:rsidRPr="00685583" w:rsidRDefault="00236AF3" w:rsidP="00334D13">
            <w:pPr>
              <w:pStyle w:val="Tableheadingrow9pt"/>
              <w:widowControl w:val="0"/>
              <w:rPr>
                <w:color w:val="auto"/>
              </w:rPr>
            </w:pPr>
            <w:r w:rsidRPr="00685583">
              <w:rPr>
                <w:color w:val="auto"/>
              </w:rPr>
              <w:t>Program 1.1: Radiation Protection and Nuclear Safety</w:t>
            </w:r>
          </w:p>
          <w:p w14:paraId="52FE6EBE" w14:textId="3B208FA4" w:rsidR="00236AF3" w:rsidRPr="00685583" w:rsidRDefault="00236AF3" w:rsidP="006B6CF1">
            <w:pPr>
              <w:pStyle w:val="Tableheadingrow9pt"/>
              <w:widowControl w:val="0"/>
              <w:rPr>
                <w:color w:val="auto"/>
              </w:rPr>
            </w:pPr>
            <w:r w:rsidRPr="00685583">
              <w:rPr>
                <w:b w:val="0"/>
                <w:color w:val="auto"/>
              </w:rPr>
              <w:lastRenderedPageBreak/>
              <w:t>ARPANSA contributes to the health and safety of the community by protecting the Australian people and environment from the harmful effects of radiation (1.</w:t>
            </w:r>
            <w:r w:rsidR="006B6CF1" w:rsidRPr="00685583">
              <w:rPr>
                <w:b w:val="0"/>
                <w:color w:val="auto"/>
              </w:rPr>
              <w:t>8</w:t>
            </w:r>
            <w:r w:rsidRPr="00685583">
              <w:rPr>
                <w:b w:val="0"/>
                <w:color w:val="auto"/>
              </w:rPr>
              <w:t>).</w:t>
            </w:r>
          </w:p>
        </w:tc>
      </w:tr>
      <w:tr w:rsidR="00685583" w:rsidRPr="00685583" w14:paraId="1DAFBA8A" w14:textId="77777777" w:rsidTr="00837E76">
        <w:trPr>
          <w:jc w:val="center"/>
        </w:trPr>
        <w:tc>
          <w:tcPr>
            <w:tcW w:w="7677" w:type="dxa"/>
          </w:tcPr>
          <w:p w14:paraId="509C2AF3" w14:textId="77777777" w:rsidR="00236AF3" w:rsidRPr="00685583" w:rsidRDefault="00236AF3" w:rsidP="00334D13">
            <w:pPr>
              <w:pStyle w:val="Tableheadingrow9pt"/>
              <w:widowControl w:val="0"/>
              <w:rPr>
                <w:color w:val="auto"/>
              </w:rPr>
            </w:pPr>
            <w:r w:rsidRPr="00685583">
              <w:rPr>
                <w:color w:val="auto"/>
              </w:rPr>
              <w:lastRenderedPageBreak/>
              <w:t>Cancer Australia</w:t>
            </w:r>
            <w:r w:rsidRPr="00685583">
              <w:rPr>
                <w:rStyle w:val="FootnoteReference"/>
                <w:color w:val="auto"/>
              </w:rPr>
              <w:footnoteReference w:id="5"/>
            </w:r>
          </w:p>
          <w:p w14:paraId="12288BF7" w14:textId="77777777" w:rsidR="00236AF3" w:rsidRPr="00685583" w:rsidRDefault="00236AF3" w:rsidP="00334D13">
            <w:pPr>
              <w:pStyle w:val="Tableheadingrow9pt"/>
              <w:widowControl w:val="0"/>
              <w:rPr>
                <w:color w:val="auto"/>
              </w:rPr>
            </w:pPr>
            <w:r w:rsidRPr="00685583">
              <w:rPr>
                <w:color w:val="auto"/>
              </w:rPr>
              <w:t>Program 1.1: Improved Cancer Control</w:t>
            </w:r>
          </w:p>
          <w:p w14:paraId="29E6FE1F" w14:textId="388E347C" w:rsidR="00236AF3" w:rsidRPr="00685583" w:rsidRDefault="00236AF3" w:rsidP="00334D13">
            <w:pPr>
              <w:pStyle w:val="Tableheadingrow9pt"/>
              <w:widowControl w:val="0"/>
              <w:rPr>
                <w:b w:val="0"/>
                <w:color w:val="auto"/>
              </w:rPr>
            </w:pPr>
            <w:r w:rsidRPr="00685583">
              <w:rPr>
                <w:b w:val="0"/>
                <w:color w:val="auto"/>
              </w:rPr>
              <w:t>Cancer Australia provides national leadership in cancer control and works with the Department of Health to improve the detection, treatment and survival outcomes for people with cancer (1.5).</w:t>
            </w:r>
          </w:p>
        </w:tc>
      </w:tr>
      <w:tr w:rsidR="00685583" w:rsidRPr="00685583" w14:paraId="2149D323" w14:textId="77777777" w:rsidTr="00837E76">
        <w:trPr>
          <w:jc w:val="center"/>
        </w:trPr>
        <w:tc>
          <w:tcPr>
            <w:tcW w:w="7677" w:type="dxa"/>
          </w:tcPr>
          <w:p w14:paraId="1DC70A6F" w14:textId="77777777" w:rsidR="00236AF3" w:rsidRPr="00685583" w:rsidRDefault="00236AF3" w:rsidP="00F92094">
            <w:pPr>
              <w:pStyle w:val="Tableheadingrow9pt"/>
              <w:widowControl w:val="0"/>
              <w:rPr>
                <w:color w:val="auto"/>
              </w:rPr>
            </w:pPr>
            <w:r w:rsidRPr="00685583">
              <w:rPr>
                <w:color w:val="auto"/>
              </w:rPr>
              <w:t>Department of Agriculture, Water and the Environment (DAWE)</w:t>
            </w:r>
          </w:p>
          <w:p w14:paraId="77E80D87" w14:textId="77777777" w:rsidR="00236AF3" w:rsidRPr="00685583" w:rsidRDefault="00236AF3" w:rsidP="00F92094">
            <w:pPr>
              <w:pStyle w:val="Tableheadingrow9pt"/>
              <w:widowControl w:val="0"/>
              <w:rPr>
                <w:color w:val="auto"/>
              </w:rPr>
            </w:pPr>
            <w:r w:rsidRPr="00685583">
              <w:rPr>
                <w:color w:val="auto"/>
              </w:rPr>
              <w:t>Program 1.6: Management of Hazardous Wastes, Substances and Pollutants</w:t>
            </w:r>
          </w:p>
          <w:p w14:paraId="024A0AD0" w14:textId="76B4569D" w:rsidR="007C2D4C" w:rsidRPr="00685583" w:rsidRDefault="00236AF3" w:rsidP="00F92094">
            <w:pPr>
              <w:pStyle w:val="Tableheadingrow9pt"/>
              <w:widowControl w:val="0"/>
              <w:rPr>
                <w:color w:val="auto"/>
              </w:rPr>
            </w:pPr>
            <w:r w:rsidRPr="00685583">
              <w:rPr>
                <w:color w:val="auto"/>
              </w:rPr>
              <w:t>Program 4.1: Biosecurity and Export Services</w:t>
            </w:r>
          </w:p>
          <w:p w14:paraId="7E68EF5B" w14:textId="77777777" w:rsidR="00590E3E" w:rsidRPr="00685583" w:rsidRDefault="00236AF3" w:rsidP="00F92094">
            <w:pPr>
              <w:pStyle w:val="Tableheadingrow9pt"/>
              <w:widowControl w:val="0"/>
              <w:rPr>
                <w:rFonts w:eastAsiaTheme="minorHAnsi"/>
                <w:b w:val="0"/>
                <w:color w:val="auto"/>
                <w:lang w:eastAsia="en-US"/>
              </w:rPr>
            </w:pPr>
            <w:r w:rsidRPr="00685583">
              <w:rPr>
                <w:rFonts w:eastAsiaTheme="minorHAnsi"/>
                <w:b w:val="0"/>
                <w:color w:val="auto"/>
                <w:lang w:eastAsia="en-US"/>
              </w:rPr>
              <w:t>DAWE contributes to the protection of</w:t>
            </w:r>
            <w:r w:rsidR="00590E3E" w:rsidRPr="00685583">
              <w:rPr>
                <w:rFonts w:eastAsiaTheme="minorHAnsi"/>
                <w:b w:val="0"/>
                <w:color w:val="auto"/>
                <w:lang w:eastAsia="en-US"/>
              </w:rPr>
              <w:t>:</w:t>
            </w:r>
          </w:p>
          <w:p w14:paraId="0B9F6A20" w14:textId="2B5742B1" w:rsidR="00236AF3" w:rsidRPr="00685583" w:rsidRDefault="00340B9E" w:rsidP="0070235D">
            <w:pPr>
              <w:pStyle w:val="Default"/>
              <w:widowControl w:val="0"/>
              <w:numPr>
                <w:ilvl w:val="0"/>
                <w:numId w:val="3"/>
              </w:numPr>
              <w:spacing w:before="40"/>
              <w:ind w:left="284" w:hanging="284"/>
              <w:rPr>
                <w:color w:val="auto"/>
                <w:sz w:val="18"/>
                <w:szCs w:val="18"/>
              </w:rPr>
            </w:pPr>
            <w:r>
              <w:rPr>
                <w:color w:val="auto"/>
                <w:sz w:val="18"/>
                <w:szCs w:val="18"/>
              </w:rPr>
              <w:t>t</w:t>
            </w:r>
            <w:r w:rsidR="00236AF3" w:rsidRPr="00685583">
              <w:rPr>
                <w:color w:val="auto"/>
                <w:sz w:val="18"/>
                <w:szCs w:val="18"/>
              </w:rPr>
              <w:t>he environment from the risks of industrial chemicals, and risks to human health related to exposure to industrial chemicals via the environment, by undertaking environmental risk assessments for the Australian Industrial Chemicals Introduction Scheme, and by providing advice, and receiving advice and recommendations, on risk management</w:t>
            </w:r>
            <w:r w:rsidR="00236AF3" w:rsidRPr="00685583" w:rsidDel="00ED7AF6">
              <w:rPr>
                <w:color w:val="auto"/>
                <w:sz w:val="18"/>
                <w:szCs w:val="18"/>
              </w:rPr>
              <w:t xml:space="preserve"> </w:t>
            </w:r>
            <w:r w:rsidR="00236AF3" w:rsidRPr="00685583">
              <w:rPr>
                <w:color w:val="auto"/>
                <w:sz w:val="18"/>
                <w:szCs w:val="18"/>
              </w:rPr>
              <w:t>(1.</w:t>
            </w:r>
            <w:r w:rsidR="006B6CF1" w:rsidRPr="00685583">
              <w:rPr>
                <w:color w:val="auto"/>
                <w:sz w:val="18"/>
                <w:szCs w:val="18"/>
              </w:rPr>
              <w:t>8</w:t>
            </w:r>
            <w:r w:rsidR="00236AF3" w:rsidRPr="00685583">
              <w:rPr>
                <w:color w:val="auto"/>
                <w:sz w:val="18"/>
                <w:szCs w:val="18"/>
              </w:rPr>
              <w:t>)</w:t>
            </w:r>
          </w:p>
          <w:p w14:paraId="01007EA2" w14:textId="7FEE95FE" w:rsidR="00D96DAB" w:rsidRPr="00685583" w:rsidRDefault="00340B9E" w:rsidP="0070235D">
            <w:pPr>
              <w:pStyle w:val="Default"/>
              <w:widowControl w:val="0"/>
              <w:numPr>
                <w:ilvl w:val="0"/>
                <w:numId w:val="3"/>
              </w:numPr>
              <w:ind w:left="284" w:hanging="284"/>
              <w:rPr>
                <w:color w:val="auto"/>
                <w:sz w:val="18"/>
                <w:szCs w:val="18"/>
              </w:rPr>
            </w:pPr>
            <w:r>
              <w:rPr>
                <w:color w:val="auto"/>
                <w:sz w:val="18"/>
                <w:szCs w:val="18"/>
              </w:rPr>
              <w:t>h</w:t>
            </w:r>
            <w:r w:rsidR="00D96DAB" w:rsidRPr="00685583">
              <w:rPr>
                <w:color w:val="auto"/>
                <w:sz w:val="18"/>
                <w:szCs w:val="18"/>
              </w:rPr>
              <w:t>uman health and safety and the environment from risks resulting from the use of gene technology, by providing advice on risk assessment and risk management (1.8)</w:t>
            </w:r>
          </w:p>
          <w:p w14:paraId="02F58DB4" w14:textId="7EFD3A3D" w:rsidR="00236AF3" w:rsidRPr="00685583" w:rsidRDefault="00340B9E" w:rsidP="0070235D">
            <w:pPr>
              <w:pStyle w:val="Default"/>
              <w:widowControl w:val="0"/>
              <w:numPr>
                <w:ilvl w:val="0"/>
                <w:numId w:val="3"/>
              </w:numPr>
              <w:spacing w:after="40"/>
              <w:ind w:left="284" w:hanging="284"/>
              <w:rPr>
                <w:color w:val="auto"/>
              </w:rPr>
            </w:pPr>
            <w:proofErr w:type="gramStart"/>
            <w:r>
              <w:rPr>
                <w:color w:val="auto"/>
                <w:sz w:val="18"/>
                <w:szCs w:val="18"/>
              </w:rPr>
              <w:t>t</w:t>
            </w:r>
            <w:r w:rsidR="00236AF3" w:rsidRPr="00685583">
              <w:rPr>
                <w:color w:val="auto"/>
                <w:sz w:val="18"/>
                <w:szCs w:val="18"/>
              </w:rPr>
              <w:t>he</w:t>
            </w:r>
            <w:proofErr w:type="gramEnd"/>
            <w:r w:rsidR="00236AF3" w:rsidRPr="00685583">
              <w:rPr>
                <w:color w:val="auto"/>
                <w:sz w:val="18"/>
                <w:szCs w:val="18"/>
              </w:rPr>
              <w:t xml:space="preserve"> health and safety of the Australian community through implementation of activities under the </w:t>
            </w:r>
            <w:r w:rsidR="00236AF3" w:rsidRPr="00685583">
              <w:rPr>
                <w:i/>
                <w:color w:val="auto"/>
                <w:sz w:val="18"/>
                <w:szCs w:val="18"/>
              </w:rPr>
              <w:t>Biosecurity Act 2015</w:t>
            </w:r>
            <w:r w:rsidR="00236AF3" w:rsidRPr="00685583">
              <w:rPr>
                <w:color w:val="auto"/>
                <w:sz w:val="18"/>
                <w:szCs w:val="18"/>
              </w:rPr>
              <w:t>, such as the screening of travellers at international airports and seaports (1.</w:t>
            </w:r>
            <w:r w:rsidR="006B6CF1" w:rsidRPr="00685583">
              <w:rPr>
                <w:color w:val="auto"/>
                <w:sz w:val="18"/>
                <w:szCs w:val="18"/>
              </w:rPr>
              <w:t>8</w:t>
            </w:r>
            <w:r w:rsidR="00236AF3" w:rsidRPr="00685583">
              <w:rPr>
                <w:color w:val="auto"/>
                <w:sz w:val="18"/>
                <w:szCs w:val="18"/>
              </w:rPr>
              <w:t>).</w:t>
            </w:r>
          </w:p>
        </w:tc>
      </w:tr>
      <w:tr w:rsidR="00685583" w:rsidRPr="00685583" w14:paraId="55D0E890" w14:textId="77777777" w:rsidTr="00837E76">
        <w:trPr>
          <w:jc w:val="center"/>
        </w:trPr>
        <w:tc>
          <w:tcPr>
            <w:tcW w:w="7677" w:type="dxa"/>
          </w:tcPr>
          <w:p w14:paraId="4064DD33" w14:textId="77777777" w:rsidR="00DF0EE9" w:rsidRPr="00685583" w:rsidRDefault="00DF0EE9" w:rsidP="00334D13">
            <w:pPr>
              <w:pStyle w:val="Tableheadingrow9pt"/>
              <w:widowControl w:val="0"/>
              <w:rPr>
                <w:color w:val="auto"/>
              </w:rPr>
            </w:pPr>
            <w:r w:rsidRPr="00685583">
              <w:rPr>
                <w:color w:val="auto"/>
              </w:rPr>
              <w:t>Department of Education, Skills and Employment (DESE)</w:t>
            </w:r>
          </w:p>
          <w:p w14:paraId="7886B3E2" w14:textId="77777777" w:rsidR="00DF0EE9" w:rsidRPr="00685583" w:rsidRDefault="00DF0EE9" w:rsidP="00334D13">
            <w:pPr>
              <w:pStyle w:val="Tableheadingrow9pt"/>
              <w:widowControl w:val="0"/>
              <w:rPr>
                <w:color w:val="auto"/>
              </w:rPr>
            </w:pPr>
            <w:r w:rsidRPr="00685583">
              <w:rPr>
                <w:color w:val="auto"/>
              </w:rPr>
              <w:t>Program 1.2: Child Care Subsidy</w:t>
            </w:r>
          </w:p>
          <w:p w14:paraId="77F38F64" w14:textId="3B8CCD81" w:rsidR="00DF0EE9" w:rsidRPr="00685583" w:rsidRDefault="00DF0EE9" w:rsidP="00334D13">
            <w:pPr>
              <w:pStyle w:val="Tableheadingrow9pt"/>
              <w:widowControl w:val="0"/>
              <w:rPr>
                <w:color w:val="auto"/>
              </w:rPr>
            </w:pPr>
            <w:r w:rsidRPr="00685583">
              <w:rPr>
                <w:b w:val="0"/>
                <w:color w:val="auto"/>
              </w:rPr>
              <w:t>DESE contributes to increasing immunisation coverage rates by including childhood immunisation requirements as part of the eligibility criteria for the Child Care Subsidy. Eligibility for benefits is linked to satisfying the req</w:t>
            </w:r>
            <w:r w:rsidR="006B6CF1" w:rsidRPr="00685583">
              <w:rPr>
                <w:b w:val="0"/>
                <w:color w:val="auto"/>
              </w:rPr>
              <w:t>uirements for immunisation (1.9</w:t>
            </w:r>
            <w:r w:rsidRPr="00685583">
              <w:rPr>
                <w:b w:val="0"/>
                <w:color w:val="auto"/>
              </w:rPr>
              <w:t>).</w:t>
            </w:r>
          </w:p>
        </w:tc>
      </w:tr>
      <w:tr w:rsidR="00685583" w:rsidRPr="00685583" w14:paraId="75DDB227" w14:textId="77777777" w:rsidTr="00837E76">
        <w:trPr>
          <w:jc w:val="center"/>
        </w:trPr>
        <w:tc>
          <w:tcPr>
            <w:tcW w:w="7677" w:type="dxa"/>
          </w:tcPr>
          <w:p w14:paraId="15B288D7" w14:textId="77777777" w:rsidR="00236AF3" w:rsidRPr="00685583" w:rsidRDefault="00236AF3" w:rsidP="00334D13">
            <w:pPr>
              <w:pStyle w:val="Tableheadingrow9pt"/>
              <w:widowControl w:val="0"/>
              <w:rPr>
                <w:color w:val="auto"/>
              </w:rPr>
            </w:pPr>
            <w:r w:rsidRPr="00685583">
              <w:rPr>
                <w:color w:val="auto"/>
              </w:rPr>
              <w:t>Department of Foreign Affairs and Trade (DFAT)</w:t>
            </w:r>
          </w:p>
          <w:p w14:paraId="7D385839" w14:textId="77777777" w:rsidR="00236AF3" w:rsidRPr="00685583" w:rsidRDefault="00236AF3" w:rsidP="00334D13">
            <w:pPr>
              <w:pStyle w:val="Tableheadingrow9pt"/>
              <w:widowControl w:val="0"/>
              <w:rPr>
                <w:color w:val="auto"/>
                <w:lang w:eastAsia="en-US"/>
              </w:rPr>
            </w:pPr>
            <w:r w:rsidRPr="00685583">
              <w:rPr>
                <w:color w:val="auto"/>
                <w:lang w:eastAsia="en-US"/>
              </w:rPr>
              <w:t>Program 1.1: Foreign Affairs and Trade Operations</w:t>
            </w:r>
          </w:p>
          <w:p w14:paraId="36FBD316" w14:textId="1B3E9E48" w:rsidR="00236AF3" w:rsidRPr="00685583" w:rsidRDefault="00236AF3" w:rsidP="00334D13">
            <w:pPr>
              <w:pStyle w:val="Tableheadingrow9pt"/>
              <w:widowControl w:val="0"/>
              <w:rPr>
                <w:b w:val="0"/>
                <w:color w:val="auto"/>
              </w:rPr>
            </w:pPr>
            <w:r w:rsidRPr="00685583">
              <w:rPr>
                <w:b w:val="0"/>
                <w:color w:val="auto"/>
              </w:rPr>
              <w:t>DFAT works with the Department of Health to promote regional and global strategic interests as they relate to health (1.1).</w:t>
            </w:r>
          </w:p>
        </w:tc>
      </w:tr>
    </w:tbl>
    <w:p w14:paraId="3E846622" w14:textId="623821B3" w:rsidR="006F5655" w:rsidRPr="00685583" w:rsidRDefault="006F5655">
      <w:pPr>
        <w:rPr>
          <w:b/>
          <w:color w:val="auto"/>
        </w:rPr>
      </w:pPr>
      <w:r w:rsidRPr="00685583">
        <w:rPr>
          <w:b/>
          <w:color w:val="auto"/>
        </w:rPr>
        <w:br w:type="page"/>
      </w:r>
    </w:p>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685583" w:rsidRPr="00685583" w14:paraId="02393886" w14:textId="77777777" w:rsidTr="00837E76">
        <w:trPr>
          <w:tblHeader/>
          <w:jc w:val="center"/>
        </w:trPr>
        <w:tc>
          <w:tcPr>
            <w:tcW w:w="7677" w:type="dxa"/>
            <w:shd w:val="clear" w:color="auto" w:fill="D9D9D9" w:themeFill="background1" w:themeFillShade="D9"/>
          </w:tcPr>
          <w:p w14:paraId="31EA3D2A" w14:textId="77777777" w:rsidR="006F5655" w:rsidRPr="00685583" w:rsidRDefault="006F5655" w:rsidP="006F5655">
            <w:pPr>
              <w:pStyle w:val="Tableheadingrow9pt"/>
              <w:widowControl w:val="0"/>
              <w:rPr>
                <w:color w:val="auto"/>
              </w:rPr>
            </w:pPr>
            <w:r w:rsidRPr="00685583">
              <w:rPr>
                <w:color w:val="auto"/>
              </w:rPr>
              <w:lastRenderedPageBreak/>
              <w:t>Other Commonwealth entities that contribute to Outcome 1</w:t>
            </w:r>
          </w:p>
        </w:tc>
      </w:tr>
      <w:tr w:rsidR="00685583" w:rsidRPr="00685583" w14:paraId="6B261C68" w14:textId="77777777" w:rsidTr="00837E76">
        <w:trPr>
          <w:jc w:val="center"/>
        </w:trPr>
        <w:tc>
          <w:tcPr>
            <w:tcW w:w="7677" w:type="dxa"/>
          </w:tcPr>
          <w:p w14:paraId="3B408988" w14:textId="0D35E707" w:rsidR="00DF0EE9" w:rsidRPr="00685583" w:rsidRDefault="00DF0EE9" w:rsidP="00F92094">
            <w:pPr>
              <w:pStyle w:val="Tableheadingrow9pt"/>
              <w:widowControl w:val="0"/>
              <w:rPr>
                <w:color w:val="auto"/>
              </w:rPr>
            </w:pPr>
            <w:r w:rsidRPr="00685583">
              <w:rPr>
                <w:color w:val="auto"/>
              </w:rPr>
              <w:t>Department of Home Affairs (Home Affairs)</w:t>
            </w:r>
          </w:p>
          <w:p w14:paraId="46E380BF" w14:textId="5083E2FF" w:rsidR="00DF0EE9" w:rsidRPr="00685583" w:rsidRDefault="00DF0EE9" w:rsidP="00F92094">
            <w:pPr>
              <w:pStyle w:val="Tableheadingrow9pt"/>
              <w:widowControl w:val="0"/>
              <w:rPr>
                <w:color w:val="auto"/>
              </w:rPr>
            </w:pPr>
            <w:r w:rsidRPr="00685583">
              <w:rPr>
                <w:color w:val="auto"/>
              </w:rPr>
              <w:t>Program 2.</w:t>
            </w:r>
            <w:r w:rsidR="00A41875" w:rsidRPr="00685583">
              <w:rPr>
                <w:color w:val="auto"/>
              </w:rPr>
              <w:t>1</w:t>
            </w:r>
            <w:r w:rsidRPr="00685583">
              <w:rPr>
                <w:color w:val="auto"/>
              </w:rPr>
              <w:t>: Migration</w:t>
            </w:r>
          </w:p>
          <w:p w14:paraId="20CF0BCF" w14:textId="205116EA" w:rsidR="00DF0EE9" w:rsidRPr="00685583" w:rsidRDefault="00DF0EE9" w:rsidP="00F92094">
            <w:pPr>
              <w:pStyle w:val="Tableheadingrow9pt"/>
              <w:widowControl w:val="0"/>
              <w:rPr>
                <w:color w:val="auto"/>
              </w:rPr>
            </w:pPr>
            <w:r w:rsidRPr="00685583">
              <w:rPr>
                <w:color w:val="auto"/>
              </w:rPr>
              <w:t>Program 2.</w:t>
            </w:r>
            <w:r w:rsidR="00A41875" w:rsidRPr="00685583">
              <w:rPr>
                <w:color w:val="auto"/>
              </w:rPr>
              <w:t>2</w:t>
            </w:r>
            <w:r w:rsidRPr="00685583">
              <w:rPr>
                <w:color w:val="auto"/>
              </w:rPr>
              <w:t>: Visas</w:t>
            </w:r>
          </w:p>
          <w:p w14:paraId="4204D7AB" w14:textId="54780F00" w:rsidR="00DF0EE9" w:rsidRPr="00685583" w:rsidRDefault="00DF0EE9" w:rsidP="00F92094">
            <w:pPr>
              <w:pStyle w:val="Tableheadingrow9pt"/>
              <w:widowControl w:val="0"/>
              <w:rPr>
                <w:color w:val="auto"/>
              </w:rPr>
            </w:pPr>
            <w:r w:rsidRPr="00685583">
              <w:rPr>
                <w:color w:val="auto"/>
              </w:rPr>
              <w:t>Program 2.</w:t>
            </w:r>
            <w:r w:rsidR="00A41875" w:rsidRPr="00685583">
              <w:rPr>
                <w:color w:val="auto"/>
              </w:rPr>
              <w:t>3</w:t>
            </w:r>
            <w:r w:rsidRPr="00685583">
              <w:rPr>
                <w:color w:val="auto"/>
              </w:rPr>
              <w:t>: Refugee</w:t>
            </w:r>
            <w:r w:rsidR="00A41875" w:rsidRPr="00685583">
              <w:rPr>
                <w:color w:val="auto"/>
              </w:rPr>
              <w:t>,</w:t>
            </w:r>
            <w:r w:rsidRPr="00685583">
              <w:rPr>
                <w:color w:val="auto"/>
              </w:rPr>
              <w:t xml:space="preserve"> Humanitarian </w:t>
            </w:r>
            <w:r w:rsidR="00A41875" w:rsidRPr="00685583">
              <w:rPr>
                <w:color w:val="auto"/>
              </w:rPr>
              <w:t>Settlement and Migrant Services</w:t>
            </w:r>
          </w:p>
          <w:p w14:paraId="152A544B" w14:textId="2BDA211D" w:rsidR="00A41875" w:rsidRPr="00685583" w:rsidRDefault="00A41875" w:rsidP="00F92094">
            <w:pPr>
              <w:pStyle w:val="Tableheadingrow9pt"/>
              <w:widowControl w:val="0"/>
              <w:rPr>
                <w:color w:val="auto"/>
              </w:rPr>
            </w:pPr>
            <w:r w:rsidRPr="00685583">
              <w:rPr>
                <w:color w:val="auto"/>
              </w:rPr>
              <w:t>Program 3.2: Border Management</w:t>
            </w:r>
          </w:p>
          <w:p w14:paraId="4ED2A24C" w14:textId="77777777" w:rsidR="00DF0EE9" w:rsidRPr="00685583" w:rsidRDefault="00DF0EE9" w:rsidP="00F92094">
            <w:pPr>
              <w:pStyle w:val="Default"/>
              <w:widowControl w:val="0"/>
              <w:spacing w:before="40" w:after="40"/>
              <w:rPr>
                <w:color w:val="auto"/>
                <w:sz w:val="18"/>
                <w:szCs w:val="18"/>
              </w:rPr>
            </w:pPr>
            <w:r w:rsidRPr="00685583">
              <w:rPr>
                <w:color w:val="auto"/>
                <w:sz w:val="18"/>
                <w:szCs w:val="18"/>
              </w:rPr>
              <w:t xml:space="preserve">Home Affairs facilitates access to health and support services by determining annual client numbers for the Program of Assistance for Survivors of Torture and Trauma (1.2). </w:t>
            </w:r>
          </w:p>
          <w:p w14:paraId="13A801C8" w14:textId="2CDB37A6" w:rsidR="007C2D4C" w:rsidRPr="00685583" w:rsidRDefault="00D271B7" w:rsidP="00F92094">
            <w:pPr>
              <w:pStyle w:val="Default"/>
              <w:widowControl w:val="0"/>
              <w:spacing w:before="40" w:after="40"/>
              <w:rPr>
                <w:color w:val="auto"/>
                <w:sz w:val="18"/>
                <w:szCs w:val="18"/>
              </w:rPr>
            </w:pPr>
            <w:r w:rsidRPr="00685583">
              <w:rPr>
                <w:color w:val="auto"/>
                <w:sz w:val="18"/>
                <w:szCs w:val="18"/>
              </w:rPr>
              <w:t>T</w:t>
            </w:r>
            <w:r w:rsidR="00DF0EE9" w:rsidRPr="00685583">
              <w:rPr>
                <w:color w:val="auto"/>
                <w:sz w:val="18"/>
                <w:szCs w:val="18"/>
              </w:rPr>
              <w:t xml:space="preserve">hrough the effective management and delivery of the skilled and family migration programs and sustainable growth in temporary visa programs, </w:t>
            </w:r>
            <w:r w:rsidRPr="00685583">
              <w:rPr>
                <w:color w:val="auto"/>
                <w:sz w:val="18"/>
                <w:szCs w:val="18"/>
              </w:rPr>
              <w:t xml:space="preserve">Home Affairs </w:t>
            </w:r>
            <w:r w:rsidR="00DF0EE9" w:rsidRPr="00685583">
              <w:rPr>
                <w:color w:val="auto"/>
                <w:sz w:val="18"/>
                <w:szCs w:val="18"/>
              </w:rPr>
              <w:t xml:space="preserve">supports a prosperous and inclusive society and advances Australia’s economic interests, ensuring </w:t>
            </w:r>
            <w:r w:rsidR="00DF0EE9" w:rsidRPr="00685583">
              <w:rPr>
                <w:bCs/>
                <w:color w:val="auto"/>
                <w:sz w:val="18"/>
                <w:szCs w:val="18"/>
              </w:rPr>
              <w:t xml:space="preserve">visa </w:t>
            </w:r>
            <w:r w:rsidR="00DF0EE9" w:rsidRPr="00685583">
              <w:rPr>
                <w:color w:val="auto"/>
                <w:sz w:val="18"/>
                <w:szCs w:val="18"/>
              </w:rPr>
              <w:t xml:space="preserve">programs include controls to minimise health risks or costs to the Australian community. </w:t>
            </w:r>
          </w:p>
          <w:p w14:paraId="01A91C06" w14:textId="3262CEE5" w:rsidR="00DF0EE9" w:rsidRPr="00685583" w:rsidRDefault="00DF0EE9" w:rsidP="00F92094">
            <w:pPr>
              <w:pStyle w:val="Default"/>
              <w:widowControl w:val="0"/>
              <w:spacing w:before="40" w:after="40"/>
              <w:rPr>
                <w:color w:val="auto"/>
                <w:sz w:val="18"/>
                <w:szCs w:val="18"/>
              </w:rPr>
            </w:pPr>
            <w:r w:rsidRPr="00685583">
              <w:rPr>
                <w:color w:val="auto"/>
                <w:sz w:val="18"/>
                <w:szCs w:val="18"/>
              </w:rPr>
              <w:t>These programs include:</w:t>
            </w:r>
          </w:p>
          <w:p w14:paraId="4FA4C08F" w14:textId="77777777" w:rsidR="00DF0EE9" w:rsidRPr="00685583" w:rsidRDefault="00DF0EE9" w:rsidP="0070235D">
            <w:pPr>
              <w:pStyle w:val="Default"/>
              <w:widowControl w:val="0"/>
              <w:numPr>
                <w:ilvl w:val="0"/>
                <w:numId w:val="3"/>
              </w:numPr>
              <w:spacing w:before="40"/>
              <w:ind w:left="284" w:hanging="284"/>
              <w:rPr>
                <w:color w:val="auto"/>
                <w:sz w:val="18"/>
                <w:szCs w:val="18"/>
              </w:rPr>
            </w:pPr>
            <w:r w:rsidRPr="00685583">
              <w:rPr>
                <w:color w:val="auto"/>
                <w:sz w:val="18"/>
                <w:szCs w:val="18"/>
              </w:rPr>
              <w:t>Skilled migration visa programs, supplementing Australia’s skilled workforce including the health workforce (1.4).</w:t>
            </w:r>
          </w:p>
          <w:p w14:paraId="7E7C187F" w14:textId="718E6F32" w:rsidR="00DF0EE9" w:rsidRPr="00685583" w:rsidRDefault="00DF0EE9" w:rsidP="0070235D">
            <w:pPr>
              <w:pStyle w:val="Default"/>
              <w:widowControl w:val="0"/>
              <w:numPr>
                <w:ilvl w:val="0"/>
                <w:numId w:val="3"/>
              </w:numPr>
              <w:ind w:left="284" w:hanging="284"/>
              <w:rPr>
                <w:color w:val="auto"/>
                <w:sz w:val="18"/>
                <w:szCs w:val="18"/>
              </w:rPr>
            </w:pPr>
            <w:r w:rsidRPr="00685583">
              <w:rPr>
                <w:color w:val="auto"/>
                <w:sz w:val="18"/>
                <w:szCs w:val="18"/>
              </w:rPr>
              <w:t>Regional skilled visa programs, directing skilled migrants to regional Australia (1.4).</w:t>
            </w:r>
          </w:p>
          <w:p w14:paraId="79C4B0AD" w14:textId="6A4D5DCE" w:rsidR="00DF0EE9" w:rsidRPr="00685583" w:rsidRDefault="00DF0EE9" w:rsidP="0070235D">
            <w:pPr>
              <w:pStyle w:val="Default"/>
              <w:widowControl w:val="0"/>
              <w:numPr>
                <w:ilvl w:val="0"/>
                <w:numId w:val="3"/>
              </w:numPr>
              <w:ind w:left="284" w:hanging="284"/>
              <w:rPr>
                <w:color w:val="auto"/>
                <w:sz w:val="18"/>
                <w:szCs w:val="18"/>
              </w:rPr>
            </w:pPr>
            <w:r w:rsidRPr="00685583">
              <w:rPr>
                <w:color w:val="auto"/>
                <w:sz w:val="18"/>
                <w:szCs w:val="18"/>
              </w:rPr>
              <w:t>Visas for General Practitioners</w:t>
            </w:r>
            <w:r w:rsidR="00081150" w:rsidRPr="00685583">
              <w:rPr>
                <w:color w:val="auto"/>
                <w:sz w:val="18"/>
                <w:szCs w:val="18"/>
              </w:rPr>
              <w:t xml:space="preserve">, </w:t>
            </w:r>
            <w:r w:rsidRPr="00685583">
              <w:rPr>
                <w:color w:val="auto"/>
                <w:sz w:val="18"/>
                <w:szCs w:val="18"/>
              </w:rPr>
              <w:t>including Better Distribution of Me</w:t>
            </w:r>
            <w:r w:rsidR="00225F2A">
              <w:rPr>
                <w:color w:val="auto"/>
                <w:sz w:val="18"/>
                <w:szCs w:val="18"/>
              </w:rPr>
              <w:t>dical Practitioners initiative –</w:t>
            </w:r>
            <w:r w:rsidRPr="00685583">
              <w:rPr>
                <w:color w:val="auto"/>
                <w:sz w:val="18"/>
                <w:szCs w:val="18"/>
              </w:rPr>
              <w:t xml:space="preserve"> a policy initiative implemented by the Department</w:t>
            </w:r>
            <w:r w:rsidR="005068C9" w:rsidRPr="00685583">
              <w:rPr>
                <w:color w:val="auto"/>
                <w:sz w:val="18"/>
                <w:szCs w:val="18"/>
              </w:rPr>
              <w:t>s</w:t>
            </w:r>
            <w:r w:rsidRPr="00685583">
              <w:rPr>
                <w:color w:val="auto"/>
                <w:sz w:val="18"/>
                <w:szCs w:val="18"/>
              </w:rPr>
              <w:t xml:space="preserve"> of Health and Home Affairs, to regulate the supply of overseas trained doctors and direct them towards areas of health workforce shortages (regional, rural and remote areas) in Australia (1.4).</w:t>
            </w:r>
          </w:p>
          <w:p w14:paraId="09BAD676" w14:textId="6FB7E1EB" w:rsidR="00DF0EE9" w:rsidRPr="00685583" w:rsidRDefault="00DF0EE9" w:rsidP="0070235D">
            <w:pPr>
              <w:pStyle w:val="Default"/>
              <w:widowControl w:val="0"/>
              <w:numPr>
                <w:ilvl w:val="0"/>
                <w:numId w:val="3"/>
              </w:numPr>
              <w:ind w:left="284" w:hanging="284"/>
              <w:rPr>
                <w:color w:val="auto"/>
                <w:sz w:val="18"/>
                <w:szCs w:val="18"/>
              </w:rPr>
            </w:pPr>
            <w:r w:rsidRPr="00685583">
              <w:rPr>
                <w:color w:val="auto"/>
                <w:sz w:val="18"/>
                <w:szCs w:val="18"/>
              </w:rPr>
              <w:t>Health requirements, ensuring visa holders do not pose risks to public health (1.4</w:t>
            </w:r>
            <w:r w:rsidR="0070235D">
              <w:rPr>
                <w:color w:val="auto"/>
                <w:sz w:val="18"/>
                <w:szCs w:val="18"/>
              </w:rPr>
              <w:t> and </w:t>
            </w:r>
            <w:r w:rsidR="00C10C49">
              <w:rPr>
                <w:color w:val="auto"/>
                <w:sz w:val="18"/>
                <w:szCs w:val="18"/>
              </w:rPr>
              <w:t>1.8</w:t>
            </w:r>
            <w:r w:rsidRPr="00685583">
              <w:rPr>
                <w:color w:val="auto"/>
                <w:sz w:val="18"/>
                <w:szCs w:val="18"/>
              </w:rPr>
              <w:t>).</w:t>
            </w:r>
          </w:p>
          <w:p w14:paraId="5FC218D9" w14:textId="77777777" w:rsidR="00DF0EE9" w:rsidRPr="00685583" w:rsidRDefault="00DF0EE9" w:rsidP="0070235D">
            <w:pPr>
              <w:pStyle w:val="Default"/>
              <w:widowControl w:val="0"/>
              <w:numPr>
                <w:ilvl w:val="0"/>
                <w:numId w:val="3"/>
              </w:numPr>
              <w:ind w:left="284" w:hanging="284"/>
              <w:rPr>
                <w:color w:val="auto"/>
                <w:sz w:val="18"/>
                <w:szCs w:val="18"/>
              </w:rPr>
            </w:pPr>
            <w:r w:rsidRPr="00685583">
              <w:rPr>
                <w:color w:val="auto"/>
                <w:sz w:val="18"/>
                <w:szCs w:val="18"/>
              </w:rPr>
              <w:t>Health insurance visa condition, ensuring visa holders maintain adequate health insurance while in Australia (1.4).</w:t>
            </w:r>
          </w:p>
          <w:p w14:paraId="34402E93" w14:textId="77777777" w:rsidR="00DF0EE9" w:rsidRPr="00685583" w:rsidRDefault="00DF0EE9" w:rsidP="0070235D">
            <w:pPr>
              <w:pStyle w:val="Default"/>
              <w:widowControl w:val="0"/>
              <w:numPr>
                <w:ilvl w:val="0"/>
                <w:numId w:val="3"/>
              </w:numPr>
              <w:spacing w:after="40"/>
              <w:ind w:left="284" w:hanging="284"/>
              <w:rPr>
                <w:color w:val="auto"/>
                <w:sz w:val="18"/>
                <w:szCs w:val="18"/>
              </w:rPr>
            </w:pPr>
            <w:r w:rsidRPr="00685583">
              <w:rPr>
                <w:color w:val="auto"/>
                <w:sz w:val="18"/>
                <w:szCs w:val="18"/>
              </w:rPr>
              <w:t>Enforceable family sponsorship obligations, ensuring sponsors accept liability for any health costs incurred by visiting families in Australia (1.4).</w:t>
            </w:r>
          </w:p>
          <w:p w14:paraId="4DE1D145" w14:textId="5F03B217" w:rsidR="00DF0EE9" w:rsidRPr="00685583" w:rsidRDefault="00DF0EE9" w:rsidP="00F92094">
            <w:pPr>
              <w:pStyle w:val="Tableheadingrow9pt"/>
              <w:widowControl w:val="0"/>
              <w:rPr>
                <w:color w:val="auto"/>
              </w:rPr>
            </w:pPr>
            <w:r w:rsidRPr="00685583">
              <w:rPr>
                <w:b w:val="0"/>
                <w:color w:val="auto"/>
              </w:rPr>
              <w:t>Home Affairs co</w:t>
            </w:r>
            <w:r w:rsidRPr="00685583">
              <w:rPr>
                <w:b w:val="0"/>
                <w:noProof/>
                <w:color w:val="auto"/>
              </w:rPr>
              <w:t xml:space="preserve">ntributes to the protection of human health, or the environment, by maintaining records on the importation of products containing industrial chemicals, and regulations for the import and export of controlled substances and unapproved medicines and medical </w:t>
            </w:r>
            <w:r w:rsidR="006B6CF1" w:rsidRPr="00685583">
              <w:rPr>
                <w:b w:val="0"/>
                <w:noProof/>
                <w:color w:val="auto"/>
              </w:rPr>
              <w:t>devices at the border (1.8</w:t>
            </w:r>
            <w:r w:rsidRPr="00685583">
              <w:rPr>
                <w:b w:val="0"/>
                <w:noProof/>
                <w:color w:val="auto"/>
              </w:rPr>
              <w:t>).</w:t>
            </w:r>
          </w:p>
        </w:tc>
      </w:tr>
      <w:tr w:rsidR="00685583" w:rsidRPr="00685583" w14:paraId="044897EA" w14:textId="77777777" w:rsidTr="00837E76">
        <w:trPr>
          <w:jc w:val="center"/>
        </w:trPr>
        <w:tc>
          <w:tcPr>
            <w:tcW w:w="7677" w:type="dxa"/>
          </w:tcPr>
          <w:p w14:paraId="55088717" w14:textId="77777777" w:rsidR="00236AF3" w:rsidRPr="00685583" w:rsidRDefault="00236AF3" w:rsidP="00334D13">
            <w:pPr>
              <w:pStyle w:val="Tableheadingrow9pt"/>
              <w:widowControl w:val="0"/>
              <w:rPr>
                <w:color w:val="auto"/>
              </w:rPr>
            </w:pPr>
            <w:r w:rsidRPr="00685583">
              <w:rPr>
                <w:color w:val="auto"/>
              </w:rPr>
              <w:t>Department of Industry, Science, Energy and Resources (DISER)</w:t>
            </w:r>
          </w:p>
          <w:p w14:paraId="43336030" w14:textId="77777777" w:rsidR="00236AF3" w:rsidRPr="00685583" w:rsidRDefault="00236AF3" w:rsidP="00334D13">
            <w:pPr>
              <w:pStyle w:val="Tabletextnormal9pt"/>
              <w:widowControl w:val="0"/>
              <w:rPr>
                <w:b/>
                <w:color w:val="auto"/>
              </w:rPr>
            </w:pPr>
            <w:r w:rsidRPr="00685583">
              <w:rPr>
                <w:b/>
                <w:color w:val="auto"/>
              </w:rPr>
              <w:t xml:space="preserve">Program 1.1: Investing in science, technology and commercialisation </w:t>
            </w:r>
          </w:p>
          <w:p w14:paraId="24FDDB52" w14:textId="77777777" w:rsidR="00236AF3" w:rsidRPr="00685583" w:rsidRDefault="00236AF3" w:rsidP="00334D13">
            <w:pPr>
              <w:pStyle w:val="Tabletextnormal9pt"/>
              <w:widowControl w:val="0"/>
              <w:rPr>
                <w:color w:val="auto"/>
              </w:rPr>
            </w:pPr>
            <w:r w:rsidRPr="00685583">
              <w:rPr>
                <w:b/>
                <w:color w:val="auto"/>
              </w:rPr>
              <w:t>Program 1.2: Growing innovative and competitive businesses, industries and regions</w:t>
            </w:r>
            <w:r w:rsidRPr="00685583">
              <w:rPr>
                <w:color w:val="auto"/>
              </w:rPr>
              <w:t xml:space="preserve"> </w:t>
            </w:r>
          </w:p>
          <w:p w14:paraId="6970384D" w14:textId="2C532DC8" w:rsidR="00236AF3" w:rsidRDefault="00236AF3" w:rsidP="00334D13">
            <w:pPr>
              <w:pStyle w:val="Tableheadingrow9pt"/>
              <w:widowControl w:val="0"/>
              <w:rPr>
                <w:b w:val="0"/>
                <w:color w:val="auto"/>
              </w:rPr>
            </w:pPr>
            <w:r w:rsidRPr="00685583">
              <w:rPr>
                <w:b w:val="0"/>
                <w:color w:val="auto"/>
              </w:rPr>
              <w:t xml:space="preserve">DISER works with the Department of Health to implement the Biomedical Translation </w:t>
            </w:r>
            <w:r w:rsidR="00EC4CAF">
              <w:rPr>
                <w:b w:val="0"/>
                <w:color w:val="auto"/>
              </w:rPr>
              <w:t>Fund and</w:t>
            </w:r>
            <w:r w:rsidRPr="00685583">
              <w:rPr>
                <w:b w:val="0"/>
                <w:color w:val="auto"/>
              </w:rPr>
              <w:t xml:space="preserve"> the Medical Research Future Fund</w:t>
            </w:r>
            <w:r w:rsidR="00EC4CAF">
              <w:rPr>
                <w:b w:val="0"/>
                <w:color w:val="auto"/>
              </w:rPr>
              <w:t xml:space="preserve">. DISER provides input to a range of health policies to improve the support and regulatory environment for innovation by the health sector </w:t>
            </w:r>
            <w:r w:rsidRPr="00685583">
              <w:rPr>
                <w:b w:val="0"/>
                <w:color w:val="auto"/>
              </w:rPr>
              <w:t>(1.1).</w:t>
            </w:r>
          </w:p>
          <w:p w14:paraId="0E100C7A" w14:textId="0A60C656" w:rsidR="00A02B80" w:rsidRPr="00784F3B" w:rsidRDefault="00D4227B" w:rsidP="00334D13">
            <w:pPr>
              <w:pStyle w:val="Tableheadingrow9pt"/>
              <w:widowControl w:val="0"/>
              <w:rPr>
                <w:b w:val="0"/>
                <w:color w:val="auto"/>
              </w:rPr>
            </w:pPr>
            <w:r>
              <w:rPr>
                <w:b w:val="0"/>
                <w:color w:val="auto"/>
              </w:rPr>
              <w:t>DISER</w:t>
            </w:r>
            <w:r w:rsidR="00A02B80" w:rsidRPr="00784F3B">
              <w:rPr>
                <w:b w:val="0"/>
                <w:color w:val="auto"/>
              </w:rPr>
              <w:t xml:space="preserve"> also works with the Department of Health to support manufacturers of medical products through the Modern Manufacturing Strategy</w:t>
            </w:r>
            <w:r w:rsidR="00196239" w:rsidRPr="00784F3B">
              <w:rPr>
                <w:b w:val="0"/>
                <w:color w:val="auto"/>
              </w:rPr>
              <w:t xml:space="preserve"> (1.1)</w:t>
            </w:r>
            <w:r w:rsidR="00A02B80" w:rsidRPr="00784F3B">
              <w:rPr>
                <w:b w:val="0"/>
                <w:color w:val="auto"/>
              </w:rPr>
              <w:t>.</w:t>
            </w:r>
          </w:p>
          <w:p w14:paraId="39D39003" w14:textId="77E37E8D" w:rsidR="00E76353" w:rsidRPr="00685583" w:rsidRDefault="00E76353" w:rsidP="00E76353">
            <w:pPr>
              <w:pStyle w:val="Tableheadingrow9pt"/>
              <w:widowControl w:val="0"/>
              <w:rPr>
                <w:b w:val="0"/>
                <w:color w:val="auto"/>
              </w:rPr>
            </w:pPr>
            <w:r w:rsidRPr="00685583">
              <w:rPr>
                <w:b w:val="0"/>
                <w:color w:val="auto"/>
              </w:rPr>
              <w:t>Through the National Measurement Institute, DISER contributes to reducing smoking prevalence in Australia by conducting tobacco plain packaging compliance and enforcement activities (1.5).</w:t>
            </w:r>
          </w:p>
        </w:tc>
      </w:tr>
      <w:tr w:rsidR="00685583" w:rsidRPr="00685583" w14:paraId="7F6D9105" w14:textId="77777777" w:rsidTr="00837E76">
        <w:trPr>
          <w:jc w:val="center"/>
        </w:trPr>
        <w:tc>
          <w:tcPr>
            <w:tcW w:w="7677" w:type="dxa"/>
          </w:tcPr>
          <w:p w14:paraId="6FF890CC" w14:textId="77777777" w:rsidR="00236AF3" w:rsidRPr="00685583" w:rsidRDefault="00236AF3" w:rsidP="00334D13">
            <w:pPr>
              <w:pStyle w:val="Tableheadingrow9pt"/>
              <w:widowControl w:val="0"/>
              <w:rPr>
                <w:color w:val="auto"/>
              </w:rPr>
            </w:pPr>
            <w:r w:rsidRPr="00685583">
              <w:rPr>
                <w:color w:val="auto"/>
              </w:rPr>
              <w:t>Department of Infrastructure, Transport, Regional Development and Communications (Infrastructure)</w:t>
            </w:r>
          </w:p>
          <w:p w14:paraId="2DD7C311" w14:textId="77777777" w:rsidR="00236AF3" w:rsidRPr="00685583" w:rsidRDefault="00236AF3" w:rsidP="00334D13">
            <w:pPr>
              <w:pStyle w:val="Tableheadingrow9pt"/>
              <w:widowControl w:val="0"/>
              <w:rPr>
                <w:color w:val="auto"/>
              </w:rPr>
            </w:pPr>
            <w:r w:rsidRPr="00685583">
              <w:rPr>
                <w:color w:val="auto"/>
              </w:rPr>
              <w:t>Program 2.3: Road Safety</w:t>
            </w:r>
          </w:p>
          <w:p w14:paraId="49633ED0" w14:textId="77777777" w:rsidR="00236AF3" w:rsidRPr="00685583" w:rsidRDefault="00236AF3" w:rsidP="00334D13">
            <w:pPr>
              <w:pStyle w:val="Tableheadingrow9pt"/>
              <w:widowControl w:val="0"/>
              <w:rPr>
                <w:b w:val="0"/>
                <w:color w:val="auto"/>
              </w:rPr>
            </w:pPr>
            <w:r w:rsidRPr="00685583">
              <w:rPr>
                <w:b w:val="0"/>
                <w:color w:val="auto"/>
              </w:rPr>
              <w:t>Infrastructure co-funds the Australia New Zealand Trauma Registry with the Department of Health to record cases of severe injury, including from road trauma, and improve the treatment and health outcomes of people with injuries (1.1).</w:t>
            </w:r>
          </w:p>
        </w:tc>
      </w:tr>
      <w:tr w:rsidR="00685583" w:rsidRPr="00685583" w14:paraId="060DA20A" w14:textId="77777777" w:rsidTr="00837E76">
        <w:trPr>
          <w:jc w:val="center"/>
        </w:trPr>
        <w:tc>
          <w:tcPr>
            <w:tcW w:w="7677" w:type="dxa"/>
          </w:tcPr>
          <w:p w14:paraId="2D7B3763" w14:textId="77777777" w:rsidR="00DF0EE9" w:rsidRPr="00685583" w:rsidRDefault="00DF0EE9" w:rsidP="00F92094">
            <w:pPr>
              <w:pStyle w:val="Tableheadingrow9pt"/>
              <w:keepNext/>
              <w:widowControl w:val="0"/>
              <w:rPr>
                <w:color w:val="auto"/>
              </w:rPr>
            </w:pPr>
            <w:r w:rsidRPr="00685583">
              <w:rPr>
                <w:color w:val="auto"/>
              </w:rPr>
              <w:lastRenderedPageBreak/>
              <w:t>Department of Social Services (DSS)</w:t>
            </w:r>
          </w:p>
          <w:p w14:paraId="6B089E83" w14:textId="64F34AA6" w:rsidR="00DF0EE9" w:rsidRPr="00685583" w:rsidRDefault="00DF0EE9" w:rsidP="00F92094">
            <w:pPr>
              <w:pStyle w:val="Tableheadingrow9pt"/>
              <w:keepNext/>
              <w:widowControl w:val="0"/>
              <w:rPr>
                <w:color w:val="auto"/>
              </w:rPr>
            </w:pPr>
            <w:r w:rsidRPr="00685583">
              <w:rPr>
                <w:color w:val="auto"/>
              </w:rPr>
              <w:t xml:space="preserve">Program 1.1: Family </w:t>
            </w:r>
            <w:r w:rsidR="004F36E2" w:rsidRPr="00685583">
              <w:rPr>
                <w:color w:val="auto"/>
              </w:rPr>
              <w:t>Assistance</w:t>
            </w:r>
          </w:p>
          <w:p w14:paraId="6483C1C1" w14:textId="51285C9A" w:rsidR="007D7A24" w:rsidRPr="00685583" w:rsidRDefault="007D7A24" w:rsidP="00F92094">
            <w:pPr>
              <w:pStyle w:val="Tableheadingrow9pt"/>
              <w:keepNext/>
              <w:widowControl w:val="0"/>
              <w:rPr>
                <w:color w:val="auto"/>
              </w:rPr>
            </w:pPr>
            <w:r w:rsidRPr="00685583">
              <w:rPr>
                <w:color w:val="auto"/>
              </w:rPr>
              <w:t>Program 2.1: Families and Communities</w:t>
            </w:r>
          </w:p>
          <w:p w14:paraId="44B607B8" w14:textId="7CE99B35" w:rsidR="00DF0EE9" w:rsidRPr="00685583" w:rsidRDefault="00DF0EE9" w:rsidP="00F92094">
            <w:pPr>
              <w:pStyle w:val="Tableheadingrow9pt"/>
              <w:keepNext/>
              <w:widowControl w:val="0"/>
              <w:rPr>
                <w:color w:val="auto"/>
              </w:rPr>
            </w:pPr>
            <w:r w:rsidRPr="00685583">
              <w:rPr>
                <w:color w:val="auto"/>
              </w:rPr>
              <w:t>Program 3.1: Disability and Carers</w:t>
            </w:r>
          </w:p>
          <w:p w14:paraId="1652E8B3" w14:textId="173B7F1E" w:rsidR="00DF0EE9" w:rsidRPr="00685583" w:rsidRDefault="00DF0EE9" w:rsidP="00F92094">
            <w:pPr>
              <w:pStyle w:val="Tableheadingrow9pt"/>
              <w:keepNext/>
              <w:widowControl w:val="0"/>
              <w:rPr>
                <w:color w:val="auto"/>
              </w:rPr>
            </w:pPr>
            <w:r w:rsidRPr="00685583">
              <w:rPr>
                <w:color w:val="auto"/>
              </w:rPr>
              <w:t>Program 3.2: Nation</w:t>
            </w:r>
            <w:r w:rsidR="004F36E2" w:rsidRPr="00685583">
              <w:rPr>
                <w:color w:val="auto"/>
              </w:rPr>
              <w:t>al Disability Insurance Scheme</w:t>
            </w:r>
          </w:p>
          <w:p w14:paraId="3897F414" w14:textId="3ADA53DD" w:rsidR="00721BD8" w:rsidRPr="00721BD8" w:rsidRDefault="00DF0EE9" w:rsidP="00F92094">
            <w:pPr>
              <w:pStyle w:val="Tableheadingrow9pt"/>
              <w:keepNext/>
              <w:widowControl w:val="0"/>
              <w:rPr>
                <w:b w:val="0"/>
                <w:color w:val="auto"/>
              </w:rPr>
            </w:pPr>
            <w:r w:rsidRPr="00685583">
              <w:rPr>
                <w:b w:val="0"/>
                <w:color w:val="auto"/>
              </w:rPr>
              <w:t>DSS contributes to</w:t>
            </w:r>
            <w:r w:rsidR="00A56208" w:rsidRPr="00685583">
              <w:rPr>
                <w:b w:val="0"/>
                <w:color w:val="auto"/>
              </w:rPr>
              <w:t>:</w:t>
            </w:r>
          </w:p>
          <w:p w14:paraId="2439DC91" w14:textId="2D6FD806" w:rsidR="00C16E4E" w:rsidRPr="007F6C6A" w:rsidRDefault="00C16E4E" w:rsidP="0070235D">
            <w:pPr>
              <w:pStyle w:val="Tabletextnormal9pt"/>
              <w:widowControl w:val="0"/>
              <w:numPr>
                <w:ilvl w:val="0"/>
                <w:numId w:val="2"/>
              </w:numPr>
              <w:spacing w:after="0"/>
              <w:ind w:left="284" w:hanging="284"/>
              <w:rPr>
                <w:rFonts w:eastAsiaTheme="minorHAnsi"/>
                <w:color w:val="auto"/>
                <w:lang w:eastAsia="en-US"/>
              </w:rPr>
            </w:pPr>
            <w:proofErr w:type="gramStart"/>
            <w:r w:rsidRPr="00C16E4E">
              <w:rPr>
                <w:rFonts w:eastAsiaTheme="minorHAnsi"/>
                <w:color w:val="auto"/>
                <w:lang w:eastAsia="en-US"/>
              </w:rPr>
              <w:t>c</w:t>
            </w:r>
            <w:r w:rsidRPr="007F6C6A">
              <w:rPr>
                <w:rFonts w:eastAsiaTheme="minorHAnsi"/>
                <w:color w:val="auto"/>
                <w:lang w:eastAsia="en-US"/>
              </w:rPr>
              <w:t>ollaborating</w:t>
            </w:r>
            <w:proofErr w:type="gramEnd"/>
            <w:r w:rsidRPr="007F6C6A">
              <w:rPr>
                <w:rFonts w:eastAsiaTheme="minorHAnsi"/>
                <w:color w:val="auto"/>
                <w:lang w:eastAsia="en-US"/>
              </w:rPr>
              <w:t xml:space="preserve"> to design, test and establish the next development phase of </w:t>
            </w:r>
            <w:r w:rsidRPr="007F6C6A">
              <w:rPr>
                <w:rFonts w:eastAsiaTheme="minorHAnsi"/>
                <w:color w:val="auto"/>
                <w:lang w:eastAsia="en-US"/>
              </w:rPr>
              <w:br/>
              <w:t>the National Disability Data Asset (1.1).</w:t>
            </w:r>
          </w:p>
          <w:p w14:paraId="5ACF5A60" w14:textId="21ACF5A5" w:rsidR="00C16E4E" w:rsidRPr="007F6C6A" w:rsidRDefault="00C16E4E" w:rsidP="0070235D">
            <w:pPr>
              <w:pStyle w:val="Tabletextnormal9pt"/>
              <w:widowControl w:val="0"/>
              <w:numPr>
                <w:ilvl w:val="0"/>
                <w:numId w:val="2"/>
              </w:numPr>
              <w:spacing w:before="0" w:after="0"/>
              <w:ind w:left="284" w:hanging="284"/>
              <w:rPr>
                <w:rFonts w:eastAsiaTheme="minorHAnsi"/>
                <w:color w:val="auto"/>
                <w:lang w:eastAsia="en-US"/>
              </w:rPr>
            </w:pPr>
            <w:proofErr w:type="gramStart"/>
            <w:r w:rsidRPr="00C16E4E">
              <w:rPr>
                <w:rFonts w:eastAsiaTheme="minorHAnsi"/>
                <w:color w:val="auto"/>
                <w:lang w:eastAsia="en-US"/>
              </w:rPr>
              <w:t>i</w:t>
            </w:r>
            <w:r w:rsidRPr="007F6C6A">
              <w:rPr>
                <w:rFonts w:eastAsiaTheme="minorHAnsi"/>
                <w:color w:val="auto"/>
                <w:lang w:eastAsia="en-US"/>
              </w:rPr>
              <w:t>mproving</w:t>
            </w:r>
            <w:proofErr w:type="gramEnd"/>
            <w:r w:rsidRPr="007F6C6A">
              <w:rPr>
                <w:rFonts w:eastAsiaTheme="minorHAnsi"/>
                <w:color w:val="auto"/>
                <w:lang w:eastAsia="en-US"/>
              </w:rPr>
              <w:t xml:space="preserve"> access to services and support for people with psychosocial disability through implementation of the National Disability Insurance Scheme (NDIS) and the provision of mental health services, including community mental health services (1.2)</w:t>
            </w:r>
            <w:r w:rsidR="00023111">
              <w:rPr>
                <w:rFonts w:eastAsiaTheme="minorHAnsi"/>
                <w:color w:val="auto"/>
                <w:lang w:eastAsia="en-US"/>
              </w:rPr>
              <w:t>.</w:t>
            </w:r>
          </w:p>
          <w:p w14:paraId="5FCAFB73" w14:textId="50E72B6B" w:rsidR="00C16E4E" w:rsidRPr="007F6C6A" w:rsidRDefault="00C16E4E" w:rsidP="0070235D">
            <w:pPr>
              <w:pStyle w:val="Tabletextnormal9pt"/>
              <w:widowControl w:val="0"/>
              <w:numPr>
                <w:ilvl w:val="0"/>
                <w:numId w:val="2"/>
              </w:numPr>
              <w:spacing w:before="0" w:after="0"/>
              <w:ind w:left="284" w:hanging="284"/>
              <w:rPr>
                <w:rFonts w:eastAsiaTheme="minorHAnsi"/>
                <w:color w:val="auto"/>
                <w:lang w:eastAsia="en-US"/>
              </w:rPr>
            </w:pPr>
            <w:proofErr w:type="gramStart"/>
            <w:r>
              <w:rPr>
                <w:rFonts w:eastAsiaTheme="minorHAnsi"/>
                <w:lang w:eastAsia="en-US"/>
              </w:rPr>
              <w:t>i</w:t>
            </w:r>
            <w:r w:rsidRPr="00C16E4E">
              <w:rPr>
                <w:rFonts w:eastAsiaTheme="minorHAnsi"/>
                <w:lang w:eastAsia="en-US"/>
              </w:rPr>
              <w:t>mproving</w:t>
            </w:r>
            <w:proofErr w:type="gramEnd"/>
            <w:r w:rsidRPr="00C16E4E">
              <w:rPr>
                <w:rFonts w:eastAsiaTheme="minorHAnsi"/>
                <w:lang w:eastAsia="en-US"/>
              </w:rPr>
              <w:t xml:space="preserve"> access to services and support for young people with mental illness to achieve and maintain sustainable participation in employment and/or vocational education (1.2).</w:t>
            </w:r>
          </w:p>
          <w:p w14:paraId="091D5E2C" w14:textId="51CCB561" w:rsidR="00C16E4E" w:rsidRDefault="00C16E4E" w:rsidP="0070235D">
            <w:pPr>
              <w:pStyle w:val="Tabletextnormal9pt"/>
              <w:widowControl w:val="0"/>
              <w:numPr>
                <w:ilvl w:val="0"/>
                <w:numId w:val="2"/>
              </w:numPr>
              <w:spacing w:before="0" w:after="0"/>
              <w:ind w:left="284" w:hanging="284"/>
              <w:rPr>
                <w:rFonts w:eastAsiaTheme="minorHAnsi"/>
                <w:color w:val="auto"/>
                <w:lang w:eastAsia="en-US"/>
              </w:rPr>
            </w:pPr>
            <w:proofErr w:type="gramStart"/>
            <w:r w:rsidRPr="00C16E4E">
              <w:rPr>
                <w:rFonts w:eastAsiaTheme="minorHAnsi"/>
                <w:color w:val="auto"/>
                <w:lang w:eastAsia="en-US"/>
              </w:rPr>
              <w:t>i</w:t>
            </w:r>
            <w:r w:rsidRPr="007F6C6A">
              <w:rPr>
                <w:rFonts w:eastAsiaTheme="minorHAnsi"/>
                <w:color w:val="auto"/>
                <w:lang w:eastAsia="en-US"/>
              </w:rPr>
              <w:t>mproving</w:t>
            </w:r>
            <w:proofErr w:type="gramEnd"/>
            <w:r w:rsidRPr="007F6C6A">
              <w:rPr>
                <w:rFonts w:eastAsiaTheme="minorHAnsi"/>
                <w:color w:val="auto"/>
                <w:lang w:eastAsia="en-US"/>
              </w:rPr>
              <w:t xml:space="preserve"> the capacity of mainstream services within the health care sector to respond to and include people with disability, increasing accessibility and use of mainstream services through the Information</w:t>
            </w:r>
            <w:r w:rsidR="00225F2A">
              <w:rPr>
                <w:rFonts w:eastAsiaTheme="minorHAnsi"/>
                <w:color w:val="auto"/>
                <w:lang w:eastAsia="en-US"/>
              </w:rPr>
              <w:t xml:space="preserve"> Linkages and </w:t>
            </w:r>
            <w:r w:rsidRPr="007F6C6A">
              <w:rPr>
                <w:rFonts w:eastAsiaTheme="minorHAnsi"/>
                <w:color w:val="auto"/>
                <w:lang w:eastAsia="en-US"/>
              </w:rPr>
              <w:t>Mainstream Capacity Building program (1.4)</w:t>
            </w:r>
            <w:r w:rsidR="00023111">
              <w:rPr>
                <w:rFonts w:eastAsiaTheme="minorHAnsi"/>
                <w:color w:val="auto"/>
                <w:lang w:eastAsia="en-US"/>
              </w:rPr>
              <w:t>.</w:t>
            </w:r>
          </w:p>
          <w:p w14:paraId="5B32169C" w14:textId="44ACDDA2" w:rsidR="00023111" w:rsidRPr="007F6C6A" w:rsidRDefault="00023111" w:rsidP="0070235D">
            <w:pPr>
              <w:pStyle w:val="Tabletextnormal9pt"/>
              <w:widowControl w:val="0"/>
              <w:numPr>
                <w:ilvl w:val="0"/>
                <w:numId w:val="2"/>
              </w:numPr>
              <w:spacing w:before="0" w:after="0"/>
              <w:ind w:left="284" w:hanging="284"/>
              <w:rPr>
                <w:rFonts w:eastAsiaTheme="minorHAnsi"/>
                <w:color w:val="auto"/>
                <w:lang w:eastAsia="en-US"/>
              </w:rPr>
            </w:pPr>
            <w:proofErr w:type="gramStart"/>
            <w:r>
              <w:rPr>
                <w:rFonts w:eastAsiaTheme="minorHAnsi"/>
                <w:color w:val="auto"/>
                <w:lang w:eastAsia="en-US"/>
              </w:rPr>
              <w:t>improving</w:t>
            </w:r>
            <w:proofErr w:type="gramEnd"/>
            <w:r>
              <w:rPr>
                <w:rFonts w:eastAsiaTheme="minorHAnsi"/>
                <w:color w:val="auto"/>
                <w:lang w:eastAsia="en-US"/>
              </w:rPr>
              <w:t xml:space="preserve"> the quality of Australia’s health workforce through targeted training on recognising and responding to clients impacted by family, domestic and sexual violence. The National Plan to End Violence </w:t>
            </w:r>
            <w:proofErr w:type="gramStart"/>
            <w:r w:rsidR="00D4227B">
              <w:rPr>
                <w:rFonts w:eastAsiaTheme="minorHAnsi"/>
                <w:color w:val="auto"/>
                <w:lang w:eastAsia="en-US"/>
              </w:rPr>
              <w:t>Against</w:t>
            </w:r>
            <w:proofErr w:type="gramEnd"/>
            <w:r w:rsidR="00D4227B">
              <w:rPr>
                <w:rFonts w:eastAsiaTheme="minorHAnsi"/>
                <w:color w:val="auto"/>
                <w:lang w:eastAsia="en-US"/>
              </w:rPr>
              <w:t xml:space="preserve"> Women and Children 2022–</w:t>
            </w:r>
            <w:r>
              <w:rPr>
                <w:rFonts w:eastAsiaTheme="minorHAnsi"/>
                <w:color w:val="auto"/>
                <w:lang w:eastAsia="en-US"/>
              </w:rPr>
              <w:t>2032, includes domestic violence alert training and accredited training for sexual violence responses, targeted to health professionals and other frontline workers (1.4).</w:t>
            </w:r>
          </w:p>
          <w:p w14:paraId="46B266F8" w14:textId="50D91EA2" w:rsidR="00C16E4E" w:rsidRPr="00196239" w:rsidRDefault="00C16E4E" w:rsidP="0070235D">
            <w:pPr>
              <w:widowControl w:val="0"/>
              <w:numPr>
                <w:ilvl w:val="0"/>
                <w:numId w:val="2"/>
              </w:numPr>
              <w:spacing w:before="0" w:after="0"/>
              <w:ind w:left="284" w:hanging="284"/>
            </w:pPr>
            <w:proofErr w:type="gramStart"/>
            <w:r>
              <w:t>i</w:t>
            </w:r>
            <w:r w:rsidRPr="00C16E4E">
              <w:t>ncreasing</w:t>
            </w:r>
            <w:proofErr w:type="gramEnd"/>
            <w:r w:rsidRPr="00C16E4E">
              <w:t xml:space="preserve"> immunisation coverage rates, which protect the health and safety of the Australian community by administering the Family Tax Benefit (FTB) Part A to eligible parents. Eligibility for the maximum rate of FTB Part</w:t>
            </w:r>
            <w:r w:rsidRPr="00196239">
              <w:t xml:space="preserve"> A is linked to satisfying the requirements of age-related immunisation (1.9).</w:t>
            </w:r>
          </w:p>
          <w:p w14:paraId="45251FA5" w14:textId="071BC0B4" w:rsidR="00C16E4E" w:rsidRPr="00196239" w:rsidRDefault="00C16E4E" w:rsidP="0070235D">
            <w:pPr>
              <w:widowControl w:val="0"/>
              <w:numPr>
                <w:ilvl w:val="0"/>
                <w:numId w:val="2"/>
              </w:numPr>
              <w:spacing w:before="0" w:after="0"/>
              <w:ind w:left="284" w:hanging="284"/>
            </w:pPr>
            <w:proofErr w:type="gramStart"/>
            <w:r>
              <w:rPr>
                <w:color w:val="auto"/>
              </w:rPr>
              <w:t>e</w:t>
            </w:r>
            <w:r w:rsidRPr="00196239">
              <w:rPr>
                <w:color w:val="auto"/>
              </w:rPr>
              <w:t>ncouraging</w:t>
            </w:r>
            <w:proofErr w:type="gramEnd"/>
            <w:r w:rsidRPr="00196239">
              <w:rPr>
                <w:color w:val="auto"/>
              </w:rPr>
              <w:t xml:space="preserve"> better collaboration between programs and services to support the development and wellbeing of children to help them thrive across and between life stages, by leading the Early Childhood Targeted Action Plan to support Australia’s Disability Strategy 2021</w:t>
            </w:r>
            <w:r w:rsidR="00196239">
              <w:rPr>
                <w:color w:val="auto"/>
              </w:rPr>
              <w:t>–</w:t>
            </w:r>
            <w:r w:rsidRPr="00196239">
              <w:rPr>
                <w:color w:val="auto"/>
              </w:rPr>
              <w:t xml:space="preserve">31. The Targeted Action Plan includes an action to strengthen training and resources to primary health care providers to better enable early detection of disability or developmental concerns in young children, and appropriate referral pathways, recognising the needs for priority population groups such as Aboriginal and Torres Strait Islander children, </w:t>
            </w:r>
            <w:r w:rsidR="00D4227B">
              <w:rPr>
                <w:color w:val="auto"/>
              </w:rPr>
              <w:t>their parents and carers</w:t>
            </w:r>
            <w:r w:rsidR="00225F2A">
              <w:rPr>
                <w:color w:val="auto"/>
              </w:rPr>
              <w:t xml:space="preserve"> (1.3 and </w:t>
            </w:r>
            <w:r w:rsidRPr="00196239">
              <w:rPr>
                <w:color w:val="auto"/>
              </w:rPr>
              <w:t>1.4).</w:t>
            </w:r>
          </w:p>
          <w:p w14:paraId="4DE284CE" w14:textId="1BE63729" w:rsidR="00DF0EE9" w:rsidRPr="00784F3B" w:rsidRDefault="00C16E4E" w:rsidP="0070235D">
            <w:pPr>
              <w:pStyle w:val="Tabletextnormal9pt"/>
              <w:widowControl w:val="0"/>
              <w:numPr>
                <w:ilvl w:val="0"/>
                <w:numId w:val="2"/>
              </w:numPr>
              <w:spacing w:before="0"/>
              <w:ind w:left="284" w:hanging="284"/>
              <w:rPr>
                <w:color w:val="auto"/>
              </w:rPr>
            </w:pPr>
            <w:proofErr w:type="gramStart"/>
            <w:r>
              <w:t>e</w:t>
            </w:r>
            <w:r w:rsidRPr="00196239">
              <w:t>stablishing</w:t>
            </w:r>
            <w:proofErr w:type="gramEnd"/>
            <w:r w:rsidRPr="00196239">
              <w:t xml:space="preserve"> a </w:t>
            </w:r>
            <w:r w:rsidRPr="00196239">
              <w:rPr>
                <w:color w:val="auto"/>
              </w:rPr>
              <w:t>National Early Childhood Program for children with disability or developmental concerns. Th</w:t>
            </w:r>
            <w:r w:rsidRPr="00196239">
              <w:t>is</w:t>
            </w:r>
            <w:r w:rsidRPr="00196239">
              <w:rPr>
                <w:color w:val="auto"/>
              </w:rPr>
              <w:t xml:space="preserve"> program deliver</w:t>
            </w:r>
            <w:r w:rsidRPr="00196239">
              <w:t>s</w:t>
            </w:r>
            <w:r w:rsidRPr="00196239">
              <w:rPr>
                <w:color w:val="auto"/>
              </w:rPr>
              <w:t xml:space="preserve"> a range of disability-specific information, workshops and supported playgroups for young children aged </w:t>
            </w:r>
            <w:r w:rsidR="00225F2A">
              <w:rPr>
                <w:color w:val="auto"/>
              </w:rPr>
              <w:t xml:space="preserve">zero to </w:t>
            </w:r>
            <w:r w:rsidRPr="00196239">
              <w:rPr>
                <w:color w:val="auto"/>
              </w:rPr>
              <w:t xml:space="preserve">8 years with disability or developmental concerns. </w:t>
            </w:r>
            <w:r w:rsidRPr="00196239">
              <w:t xml:space="preserve">This program </w:t>
            </w:r>
            <w:r w:rsidRPr="00196239">
              <w:rPr>
                <w:color w:val="auto"/>
              </w:rPr>
              <w:t>assist</w:t>
            </w:r>
            <w:r w:rsidRPr="00196239">
              <w:t>s</w:t>
            </w:r>
            <w:r w:rsidRPr="00196239">
              <w:rPr>
                <w:color w:val="auto"/>
              </w:rPr>
              <w:t xml:space="preserve"> in meeting</w:t>
            </w:r>
            <w:r w:rsidR="00F80E58">
              <w:rPr>
                <w:color w:val="auto"/>
              </w:rPr>
              <w:t xml:space="preserve"> the Closing the Gap Target 4,</w:t>
            </w:r>
            <w:r w:rsidR="00784F3B">
              <w:rPr>
                <w:color w:val="auto"/>
              </w:rPr>
              <w:t xml:space="preserve"> </w:t>
            </w:r>
            <w:r w:rsidRPr="00784F3B">
              <w:rPr>
                <w:color w:val="auto"/>
              </w:rPr>
              <w:t>Aboriginal and Torres Strait Islander child</w:t>
            </w:r>
            <w:r w:rsidR="00225F2A">
              <w:rPr>
                <w:color w:val="auto"/>
              </w:rPr>
              <w:t>ren thrive in their early years </w:t>
            </w:r>
            <w:r w:rsidRPr="00784F3B">
              <w:rPr>
                <w:color w:val="auto"/>
              </w:rPr>
              <w:t>(1.3).</w:t>
            </w:r>
          </w:p>
        </w:tc>
      </w:tr>
      <w:tr w:rsidR="00A9499C" w:rsidRPr="00685583" w14:paraId="1EEA9776" w14:textId="77777777" w:rsidTr="00837E76">
        <w:trPr>
          <w:trHeight w:val="9411"/>
          <w:jc w:val="center"/>
        </w:trPr>
        <w:tc>
          <w:tcPr>
            <w:tcW w:w="7677" w:type="dxa"/>
          </w:tcPr>
          <w:p w14:paraId="29615664" w14:textId="77777777" w:rsidR="00A9499C" w:rsidRPr="00685583" w:rsidRDefault="00A9499C" w:rsidP="00F92094">
            <w:pPr>
              <w:pStyle w:val="Tableheadingrow9pt"/>
              <w:widowControl w:val="0"/>
              <w:rPr>
                <w:color w:val="auto"/>
              </w:rPr>
            </w:pPr>
            <w:r w:rsidRPr="00685583">
              <w:rPr>
                <w:color w:val="auto"/>
              </w:rPr>
              <w:lastRenderedPageBreak/>
              <w:t>Department of the Treasury (Treasury)</w:t>
            </w:r>
          </w:p>
          <w:p w14:paraId="163C119F" w14:textId="77777777" w:rsidR="00A9499C" w:rsidRPr="00685583" w:rsidRDefault="00A9499C" w:rsidP="00F92094">
            <w:pPr>
              <w:pStyle w:val="Tableheadingrow9pt"/>
              <w:widowControl w:val="0"/>
              <w:rPr>
                <w:color w:val="auto"/>
              </w:rPr>
            </w:pPr>
            <w:r w:rsidRPr="00685583">
              <w:rPr>
                <w:color w:val="auto"/>
              </w:rPr>
              <w:t>Program 1.5: Assistance to the States for Healthcare Services</w:t>
            </w:r>
          </w:p>
          <w:p w14:paraId="197CCBB1" w14:textId="77777777" w:rsidR="00A9499C" w:rsidRPr="00685583" w:rsidRDefault="00A9499C" w:rsidP="00F92094">
            <w:pPr>
              <w:pStyle w:val="Tableheadingrow9pt"/>
              <w:widowControl w:val="0"/>
              <w:rPr>
                <w:color w:val="auto"/>
              </w:rPr>
            </w:pPr>
            <w:r w:rsidRPr="00685583">
              <w:rPr>
                <w:color w:val="auto"/>
              </w:rPr>
              <w:t>Program 1.9: National Partnership Payments to the States</w:t>
            </w:r>
          </w:p>
          <w:p w14:paraId="49712BCD" w14:textId="77777777" w:rsidR="00225F2A" w:rsidRPr="00CC3F1B" w:rsidRDefault="00A9499C" w:rsidP="00F92094">
            <w:pPr>
              <w:pStyle w:val="Tabletextnormal9pt"/>
              <w:widowControl w:val="0"/>
              <w:rPr>
                <w:color w:val="auto"/>
              </w:rPr>
            </w:pPr>
            <w:r w:rsidRPr="00CC3F1B">
              <w:rPr>
                <w:color w:val="auto"/>
              </w:rPr>
              <w:t>Treasury provides financial assistance through National Partnership Payments to state and territory governments as part of the Federal Financial Relations Framework.</w:t>
            </w:r>
            <w:r w:rsidRPr="00CC3F1B">
              <w:rPr>
                <w:rStyle w:val="FootnoteReference"/>
                <w:color w:val="auto"/>
              </w:rPr>
              <w:footnoteReference w:id="6"/>
            </w:r>
            <w:r w:rsidRPr="00CC3F1B">
              <w:rPr>
                <w:color w:val="auto"/>
              </w:rPr>
              <w:t xml:space="preserve"> </w:t>
            </w:r>
          </w:p>
          <w:p w14:paraId="639F115A" w14:textId="0F68FAFB" w:rsidR="00A9499C" w:rsidRPr="00CC3F1B" w:rsidRDefault="00A9499C" w:rsidP="00F92094">
            <w:pPr>
              <w:pStyle w:val="Tabletextnormal9pt"/>
              <w:widowControl w:val="0"/>
              <w:rPr>
                <w:color w:val="auto"/>
              </w:rPr>
            </w:pPr>
            <w:r w:rsidRPr="00CC3F1B">
              <w:rPr>
                <w:color w:val="auto"/>
              </w:rPr>
              <w:t>Activities funded through National Partnership Agreements include:</w:t>
            </w:r>
          </w:p>
          <w:p w14:paraId="6869918B" w14:textId="6E63BE6F" w:rsidR="00A9499C" w:rsidRPr="00CC3F1B" w:rsidRDefault="00A9499C" w:rsidP="0070235D">
            <w:pPr>
              <w:pStyle w:val="Tabletextnormal9pt"/>
              <w:widowControl w:val="0"/>
              <w:numPr>
                <w:ilvl w:val="0"/>
                <w:numId w:val="2"/>
              </w:numPr>
              <w:spacing w:after="0"/>
              <w:ind w:left="284" w:hanging="284"/>
              <w:rPr>
                <w:color w:val="auto"/>
              </w:rPr>
            </w:pPr>
            <w:r w:rsidRPr="00CC3F1B">
              <w:rPr>
                <w:color w:val="auto"/>
              </w:rPr>
              <w:t>Hepatitis C Settlement Fund (1.1)</w:t>
            </w:r>
          </w:p>
          <w:p w14:paraId="35017842" w14:textId="038D91E7"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encouraging more clinical trials in Australia (1.1)</w:t>
            </w:r>
          </w:p>
          <w:p w14:paraId="146F51FF" w14:textId="6922FBD8"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Health Innovation Fund (1.1)</w:t>
            </w:r>
          </w:p>
          <w:p w14:paraId="0F7A22CB" w14:textId="2BEE6137" w:rsidR="00A9499C" w:rsidRPr="00CC3F1B" w:rsidRDefault="00A9499C" w:rsidP="0070235D">
            <w:pPr>
              <w:pStyle w:val="TableBullet"/>
              <w:widowControl w:val="0"/>
              <w:numPr>
                <w:ilvl w:val="0"/>
                <w:numId w:val="2"/>
              </w:numPr>
              <w:spacing w:before="0" w:after="0"/>
              <w:ind w:left="284" w:hanging="284"/>
              <w:contextualSpacing w:val="0"/>
              <w:rPr>
                <w:color w:val="auto"/>
              </w:rPr>
            </w:pPr>
            <w:r w:rsidRPr="00CC3F1B">
              <w:rPr>
                <w:color w:val="auto"/>
              </w:rPr>
              <w:t>Nationa</w:t>
            </w:r>
            <w:r w:rsidR="00225F2A" w:rsidRPr="00CC3F1B">
              <w:rPr>
                <w:color w:val="auto"/>
              </w:rPr>
              <w:t>l Health Reform Agreement (1.1)</w:t>
            </w:r>
          </w:p>
          <w:p w14:paraId="1B7D5289" w14:textId="591FCAE4" w:rsidR="00A9499C" w:rsidRPr="004A74ED" w:rsidRDefault="00A9499C" w:rsidP="0070235D">
            <w:pPr>
              <w:pStyle w:val="Tabletextnormal9pt"/>
              <w:widowControl w:val="0"/>
              <w:numPr>
                <w:ilvl w:val="0"/>
                <w:numId w:val="2"/>
              </w:numPr>
              <w:spacing w:before="0" w:after="0"/>
              <w:ind w:left="284" w:hanging="284"/>
              <w:rPr>
                <w:color w:val="auto"/>
              </w:rPr>
            </w:pPr>
            <w:r w:rsidRPr="004A74ED">
              <w:rPr>
                <w:color w:val="auto"/>
              </w:rPr>
              <w:t>National Partnership Agreement on COVID-19 Response (1.1)</w:t>
            </w:r>
          </w:p>
          <w:p w14:paraId="0DA96B32" w14:textId="33B774C1"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Community Health and Hospitals Program, including the Tasmania Health Package and the additional health services for north-western Tasmania (1.1)</w:t>
            </w:r>
          </w:p>
          <w:p w14:paraId="3782228C" w14:textId="0DE53D67"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achieving better health outcomes (1.1)</w:t>
            </w:r>
          </w:p>
          <w:p w14:paraId="0E183D70" w14:textId="4D47D612"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Centre for National Resilience (1.1)</w:t>
            </w:r>
          </w:p>
          <w:p w14:paraId="57EC48BB" w14:textId="5648D742"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Proton beam therapy facility (1.1)</w:t>
            </w:r>
          </w:p>
          <w:p w14:paraId="42F39CF6" w14:textId="77777777" w:rsidR="007C3CE4"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Health Infrastructure Programs (1.1)</w:t>
            </w:r>
          </w:p>
          <w:p w14:paraId="36EE4940" w14:textId="484963BA" w:rsidR="007C3CE4" w:rsidRPr="00CC3F1B" w:rsidRDefault="007C3CE4" w:rsidP="0070235D">
            <w:pPr>
              <w:pStyle w:val="Tabletextnormal9pt"/>
              <w:widowControl w:val="0"/>
              <w:numPr>
                <w:ilvl w:val="0"/>
                <w:numId w:val="2"/>
              </w:numPr>
              <w:spacing w:before="0" w:after="0"/>
              <w:ind w:left="284" w:hanging="284"/>
              <w:rPr>
                <w:color w:val="auto"/>
              </w:rPr>
            </w:pPr>
            <w:r w:rsidRPr="00CC3F1B">
              <w:rPr>
                <w:color w:val="auto"/>
              </w:rPr>
              <w:t>multidisciplinary outreach care (1.1)</w:t>
            </w:r>
          </w:p>
          <w:p w14:paraId="4283AF6F" w14:textId="5606DDF3" w:rsidR="00EA7987" w:rsidRPr="00CC3F1B" w:rsidRDefault="00EA7987" w:rsidP="0070235D">
            <w:pPr>
              <w:pStyle w:val="Tabletextnormal9pt"/>
              <w:widowControl w:val="0"/>
              <w:numPr>
                <w:ilvl w:val="0"/>
                <w:numId w:val="2"/>
              </w:numPr>
              <w:spacing w:before="0" w:after="0"/>
              <w:ind w:left="284" w:hanging="284"/>
              <w:rPr>
                <w:color w:val="auto"/>
              </w:rPr>
            </w:pPr>
            <w:r w:rsidRPr="00CC3F1B">
              <w:rPr>
                <w:color w:val="auto"/>
              </w:rPr>
              <w:t>reducing stillbirths (1.1)</w:t>
            </w:r>
          </w:p>
          <w:p w14:paraId="03558D83" w14:textId="2FF3BB10"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adult mental health centres trial (1.2)</w:t>
            </w:r>
          </w:p>
          <w:p w14:paraId="04228F45" w14:textId="7E5A263D"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national perinatal mental health check (1.2)</w:t>
            </w:r>
          </w:p>
          <w:p w14:paraId="460372EA" w14:textId="14B42775" w:rsidR="007C3CE4" w:rsidRPr="00CC3F1B" w:rsidRDefault="007C3CE4" w:rsidP="0070235D">
            <w:pPr>
              <w:pStyle w:val="Tabletextnormal9pt"/>
              <w:widowControl w:val="0"/>
              <w:numPr>
                <w:ilvl w:val="0"/>
                <w:numId w:val="2"/>
              </w:numPr>
              <w:spacing w:before="0" w:after="0"/>
              <w:ind w:left="284" w:hanging="284"/>
              <w:rPr>
                <w:color w:val="auto"/>
              </w:rPr>
            </w:pPr>
            <w:r w:rsidRPr="00CC3F1B">
              <w:rPr>
                <w:color w:val="auto"/>
              </w:rPr>
              <w:t>national mental health and suicide prevention (1.2)</w:t>
            </w:r>
          </w:p>
          <w:p w14:paraId="69CC98DE" w14:textId="2651B7E8" w:rsidR="007C3CE4" w:rsidRPr="00CC3F1B" w:rsidRDefault="007C3CE4" w:rsidP="0070235D">
            <w:pPr>
              <w:pStyle w:val="Tabletextnormal9pt"/>
              <w:widowControl w:val="0"/>
              <w:numPr>
                <w:ilvl w:val="0"/>
                <w:numId w:val="2"/>
              </w:numPr>
              <w:spacing w:before="0" w:after="0"/>
              <w:ind w:left="284" w:hanging="284"/>
              <w:rPr>
                <w:color w:val="auto"/>
              </w:rPr>
            </w:pPr>
            <w:r w:rsidRPr="00CC3F1B">
              <w:rPr>
                <w:color w:val="auto"/>
              </w:rPr>
              <w:t>New South Wales mental health support (1.2)</w:t>
            </w:r>
          </w:p>
          <w:p w14:paraId="4FEE4379" w14:textId="4BDEB7B9"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improving trachoma control services for Indigenous Australians (1.3)</w:t>
            </w:r>
          </w:p>
          <w:p w14:paraId="029F4D2E" w14:textId="3A3B1BFC"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addressing blood borne viruses and sexually transmissible infections in the Torres Strait (1.3)</w:t>
            </w:r>
          </w:p>
          <w:p w14:paraId="3460977B" w14:textId="08AD5BFB" w:rsidR="00A9499C" w:rsidRPr="00CC3F1B" w:rsidRDefault="00A9499C" w:rsidP="0070235D">
            <w:pPr>
              <w:pStyle w:val="Tabletextnormal9pt"/>
              <w:widowControl w:val="0"/>
              <w:numPr>
                <w:ilvl w:val="0"/>
                <w:numId w:val="2"/>
              </w:numPr>
              <w:spacing w:before="0" w:after="0"/>
              <w:ind w:left="284" w:hanging="284"/>
              <w:rPr>
                <w:color w:val="auto"/>
              </w:rPr>
            </w:pPr>
            <w:r w:rsidRPr="00CC3F1B">
              <w:rPr>
                <w:color w:val="auto"/>
              </w:rPr>
              <w:t>Rheumatic Fever Strategy (1.3)</w:t>
            </w:r>
          </w:p>
          <w:p w14:paraId="78A0253F" w14:textId="7DAE5FF5" w:rsidR="00A9499C" w:rsidRPr="00685583" w:rsidRDefault="00A9499C" w:rsidP="0070235D">
            <w:pPr>
              <w:pStyle w:val="Tabletextnormal9pt"/>
              <w:widowControl w:val="0"/>
              <w:numPr>
                <w:ilvl w:val="0"/>
                <w:numId w:val="2"/>
              </w:numPr>
              <w:spacing w:before="0" w:after="0"/>
              <w:ind w:left="284" w:hanging="284"/>
              <w:rPr>
                <w:color w:val="auto"/>
              </w:rPr>
            </w:pPr>
            <w:r w:rsidRPr="00685583">
              <w:rPr>
                <w:color w:val="auto"/>
              </w:rPr>
              <w:t>Northern Territory remote Aboriginal investment – health component (1.3)</w:t>
            </w:r>
          </w:p>
          <w:p w14:paraId="508A5ADE" w14:textId="258E1548" w:rsidR="00A9499C" w:rsidRPr="00685583" w:rsidRDefault="00A9499C" w:rsidP="0070235D">
            <w:pPr>
              <w:pStyle w:val="Tabletextnormal9pt"/>
              <w:widowControl w:val="0"/>
              <w:numPr>
                <w:ilvl w:val="0"/>
                <w:numId w:val="2"/>
              </w:numPr>
              <w:spacing w:before="0" w:after="0"/>
              <w:ind w:left="284" w:hanging="284"/>
              <w:rPr>
                <w:color w:val="auto"/>
              </w:rPr>
            </w:pPr>
            <w:r w:rsidRPr="00685583">
              <w:rPr>
                <w:color w:val="auto"/>
              </w:rPr>
              <w:t>National Bowel Cancer Screening Program – participant follow-up function (1.5)</w:t>
            </w:r>
          </w:p>
          <w:p w14:paraId="66CCCE50" w14:textId="56D32274" w:rsidR="00A9499C" w:rsidRPr="00685583" w:rsidRDefault="00A9499C" w:rsidP="0070235D">
            <w:pPr>
              <w:pStyle w:val="Tabletextnormal9pt"/>
              <w:widowControl w:val="0"/>
              <w:numPr>
                <w:ilvl w:val="0"/>
                <w:numId w:val="2"/>
              </w:numPr>
              <w:spacing w:before="0" w:after="0"/>
              <w:ind w:left="284" w:hanging="284"/>
              <w:rPr>
                <w:color w:val="auto"/>
              </w:rPr>
            </w:pPr>
            <w:proofErr w:type="spellStart"/>
            <w:r w:rsidRPr="00685583">
              <w:rPr>
                <w:color w:val="auto"/>
              </w:rPr>
              <w:t>Lymphoedema</w:t>
            </w:r>
            <w:proofErr w:type="spellEnd"/>
            <w:r w:rsidRPr="00685583">
              <w:rPr>
                <w:color w:val="auto"/>
              </w:rPr>
              <w:t xml:space="preserve"> garments and allied health therapy programs (1.5)</w:t>
            </w:r>
          </w:p>
          <w:p w14:paraId="42D98930" w14:textId="5C1A4C7E" w:rsidR="00A9499C" w:rsidRPr="00685583" w:rsidRDefault="00A9499C" w:rsidP="0070235D">
            <w:pPr>
              <w:pStyle w:val="Tabletextnormal9pt"/>
              <w:widowControl w:val="0"/>
              <w:numPr>
                <w:ilvl w:val="0"/>
                <w:numId w:val="2"/>
              </w:numPr>
              <w:spacing w:before="0" w:after="0"/>
              <w:ind w:left="284" w:hanging="284"/>
              <w:rPr>
                <w:color w:val="auto"/>
              </w:rPr>
            </w:pPr>
            <w:r w:rsidRPr="00685583">
              <w:rPr>
                <w:color w:val="auto"/>
              </w:rPr>
              <w:t>Hummingbird House (1.5)</w:t>
            </w:r>
          </w:p>
          <w:p w14:paraId="2E70E02A" w14:textId="5C08A0BB" w:rsidR="00A9499C" w:rsidRPr="00685583" w:rsidRDefault="00A9499C" w:rsidP="0070235D">
            <w:pPr>
              <w:pStyle w:val="Tabletextnormal9pt"/>
              <w:widowControl w:val="0"/>
              <w:numPr>
                <w:ilvl w:val="0"/>
                <w:numId w:val="2"/>
              </w:numPr>
              <w:spacing w:before="0" w:after="0"/>
              <w:ind w:left="284" w:hanging="284"/>
              <w:rPr>
                <w:color w:val="auto"/>
              </w:rPr>
            </w:pPr>
            <w:r w:rsidRPr="00685583">
              <w:rPr>
                <w:color w:val="auto"/>
              </w:rPr>
              <w:t>National Co</w:t>
            </w:r>
            <w:r w:rsidR="00225F2A">
              <w:rPr>
                <w:color w:val="auto"/>
              </w:rPr>
              <w:t>ronial Information System (1.5)</w:t>
            </w:r>
          </w:p>
          <w:p w14:paraId="0C55D101" w14:textId="125EAF86" w:rsidR="00A9499C" w:rsidRDefault="00A9499C" w:rsidP="0070235D">
            <w:pPr>
              <w:pStyle w:val="Tabletextnormal9pt"/>
              <w:widowControl w:val="0"/>
              <w:numPr>
                <w:ilvl w:val="0"/>
                <w:numId w:val="2"/>
              </w:numPr>
              <w:spacing w:before="0" w:after="0"/>
              <w:ind w:left="284" w:hanging="284"/>
              <w:rPr>
                <w:color w:val="auto"/>
              </w:rPr>
            </w:pPr>
            <w:r w:rsidRPr="00685583">
              <w:rPr>
                <w:color w:val="auto"/>
              </w:rPr>
              <w:t>comprehensive palliative care in aged care (1.5)</w:t>
            </w:r>
          </w:p>
          <w:p w14:paraId="55805310" w14:textId="4D7F3CB5" w:rsidR="00C02CAD" w:rsidRDefault="00C02CAD" w:rsidP="0070235D">
            <w:pPr>
              <w:pStyle w:val="Tabletextnormal9pt"/>
              <w:widowControl w:val="0"/>
              <w:numPr>
                <w:ilvl w:val="0"/>
                <w:numId w:val="2"/>
              </w:numPr>
              <w:spacing w:before="0" w:after="0"/>
              <w:ind w:left="284" w:hanging="284"/>
              <w:rPr>
                <w:color w:val="auto"/>
              </w:rPr>
            </w:pPr>
            <w:r>
              <w:rPr>
                <w:color w:val="auto"/>
              </w:rPr>
              <w:t>Western Austral</w:t>
            </w:r>
            <w:r w:rsidR="00C83E9F">
              <w:rPr>
                <w:color w:val="auto"/>
              </w:rPr>
              <w:t>ian comprehensive cancer centre</w:t>
            </w:r>
            <w:r>
              <w:rPr>
                <w:color w:val="auto"/>
              </w:rPr>
              <w:t xml:space="preserve"> (1.5)</w:t>
            </w:r>
          </w:p>
          <w:p w14:paraId="0B03774E" w14:textId="7C6759C1" w:rsidR="00C02CAD" w:rsidRDefault="00C02CAD" w:rsidP="0070235D">
            <w:pPr>
              <w:pStyle w:val="Tabletextnormal9pt"/>
              <w:widowControl w:val="0"/>
              <w:numPr>
                <w:ilvl w:val="0"/>
                <w:numId w:val="2"/>
              </w:numPr>
              <w:spacing w:before="0" w:after="0"/>
              <w:ind w:left="284" w:hanging="284"/>
              <w:rPr>
                <w:color w:val="auto"/>
              </w:rPr>
            </w:pPr>
            <w:r>
              <w:rPr>
                <w:color w:val="auto"/>
              </w:rPr>
              <w:t xml:space="preserve">Surge Capacity for </w:t>
            </w:r>
            <w:proofErr w:type="spellStart"/>
            <w:r>
              <w:rPr>
                <w:color w:val="auto"/>
              </w:rPr>
              <w:t>BreastScreen</w:t>
            </w:r>
            <w:proofErr w:type="spellEnd"/>
            <w:r>
              <w:rPr>
                <w:color w:val="auto"/>
              </w:rPr>
              <w:t xml:space="preserve"> Australia (1.5)</w:t>
            </w:r>
          </w:p>
          <w:p w14:paraId="5EF181F8" w14:textId="4468C401" w:rsidR="00357636" w:rsidRPr="00685583" w:rsidRDefault="00357636" w:rsidP="0070235D">
            <w:pPr>
              <w:pStyle w:val="Tabletextnormal9pt"/>
              <w:widowControl w:val="0"/>
              <w:numPr>
                <w:ilvl w:val="0"/>
                <w:numId w:val="2"/>
              </w:numPr>
              <w:spacing w:before="0" w:after="0"/>
              <w:ind w:left="284" w:hanging="284"/>
              <w:rPr>
                <w:color w:val="auto"/>
              </w:rPr>
            </w:pPr>
            <w:r>
              <w:rPr>
                <w:color w:val="auto"/>
              </w:rPr>
              <w:t>Western Australia Children’s Hospice (1.6)</w:t>
            </w:r>
          </w:p>
          <w:p w14:paraId="533FD1B4" w14:textId="77777777" w:rsidR="00A9499C" w:rsidRPr="00685583" w:rsidRDefault="00A9499C" w:rsidP="0070235D">
            <w:pPr>
              <w:pStyle w:val="Tabletextnormal9pt"/>
              <w:widowControl w:val="0"/>
              <w:numPr>
                <w:ilvl w:val="0"/>
                <w:numId w:val="2"/>
              </w:numPr>
              <w:spacing w:before="0" w:after="0"/>
              <w:ind w:left="284" w:hanging="284"/>
              <w:rPr>
                <w:color w:val="auto"/>
              </w:rPr>
            </w:pPr>
            <w:r w:rsidRPr="00685583">
              <w:rPr>
                <w:color w:val="auto"/>
              </w:rPr>
              <w:t>Royal Darwin Hospital – equipped, prepared and ready (1.8)</w:t>
            </w:r>
          </w:p>
          <w:p w14:paraId="5786B7E4" w14:textId="77777777" w:rsidR="006D0933" w:rsidRDefault="00A9499C" w:rsidP="0070235D">
            <w:pPr>
              <w:pStyle w:val="TableBullet"/>
              <w:widowControl w:val="0"/>
              <w:numPr>
                <w:ilvl w:val="0"/>
                <w:numId w:val="2"/>
              </w:numPr>
              <w:spacing w:before="0" w:after="0"/>
              <w:ind w:left="284" w:hanging="284"/>
              <w:contextualSpacing w:val="0"/>
              <w:rPr>
                <w:color w:val="auto"/>
              </w:rPr>
            </w:pPr>
            <w:proofErr w:type="spellStart"/>
            <w:r w:rsidRPr="00685583">
              <w:rPr>
                <w:color w:val="auto"/>
              </w:rPr>
              <w:t>OzFoodNet</w:t>
            </w:r>
            <w:proofErr w:type="spellEnd"/>
            <w:r w:rsidRPr="00685583">
              <w:rPr>
                <w:color w:val="auto"/>
              </w:rPr>
              <w:t xml:space="preserve"> (1.8)</w:t>
            </w:r>
          </w:p>
          <w:p w14:paraId="5F24F220" w14:textId="77777777" w:rsidR="007C3CE4" w:rsidRDefault="00A9499C" w:rsidP="0070235D">
            <w:pPr>
              <w:pStyle w:val="TableBullet"/>
              <w:widowControl w:val="0"/>
              <w:numPr>
                <w:ilvl w:val="0"/>
                <w:numId w:val="2"/>
              </w:numPr>
              <w:spacing w:before="0" w:after="0"/>
              <w:ind w:left="284" w:hanging="284"/>
              <w:contextualSpacing w:val="0"/>
              <w:rPr>
                <w:color w:val="auto"/>
              </w:rPr>
            </w:pPr>
            <w:r w:rsidRPr="00685583">
              <w:rPr>
                <w:color w:val="auto"/>
              </w:rPr>
              <w:t>mosquito control</w:t>
            </w:r>
            <w:r w:rsidR="007C3CE4">
              <w:rPr>
                <w:color w:val="auto"/>
              </w:rPr>
              <w:t xml:space="preserve"> and cross border liaison</w:t>
            </w:r>
            <w:r w:rsidRPr="00685583">
              <w:rPr>
                <w:color w:val="auto"/>
              </w:rPr>
              <w:t xml:space="preserve"> in the Torres Strait (1.8)</w:t>
            </w:r>
          </w:p>
          <w:p w14:paraId="6FE021BA" w14:textId="66917846" w:rsidR="00A9499C" w:rsidRPr="007C3CE4" w:rsidRDefault="007C3CE4" w:rsidP="0070235D">
            <w:pPr>
              <w:pStyle w:val="TableBullet"/>
              <w:widowControl w:val="0"/>
              <w:numPr>
                <w:ilvl w:val="0"/>
                <w:numId w:val="2"/>
              </w:numPr>
              <w:spacing w:before="0" w:after="0"/>
              <w:ind w:left="284" w:hanging="284"/>
              <w:contextualSpacing w:val="0"/>
              <w:rPr>
                <w:color w:val="auto"/>
              </w:rPr>
            </w:pPr>
            <w:r>
              <w:rPr>
                <w:color w:val="auto"/>
              </w:rPr>
              <w:t>m</w:t>
            </w:r>
            <w:r w:rsidRPr="007C3CE4">
              <w:rPr>
                <w:color w:val="auto"/>
              </w:rPr>
              <w:t>anagement of Torres Strait/Papua New Guinea cross border health issues</w:t>
            </w:r>
            <w:r w:rsidR="00A9499C" w:rsidRPr="007C3CE4">
              <w:rPr>
                <w:color w:val="auto"/>
              </w:rPr>
              <w:t xml:space="preserve"> (1.8)</w:t>
            </w:r>
          </w:p>
          <w:p w14:paraId="047AD37C" w14:textId="77777777" w:rsidR="00A9499C" w:rsidRDefault="00A9499C" w:rsidP="0070235D">
            <w:pPr>
              <w:pStyle w:val="TableBullet"/>
              <w:widowControl w:val="0"/>
              <w:numPr>
                <w:ilvl w:val="0"/>
                <w:numId w:val="2"/>
              </w:numPr>
              <w:spacing w:before="0" w:after="0"/>
              <w:ind w:left="284" w:hanging="284"/>
              <w:contextualSpacing w:val="0"/>
              <w:rPr>
                <w:color w:val="auto"/>
              </w:rPr>
            </w:pPr>
            <w:r w:rsidRPr="00685583">
              <w:rPr>
                <w:color w:val="auto"/>
              </w:rPr>
              <w:t>vaccine-preventable diseases surveillance (1.8)</w:t>
            </w:r>
          </w:p>
          <w:p w14:paraId="770FF9B6" w14:textId="77777777" w:rsidR="00A9499C" w:rsidRDefault="00A9499C" w:rsidP="0070235D">
            <w:pPr>
              <w:pStyle w:val="TableBullet"/>
              <w:widowControl w:val="0"/>
              <w:numPr>
                <w:ilvl w:val="0"/>
                <w:numId w:val="2"/>
              </w:numPr>
              <w:spacing w:before="0" w:after="0"/>
              <w:ind w:left="284" w:hanging="284"/>
              <w:contextualSpacing w:val="0"/>
              <w:rPr>
                <w:color w:val="auto"/>
              </w:rPr>
            </w:pPr>
            <w:r>
              <w:rPr>
                <w:color w:val="auto"/>
              </w:rPr>
              <w:t>mosquito control in Tennant Creek (1.8)</w:t>
            </w:r>
          </w:p>
          <w:p w14:paraId="3AEBA7C4" w14:textId="77777777" w:rsidR="00A9499C" w:rsidRDefault="00A9499C" w:rsidP="0070235D">
            <w:pPr>
              <w:pStyle w:val="TableBullet"/>
              <w:widowControl w:val="0"/>
              <w:numPr>
                <w:ilvl w:val="0"/>
                <w:numId w:val="2"/>
              </w:numPr>
              <w:spacing w:before="0" w:after="0"/>
              <w:ind w:left="284" w:hanging="284"/>
              <w:contextualSpacing w:val="0"/>
              <w:rPr>
                <w:color w:val="auto"/>
              </w:rPr>
            </w:pPr>
            <w:r>
              <w:rPr>
                <w:color w:val="auto"/>
              </w:rPr>
              <w:t>access to HIV treatment (1.8)</w:t>
            </w:r>
          </w:p>
          <w:p w14:paraId="7D8FCC5D" w14:textId="77777777" w:rsidR="00A9499C" w:rsidRPr="00685583" w:rsidRDefault="00A9499C" w:rsidP="0070235D">
            <w:pPr>
              <w:pStyle w:val="TableBullet"/>
              <w:widowControl w:val="0"/>
              <w:numPr>
                <w:ilvl w:val="0"/>
                <w:numId w:val="2"/>
              </w:numPr>
              <w:spacing w:before="0" w:after="0"/>
              <w:ind w:left="284" w:hanging="284"/>
              <w:contextualSpacing w:val="0"/>
              <w:rPr>
                <w:color w:val="auto"/>
              </w:rPr>
            </w:pPr>
            <w:r>
              <w:rPr>
                <w:color w:val="auto"/>
              </w:rPr>
              <w:t>South Australia home quarantine application (1.8)</w:t>
            </w:r>
          </w:p>
          <w:p w14:paraId="0B142560" w14:textId="109FF48A" w:rsidR="00A9499C" w:rsidRPr="00685583" w:rsidRDefault="00A9499C" w:rsidP="0070235D">
            <w:pPr>
              <w:pStyle w:val="TableBullet"/>
              <w:widowControl w:val="0"/>
              <w:numPr>
                <w:ilvl w:val="0"/>
                <w:numId w:val="2"/>
              </w:numPr>
              <w:spacing w:before="0"/>
              <w:ind w:left="284" w:hanging="284"/>
              <w:rPr>
                <w:color w:val="auto"/>
              </w:rPr>
            </w:pPr>
            <w:proofErr w:type="gramStart"/>
            <w:r w:rsidRPr="00685583">
              <w:rPr>
                <w:color w:val="auto"/>
              </w:rPr>
              <w:t>essential</w:t>
            </w:r>
            <w:proofErr w:type="gramEnd"/>
            <w:r w:rsidRPr="00685583">
              <w:rPr>
                <w:color w:val="auto"/>
              </w:rPr>
              <w:t xml:space="preserve"> vaccines (1.9).</w:t>
            </w:r>
          </w:p>
        </w:tc>
      </w:tr>
      <w:tr w:rsidR="00685583" w:rsidRPr="00685583" w14:paraId="7CA879B3" w14:textId="77777777" w:rsidTr="00837E76">
        <w:trPr>
          <w:jc w:val="center"/>
        </w:trPr>
        <w:tc>
          <w:tcPr>
            <w:tcW w:w="7677" w:type="dxa"/>
          </w:tcPr>
          <w:p w14:paraId="3CD0ABF2" w14:textId="17859912" w:rsidR="00DF0EE9" w:rsidRPr="00685583" w:rsidRDefault="00784F3B" w:rsidP="0056523C">
            <w:pPr>
              <w:pStyle w:val="Tableheadingrow9pt"/>
              <w:widowControl w:val="0"/>
              <w:rPr>
                <w:color w:val="auto"/>
                <w:sz w:val="15"/>
                <w:szCs w:val="15"/>
              </w:rPr>
            </w:pPr>
            <w:r>
              <w:rPr>
                <w:color w:val="auto"/>
              </w:rPr>
              <w:t>F</w:t>
            </w:r>
            <w:r w:rsidR="00DF0EE9" w:rsidRPr="00685583">
              <w:rPr>
                <w:color w:val="auto"/>
              </w:rPr>
              <w:t>ood Standards Australia New Zealand (FSANZ)</w:t>
            </w:r>
            <w:r w:rsidR="00DF0EE9" w:rsidRPr="00685583">
              <w:rPr>
                <w:rStyle w:val="FootnoteReference"/>
                <w:color w:val="auto"/>
              </w:rPr>
              <w:footnoteReference w:id="7"/>
            </w:r>
          </w:p>
          <w:p w14:paraId="2C614271" w14:textId="160DB3EF" w:rsidR="00DF0EE9" w:rsidRPr="00685583" w:rsidRDefault="00DF0EE9" w:rsidP="0056523C">
            <w:pPr>
              <w:pStyle w:val="Tableheadingrow9pt"/>
              <w:widowControl w:val="0"/>
              <w:rPr>
                <w:color w:val="auto"/>
              </w:rPr>
            </w:pPr>
            <w:r w:rsidRPr="00685583">
              <w:rPr>
                <w:color w:val="auto"/>
              </w:rPr>
              <w:t>Program 1.1: Food Regulatory Activity and Services to the Minister and Parliament</w:t>
            </w:r>
          </w:p>
          <w:p w14:paraId="44349377" w14:textId="77777777" w:rsidR="00A56208" w:rsidRPr="00685583" w:rsidRDefault="00DF0EE9" w:rsidP="0056523C">
            <w:pPr>
              <w:pStyle w:val="Tableheadingrow9pt"/>
              <w:widowControl w:val="0"/>
              <w:rPr>
                <w:b w:val="0"/>
                <w:color w:val="auto"/>
              </w:rPr>
            </w:pPr>
            <w:r w:rsidRPr="00685583">
              <w:rPr>
                <w:b w:val="0"/>
                <w:color w:val="auto"/>
              </w:rPr>
              <w:t>FSANZ contributes to the protection of</w:t>
            </w:r>
            <w:r w:rsidR="00A56208" w:rsidRPr="00685583">
              <w:rPr>
                <w:b w:val="0"/>
                <w:color w:val="auto"/>
              </w:rPr>
              <w:t>:</w:t>
            </w:r>
          </w:p>
          <w:p w14:paraId="6266048B" w14:textId="736F4D76" w:rsidR="00DF0EE9" w:rsidRPr="00685583" w:rsidRDefault="00340B9E" w:rsidP="0070235D">
            <w:pPr>
              <w:pStyle w:val="Tabletextnormal9pt"/>
              <w:widowControl w:val="0"/>
              <w:numPr>
                <w:ilvl w:val="0"/>
                <w:numId w:val="2"/>
              </w:numPr>
              <w:spacing w:after="0"/>
              <w:ind w:left="284" w:hanging="284"/>
              <w:rPr>
                <w:color w:val="auto"/>
              </w:rPr>
            </w:pPr>
            <w:proofErr w:type="gramStart"/>
            <w:r>
              <w:rPr>
                <w:color w:val="auto"/>
              </w:rPr>
              <w:t>p</w:t>
            </w:r>
            <w:r w:rsidR="00DF0EE9" w:rsidRPr="00685583">
              <w:rPr>
                <w:color w:val="auto"/>
              </w:rPr>
              <w:t>ublic</w:t>
            </w:r>
            <w:proofErr w:type="gramEnd"/>
            <w:r w:rsidR="00DF0EE9" w:rsidRPr="00685583">
              <w:rPr>
                <w:color w:val="auto"/>
              </w:rPr>
              <w:t xml:space="preserve"> health and safety by developing food standards for implementation by the states and territories. FSANZ also coordinates national food surveillance and recall activities to minimise the risk of adverse health events from food</w:t>
            </w:r>
            <w:r w:rsidR="00A56208" w:rsidRPr="00685583">
              <w:rPr>
                <w:color w:val="auto"/>
              </w:rPr>
              <w:t xml:space="preserve"> </w:t>
            </w:r>
            <w:r w:rsidR="00DF0EE9" w:rsidRPr="00685583">
              <w:rPr>
                <w:color w:val="auto"/>
              </w:rPr>
              <w:t>(1.5)</w:t>
            </w:r>
          </w:p>
          <w:p w14:paraId="1EFA1FF3" w14:textId="0FFBA53A" w:rsidR="00387FAC" w:rsidRPr="00685583" w:rsidRDefault="00340B9E" w:rsidP="0070235D">
            <w:pPr>
              <w:pStyle w:val="Tabletextnormal9pt"/>
              <w:widowControl w:val="0"/>
              <w:numPr>
                <w:ilvl w:val="0"/>
                <w:numId w:val="2"/>
              </w:numPr>
              <w:spacing w:before="0"/>
              <w:ind w:left="284" w:hanging="284"/>
              <w:rPr>
                <w:color w:val="auto"/>
              </w:rPr>
            </w:pPr>
            <w:proofErr w:type="gramStart"/>
            <w:r>
              <w:rPr>
                <w:color w:val="auto"/>
              </w:rPr>
              <w:lastRenderedPageBreak/>
              <w:t>h</w:t>
            </w:r>
            <w:r w:rsidR="00387FAC" w:rsidRPr="00685583">
              <w:rPr>
                <w:color w:val="auto"/>
              </w:rPr>
              <w:t>uman</w:t>
            </w:r>
            <w:proofErr w:type="gramEnd"/>
            <w:r w:rsidR="00387FAC" w:rsidRPr="00685583">
              <w:rPr>
                <w:color w:val="auto"/>
              </w:rPr>
              <w:t xml:space="preserve"> health from the risks of industrial chemicals related to food by providing and receiving advice (1.8).</w:t>
            </w:r>
          </w:p>
        </w:tc>
      </w:tr>
      <w:tr w:rsidR="00685583" w:rsidRPr="00685583" w14:paraId="74CB7709" w14:textId="77777777" w:rsidTr="00837E76">
        <w:trPr>
          <w:jc w:val="center"/>
        </w:trPr>
        <w:tc>
          <w:tcPr>
            <w:tcW w:w="7677" w:type="dxa"/>
          </w:tcPr>
          <w:p w14:paraId="4B81110C" w14:textId="77777777" w:rsidR="00DF0EE9" w:rsidRPr="00685583" w:rsidRDefault="00DF0EE9" w:rsidP="00334D13">
            <w:pPr>
              <w:pStyle w:val="Tableheadingrow9pt"/>
              <w:widowControl w:val="0"/>
              <w:rPr>
                <w:color w:val="auto"/>
              </w:rPr>
            </w:pPr>
            <w:r w:rsidRPr="00685583">
              <w:rPr>
                <w:color w:val="auto"/>
              </w:rPr>
              <w:lastRenderedPageBreak/>
              <w:t>Independent Hospital Pricing Authority (IHPA)</w:t>
            </w:r>
            <w:r w:rsidRPr="00685583">
              <w:rPr>
                <w:rStyle w:val="FootnoteReference"/>
                <w:color w:val="auto"/>
              </w:rPr>
              <w:footnoteReference w:id="8"/>
            </w:r>
          </w:p>
          <w:p w14:paraId="3177C650" w14:textId="77777777" w:rsidR="00DF0EE9" w:rsidRPr="00685583" w:rsidRDefault="00DF0EE9" w:rsidP="00334D13">
            <w:pPr>
              <w:pStyle w:val="Tableheadingrow9pt"/>
              <w:widowControl w:val="0"/>
              <w:rPr>
                <w:color w:val="auto"/>
              </w:rPr>
            </w:pPr>
            <w:r w:rsidRPr="00685583">
              <w:rPr>
                <w:color w:val="auto"/>
              </w:rPr>
              <w:t xml:space="preserve">Program 1.1: Public Hospital Price Determinations </w:t>
            </w:r>
          </w:p>
          <w:p w14:paraId="7CA22DFE" w14:textId="6D13C192" w:rsidR="00DF0EE9" w:rsidRPr="00685583" w:rsidRDefault="00DF0EE9" w:rsidP="00334D13">
            <w:pPr>
              <w:pStyle w:val="Tableheadingrow9pt"/>
              <w:widowControl w:val="0"/>
              <w:rPr>
                <w:color w:val="auto"/>
              </w:rPr>
            </w:pPr>
            <w:r w:rsidRPr="00685583">
              <w:rPr>
                <w:b w:val="0"/>
                <w:color w:val="auto"/>
              </w:rPr>
              <w:t>IHPA determines the National Efficient Price for public hospital services as the basis for Activity Based Funding and the National Efficient Cost for those public hospital services under block funding arrangements (1.1).</w:t>
            </w:r>
          </w:p>
        </w:tc>
      </w:tr>
      <w:tr w:rsidR="00685583" w:rsidRPr="00685583" w14:paraId="2C0CD290" w14:textId="77777777" w:rsidTr="00837E76">
        <w:trPr>
          <w:jc w:val="center"/>
        </w:trPr>
        <w:tc>
          <w:tcPr>
            <w:tcW w:w="7677" w:type="dxa"/>
          </w:tcPr>
          <w:p w14:paraId="5EEF8C35" w14:textId="197A5426" w:rsidR="00DF0EE9" w:rsidRPr="00685583" w:rsidRDefault="00DF0EE9" w:rsidP="00334D13">
            <w:pPr>
              <w:pStyle w:val="Tableheadingrow9pt"/>
              <w:widowControl w:val="0"/>
              <w:rPr>
                <w:color w:val="auto"/>
              </w:rPr>
            </w:pPr>
            <w:r w:rsidRPr="00685583">
              <w:rPr>
                <w:color w:val="auto"/>
              </w:rPr>
              <w:t>National Blood Authority (NBA)</w:t>
            </w:r>
            <w:r w:rsidRPr="00685583">
              <w:rPr>
                <w:rStyle w:val="FootnoteReference"/>
                <w:color w:val="auto"/>
              </w:rPr>
              <w:footnoteReference w:id="9"/>
            </w:r>
          </w:p>
          <w:p w14:paraId="26E2C13F" w14:textId="77777777" w:rsidR="00DF0EE9" w:rsidRPr="00685583" w:rsidRDefault="00DF0EE9" w:rsidP="00334D13">
            <w:pPr>
              <w:pStyle w:val="Tableheadingrow9pt"/>
              <w:widowControl w:val="0"/>
              <w:rPr>
                <w:color w:val="auto"/>
              </w:rPr>
            </w:pPr>
            <w:r w:rsidRPr="00685583">
              <w:rPr>
                <w:color w:val="auto"/>
              </w:rPr>
              <w:t>Program 1.1: National Blood Agreement Management</w:t>
            </w:r>
          </w:p>
          <w:p w14:paraId="641C4841" w14:textId="7BB25562" w:rsidR="00DF0EE9" w:rsidRPr="00685583" w:rsidRDefault="0046470F" w:rsidP="00334D13">
            <w:pPr>
              <w:pStyle w:val="Tableheadingrow9pt"/>
              <w:widowControl w:val="0"/>
              <w:rPr>
                <w:b w:val="0"/>
                <w:color w:val="auto"/>
              </w:rPr>
            </w:pPr>
            <w:r w:rsidRPr="00685583">
              <w:rPr>
                <w:b w:val="0"/>
                <w:color w:val="auto"/>
              </w:rPr>
              <w:t xml:space="preserve">The </w:t>
            </w:r>
            <w:r w:rsidR="00DF0EE9" w:rsidRPr="00685583">
              <w:rPr>
                <w:b w:val="0"/>
                <w:color w:val="auto"/>
              </w:rPr>
              <w:t>NBA works to save and improve Australian lives through a world</w:t>
            </w:r>
            <w:r w:rsidR="00DF0EE9" w:rsidRPr="00685583">
              <w:rPr>
                <w:b w:val="0"/>
                <w:color w:val="auto"/>
              </w:rPr>
              <w:noBreakHyphen/>
              <w:t xml:space="preserve">class blood supply that is safe, secure, </w:t>
            </w:r>
            <w:proofErr w:type="gramStart"/>
            <w:r w:rsidR="00DF0EE9" w:rsidRPr="00685583">
              <w:rPr>
                <w:b w:val="0"/>
                <w:color w:val="auto"/>
              </w:rPr>
              <w:t>affordable</w:t>
            </w:r>
            <w:proofErr w:type="gramEnd"/>
            <w:r w:rsidR="00DF0EE9" w:rsidRPr="00685583">
              <w:rPr>
                <w:b w:val="0"/>
                <w:color w:val="auto"/>
              </w:rPr>
              <w:t xml:space="preserve"> and well</w:t>
            </w:r>
            <w:r w:rsidR="00DF0EE9" w:rsidRPr="00685583">
              <w:rPr>
                <w:b w:val="0"/>
                <w:color w:val="auto"/>
              </w:rPr>
              <w:noBreakHyphen/>
              <w:t>managed (1.1).</w:t>
            </w:r>
          </w:p>
        </w:tc>
      </w:tr>
      <w:tr w:rsidR="00685583" w:rsidRPr="00685583" w14:paraId="41FD70D7" w14:textId="77777777" w:rsidTr="00837E76">
        <w:trPr>
          <w:jc w:val="center"/>
        </w:trPr>
        <w:tc>
          <w:tcPr>
            <w:tcW w:w="7677" w:type="dxa"/>
          </w:tcPr>
          <w:p w14:paraId="3F35570D" w14:textId="77777777" w:rsidR="00DF0EE9" w:rsidRPr="00685583" w:rsidRDefault="00DF0EE9" w:rsidP="00334D13">
            <w:pPr>
              <w:pStyle w:val="Tableheadingrow9pt"/>
              <w:widowControl w:val="0"/>
              <w:rPr>
                <w:color w:val="auto"/>
              </w:rPr>
            </w:pPr>
            <w:r w:rsidRPr="00685583">
              <w:rPr>
                <w:color w:val="auto"/>
              </w:rPr>
              <w:t>National Health and Medical Research Council (NHMRC)</w:t>
            </w:r>
            <w:r w:rsidRPr="00685583">
              <w:rPr>
                <w:rStyle w:val="FootnoteReference"/>
                <w:color w:val="auto"/>
              </w:rPr>
              <w:footnoteReference w:id="10"/>
            </w:r>
            <w:r w:rsidRPr="00685583">
              <w:rPr>
                <w:b w:val="0"/>
                <w:color w:val="auto"/>
                <w:sz w:val="15"/>
                <w:szCs w:val="15"/>
              </w:rPr>
              <w:t xml:space="preserve"> </w:t>
            </w:r>
          </w:p>
          <w:p w14:paraId="7C596A55" w14:textId="77777777" w:rsidR="00DF0EE9" w:rsidRPr="00685583" w:rsidRDefault="00DF0EE9" w:rsidP="00334D13">
            <w:pPr>
              <w:pStyle w:val="Tableheadingrow9pt"/>
              <w:widowControl w:val="0"/>
              <w:rPr>
                <w:color w:val="auto"/>
              </w:rPr>
            </w:pPr>
            <w:r w:rsidRPr="00685583">
              <w:rPr>
                <w:color w:val="auto"/>
              </w:rPr>
              <w:t>Program 1.1: Health and Medical Research</w:t>
            </w:r>
          </w:p>
          <w:p w14:paraId="36D1D0AC" w14:textId="790AC225" w:rsidR="00DF0EE9" w:rsidRPr="00685583" w:rsidRDefault="00DF0EE9" w:rsidP="00334D13">
            <w:pPr>
              <w:pStyle w:val="Tableheadingrow9pt"/>
              <w:widowControl w:val="0"/>
              <w:rPr>
                <w:b w:val="0"/>
                <w:color w:val="auto"/>
              </w:rPr>
            </w:pPr>
            <w:r w:rsidRPr="00685583">
              <w:rPr>
                <w:b w:val="0"/>
                <w:color w:val="auto"/>
              </w:rPr>
              <w:t>NHMRC develops evidence-based health advice for the Australian community, health professionals and governments, and provides advice on ethical practice in health care and in the conduct of health and medical research, and administers research grant programs on behalf of the Department of Health (1.1).</w:t>
            </w:r>
          </w:p>
          <w:p w14:paraId="7F24CDF0" w14:textId="39A587C5" w:rsidR="00387FAC" w:rsidRPr="00685583" w:rsidRDefault="00387FAC" w:rsidP="00334D13">
            <w:pPr>
              <w:pStyle w:val="Tableheadingrow9pt"/>
              <w:widowControl w:val="0"/>
              <w:rPr>
                <w:color w:val="auto"/>
              </w:rPr>
            </w:pPr>
            <w:r w:rsidRPr="00685583">
              <w:rPr>
                <w:b w:val="0"/>
                <w:color w:val="auto"/>
              </w:rPr>
              <w:t>NHMRC contributes to the protection of human health from the risks of industrial chemicals related to drinking water by providing and receiving advice (1.8).</w:t>
            </w:r>
          </w:p>
        </w:tc>
      </w:tr>
      <w:tr w:rsidR="00685583" w:rsidRPr="00685583" w14:paraId="5A7AE67F" w14:textId="77777777" w:rsidTr="00837E76">
        <w:trPr>
          <w:jc w:val="center"/>
        </w:trPr>
        <w:tc>
          <w:tcPr>
            <w:tcW w:w="7677" w:type="dxa"/>
          </w:tcPr>
          <w:p w14:paraId="02F695D7" w14:textId="77777777" w:rsidR="00DF0EE9" w:rsidRPr="00685583" w:rsidRDefault="00DF0EE9" w:rsidP="00334D13">
            <w:pPr>
              <w:pStyle w:val="Tableheadingrow9pt"/>
              <w:widowControl w:val="0"/>
              <w:rPr>
                <w:color w:val="auto"/>
              </w:rPr>
            </w:pPr>
            <w:r w:rsidRPr="00685583">
              <w:rPr>
                <w:color w:val="auto"/>
              </w:rPr>
              <w:t>National Health Funding Body (NHFB)</w:t>
            </w:r>
            <w:r w:rsidRPr="00685583">
              <w:rPr>
                <w:rStyle w:val="FootnoteReference"/>
                <w:color w:val="auto"/>
              </w:rPr>
              <w:footnoteReference w:id="11"/>
            </w:r>
          </w:p>
          <w:p w14:paraId="48DEFD12" w14:textId="77777777" w:rsidR="00DF0EE9" w:rsidRPr="00685583" w:rsidRDefault="00DF0EE9" w:rsidP="00334D13">
            <w:pPr>
              <w:pStyle w:val="Tableheadingrow9pt"/>
              <w:widowControl w:val="0"/>
              <w:rPr>
                <w:color w:val="auto"/>
              </w:rPr>
            </w:pPr>
            <w:r w:rsidRPr="00685583">
              <w:rPr>
                <w:color w:val="auto"/>
              </w:rPr>
              <w:t>Program 1.1: National Health Funding Pool Administration</w:t>
            </w:r>
          </w:p>
          <w:p w14:paraId="2D9F7C93" w14:textId="77777777" w:rsidR="00DF0EE9" w:rsidRPr="00685583" w:rsidRDefault="00DF0EE9" w:rsidP="00334D13">
            <w:pPr>
              <w:pStyle w:val="Tableheadingrow9pt"/>
              <w:widowControl w:val="0"/>
              <w:rPr>
                <w:color w:val="auto"/>
              </w:rPr>
            </w:pPr>
            <w:r w:rsidRPr="00685583">
              <w:rPr>
                <w:b w:val="0"/>
                <w:color w:val="auto"/>
              </w:rPr>
              <w:t>The NHFB is responsible for the transparent and efficient administration of Commonwealth, state and territory funding of public hospital services. This includes the administration of payments to and from the National Health Funding Pool to Local Hospital Networks and other parties in accordance with the National Health Reform Agreement. Commonwealth funding is provided by Treasury (1.1).</w:t>
            </w:r>
          </w:p>
        </w:tc>
      </w:tr>
      <w:tr w:rsidR="00685583" w:rsidRPr="00685583" w14:paraId="3658391B" w14:textId="77777777" w:rsidTr="00837E76">
        <w:trPr>
          <w:jc w:val="center"/>
        </w:trPr>
        <w:tc>
          <w:tcPr>
            <w:tcW w:w="7677" w:type="dxa"/>
          </w:tcPr>
          <w:p w14:paraId="0F20A0C1" w14:textId="4AABEE82" w:rsidR="00334D13" w:rsidRPr="00685583" w:rsidRDefault="00334D13" w:rsidP="00334D13">
            <w:pPr>
              <w:pStyle w:val="Tableheadingrow9pt"/>
              <w:widowControl w:val="0"/>
              <w:rPr>
                <w:color w:val="auto"/>
              </w:rPr>
            </w:pPr>
            <w:r w:rsidRPr="00685583">
              <w:rPr>
                <w:color w:val="auto"/>
              </w:rPr>
              <w:t>National Indigenous Australians Agency (NIAA)</w:t>
            </w:r>
          </w:p>
          <w:p w14:paraId="71C3CE59" w14:textId="77777777" w:rsidR="00334D13" w:rsidRPr="00685583" w:rsidRDefault="00334D13" w:rsidP="00334D13">
            <w:pPr>
              <w:pStyle w:val="Tableheadingrow9pt"/>
              <w:widowControl w:val="0"/>
              <w:rPr>
                <w:color w:val="auto"/>
              </w:rPr>
            </w:pPr>
            <w:r w:rsidRPr="00685583">
              <w:rPr>
                <w:color w:val="auto"/>
              </w:rPr>
              <w:t>Program 1.3: Safety and Wellbeing</w:t>
            </w:r>
          </w:p>
          <w:p w14:paraId="6D321B8F" w14:textId="0C3E5C18" w:rsidR="00334D13" w:rsidRPr="00685583" w:rsidRDefault="006B66C3" w:rsidP="00334D13">
            <w:pPr>
              <w:pStyle w:val="Tableheadingrow9pt"/>
              <w:widowControl w:val="0"/>
              <w:rPr>
                <w:b w:val="0"/>
                <w:color w:val="auto"/>
              </w:rPr>
            </w:pPr>
            <w:r w:rsidRPr="00685583">
              <w:rPr>
                <w:b w:val="0"/>
                <w:color w:val="auto"/>
              </w:rPr>
              <w:t xml:space="preserve">The NIAA works closely with the Department of Health to ensure the effectiveness of Indigenous health funding, and that mainstream policy, programs and services deliver benefits to Aboriginal and Torres Strait Islander people. NIAA also provides grants for health, wellbeing and resilience projects; substance use </w:t>
            </w:r>
            <w:r>
              <w:rPr>
                <w:b w:val="0"/>
                <w:color w:val="auto"/>
              </w:rPr>
              <w:t xml:space="preserve">treatment </w:t>
            </w:r>
            <w:r w:rsidRPr="00685583">
              <w:rPr>
                <w:b w:val="0"/>
                <w:color w:val="auto"/>
              </w:rPr>
              <w:t>and harm minimisation projects; and projects aimed at combating petrol sniffing and the use of other volatile substances (1.3).</w:t>
            </w:r>
          </w:p>
        </w:tc>
      </w:tr>
      <w:tr w:rsidR="00685583" w:rsidRPr="00685583" w14:paraId="265313A6" w14:textId="77777777" w:rsidTr="00837E76">
        <w:trPr>
          <w:jc w:val="center"/>
        </w:trPr>
        <w:tc>
          <w:tcPr>
            <w:tcW w:w="7677" w:type="dxa"/>
          </w:tcPr>
          <w:p w14:paraId="6DD0F1F7" w14:textId="148D82C9" w:rsidR="00334D13" w:rsidRPr="00685583" w:rsidRDefault="00334D13" w:rsidP="00334D13">
            <w:pPr>
              <w:pStyle w:val="Tableheadingrow9pt"/>
              <w:widowControl w:val="0"/>
              <w:rPr>
                <w:color w:val="auto"/>
              </w:rPr>
            </w:pPr>
            <w:r w:rsidRPr="00685583">
              <w:rPr>
                <w:color w:val="auto"/>
              </w:rPr>
              <w:t>National Mental Health Commission (NMHC)</w:t>
            </w:r>
            <w:r w:rsidRPr="00685583">
              <w:rPr>
                <w:rStyle w:val="FootnoteReference"/>
                <w:color w:val="auto"/>
              </w:rPr>
              <w:footnoteReference w:id="12"/>
            </w:r>
          </w:p>
          <w:p w14:paraId="03DF8972" w14:textId="77777777" w:rsidR="00334D13" w:rsidRPr="00685583" w:rsidRDefault="00334D13" w:rsidP="00334D13">
            <w:pPr>
              <w:pStyle w:val="Tableheadingrow9pt"/>
              <w:widowControl w:val="0"/>
              <w:rPr>
                <w:color w:val="auto"/>
              </w:rPr>
            </w:pPr>
            <w:r w:rsidRPr="00685583">
              <w:rPr>
                <w:color w:val="auto"/>
              </w:rPr>
              <w:t>Program 1.1: National Mental Health Commission</w:t>
            </w:r>
          </w:p>
          <w:p w14:paraId="4837F8DD" w14:textId="1052B8A7" w:rsidR="00334D13" w:rsidRPr="00685583" w:rsidRDefault="0046470F" w:rsidP="00334D13">
            <w:pPr>
              <w:pStyle w:val="Tableheadingrow9pt"/>
              <w:widowControl w:val="0"/>
              <w:rPr>
                <w:b w:val="0"/>
                <w:color w:val="auto"/>
              </w:rPr>
            </w:pPr>
            <w:r w:rsidRPr="00685583">
              <w:rPr>
                <w:b w:val="0"/>
                <w:color w:val="auto"/>
              </w:rPr>
              <w:t xml:space="preserve">The </w:t>
            </w:r>
            <w:r w:rsidR="00334D13" w:rsidRPr="00685583">
              <w:rPr>
                <w:b w:val="0"/>
                <w:color w:val="auto"/>
              </w:rPr>
              <w:t>NMHC provides independent policy advice and evidence on ways to improve Australia’s mental health and suicide prevention system, and acts as a catalyst for change to achieve those improvements (1.2).</w:t>
            </w:r>
          </w:p>
        </w:tc>
      </w:tr>
      <w:tr w:rsidR="00685583" w:rsidRPr="00685583" w14:paraId="7CB7CED0" w14:textId="77777777" w:rsidTr="00837E76">
        <w:trPr>
          <w:trHeight w:val="1392"/>
          <w:jc w:val="center"/>
        </w:trPr>
        <w:tc>
          <w:tcPr>
            <w:tcW w:w="7677" w:type="dxa"/>
          </w:tcPr>
          <w:p w14:paraId="305B4233" w14:textId="77777777" w:rsidR="00334D13" w:rsidRPr="00685583" w:rsidRDefault="00334D13" w:rsidP="00334D13">
            <w:pPr>
              <w:pStyle w:val="Tableheadingrow9pt"/>
              <w:widowControl w:val="0"/>
              <w:rPr>
                <w:color w:val="auto"/>
              </w:rPr>
            </w:pPr>
            <w:r w:rsidRPr="00685583">
              <w:rPr>
                <w:color w:val="auto"/>
              </w:rPr>
              <w:t>Organ and Tissue Authority (OTA)</w:t>
            </w:r>
            <w:r w:rsidRPr="00685583">
              <w:rPr>
                <w:rStyle w:val="FootnoteReference"/>
                <w:color w:val="auto"/>
              </w:rPr>
              <w:footnoteReference w:id="13"/>
            </w:r>
          </w:p>
          <w:p w14:paraId="427A2D78" w14:textId="77777777" w:rsidR="00334D13" w:rsidRPr="00685583" w:rsidRDefault="00334D13" w:rsidP="00334D13">
            <w:pPr>
              <w:pStyle w:val="Tableheadingrow9pt"/>
              <w:widowControl w:val="0"/>
              <w:rPr>
                <w:color w:val="auto"/>
              </w:rPr>
            </w:pPr>
            <w:r w:rsidRPr="00685583">
              <w:rPr>
                <w:color w:val="auto"/>
              </w:rPr>
              <w:t>Program 1.1: A Nationally Coordinated System for Organ and Tissue Donation for Transplantation</w:t>
            </w:r>
          </w:p>
          <w:p w14:paraId="4CFF644D" w14:textId="13E87A27" w:rsidR="00334D13" w:rsidRPr="00685583" w:rsidRDefault="0046470F" w:rsidP="00334D13">
            <w:pPr>
              <w:pStyle w:val="Tableheadingrow9pt"/>
              <w:widowControl w:val="0"/>
              <w:rPr>
                <w:b w:val="0"/>
                <w:color w:val="auto"/>
              </w:rPr>
            </w:pPr>
            <w:r w:rsidRPr="00685583">
              <w:rPr>
                <w:b w:val="0"/>
                <w:color w:val="auto"/>
              </w:rPr>
              <w:t xml:space="preserve">The </w:t>
            </w:r>
            <w:r w:rsidR="00334D13" w:rsidRPr="00685583">
              <w:rPr>
                <w:b w:val="0"/>
                <w:color w:val="auto"/>
              </w:rPr>
              <w:t>OTA works to maximise organ and tissue donation for transplantation by increasing the capacity within the health system, and raising community awareness and stakeholder engagement in support of donation (1.1)</w:t>
            </w:r>
            <w:r w:rsidR="00760E14" w:rsidRPr="00685583">
              <w:rPr>
                <w:b w:val="0"/>
                <w:color w:val="auto"/>
              </w:rPr>
              <w:t>.</w:t>
            </w:r>
          </w:p>
        </w:tc>
      </w:tr>
      <w:tr w:rsidR="00685583" w:rsidRPr="00685583" w14:paraId="324042E9" w14:textId="77777777" w:rsidTr="00837E76">
        <w:trPr>
          <w:trHeight w:val="1392"/>
          <w:jc w:val="center"/>
        </w:trPr>
        <w:tc>
          <w:tcPr>
            <w:tcW w:w="7677" w:type="dxa"/>
          </w:tcPr>
          <w:p w14:paraId="79A1452A" w14:textId="77777777" w:rsidR="00334D13" w:rsidRPr="00685583" w:rsidRDefault="00334D13" w:rsidP="00334D13">
            <w:pPr>
              <w:pStyle w:val="Tableheadingrow9pt"/>
              <w:widowControl w:val="0"/>
              <w:rPr>
                <w:color w:val="auto"/>
              </w:rPr>
            </w:pPr>
            <w:r w:rsidRPr="00685583">
              <w:rPr>
                <w:color w:val="auto"/>
              </w:rPr>
              <w:lastRenderedPageBreak/>
              <w:t>Safe Work Australia (SWA)</w:t>
            </w:r>
          </w:p>
          <w:p w14:paraId="3AE74ADA" w14:textId="77777777" w:rsidR="00334D13" w:rsidRPr="00685583" w:rsidRDefault="00334D13" w:rsidP="00334D13">
            <w:pPr>
              <w:pStyle w:val="Tableheadingrow9pt"/>
              <w:widowControl w:val="0"/>
              <w:rPr>
                <w:color w:val="auto"/>
              </w:rPr>
            </w:pPr>
            <w:r w:rsidRPr="00685583">
              <w:rPr>
                <w:color w:val="auto"/>
              </w:rPr>
              <w:t>Program 1.1: Reform of and Improvements to Australian Work Health and Safety and Workers’ Compensation Arrangements</w:t>
            </w:r>
          </w:p>
          <w:p w14:paraId="1928187D" w14:textId="3D6DEB85" w:rsidR="00334D13" w:rsidRPr="00685583" w:rsidRDefault="00334D13" w:rsidP="00334D13">
            <w:pPr>
              <w:pStyle w:val="Tableheadingrow9pt"/>
              <w:widowControl w:val="0"/>
              <w:rPr>
                <w:color w:val="auto"/>
              </w:rPr>
            </w:pPr>
            <w:r w:rsidRPr="00685583">
              <w:rPr>
                <w:b w:val="0"/>
                <w:color w:val="auto"/>
              </w:rPr>
              <w:t>SWA contributes to the protection of human health from the risks of industrial chemicals related to the health of workers by providing advice, and receiving advice and recommendations</w:t>
            </w:r>
            <w:r w:rsidR="006B6CF1" w:rsidRPr="00685583">
              <w:rPr>
                <w:b w:val="0"/>
                <w:color w:val="auto"/>
              </w:rPr>
              <w:t xml:space="preserve"> (1.8</w:t>
            </w:r>
            <w:r w:rsidRPr="00685583">
              <w:rPr>
                <w:b w:val="0"/>
                <w:color w:val="auto"/>
              </w:rPr>
              <w:t>).</w:t>
            </w:r>
          </w:p>
        </w:tc>
      </w:tr>
      <w:tr w:rsidR="00685583" w:rsidRPr="00685583" w14:paraId="7171848C" w14:textId="77777777" w:rsidTr="00837E76">
        <w:trPr>
          <w:jc w:val="center"/>
        </w:trPr>
        <w:tc>
          <w:tcPr>
            <w:tcW w:w="7677" w:type="dxa"/>
          </w:tcPr>
          <w:p w14:paraId="3285F088" w14:textId="77777777" w:rsidR="00334D13" w:rsidRPr="00685583" w:rsidRDefault="00334D13" w:rsidP="00F92094">
            <w:pPr>
              <w:pStyle w:val="Tableheadingrow9pt"/>
              <w:widowControl w:val="0"/>
              <w:rPr>
                <w:color w:val="auto"/>
              </w:rPr>
            </w:pPr>
            <w:r w:rsidRPr="00685583">
              <w:rPr>
                <w:color w:val="auto"/>
              </w:rPr>
              <w:t>Services Australia</w:t>
            </w:r>
          </w:p>
          <w:p w14:paraId="57696BB2" w14:textId="77777777" w:rsidR="00334D13" w:rsidRPr="00685583" w:rsidRDefault="00334D13" w:rsidP="00F92094">
            <w:pPr>
              <w:pStyle w:val="Tableheadingrow9pt"/>
              <w:widowControl w:val="0"/>
              <w:rPr>
                <w:color w:val="auto"/>
              </w:rPr>
            </w:pPr>
            <w:r w:rsidRPr="00685583">
              <w:rPr>
                <w:color w:val="auto"/>
              </w:rPr>
              <w:t>Program 1.2: Services to the Community – Health</w:t>
            </w:r>
          </w:p>
          <w:p w14:paraId="6CD9F6B1" w14:textId="77777777" w:rsidR="00A56208" w:rsidRPr="00685583" w:rsidRDefault="00334D13" w:rsidP="00F92094">
            <w:pPr>
              <w:pStyle w:val="Tableheadingrow9pt"/>
              <w:widowControl w:val="0"/>
              <w:rPr>
                <w:b w:val="0"/>
                <w:color w:val="auto"/>
              </w:rPr>
            </w:pPr>
            <w:r w:rsidRPr="00685583">
              <w:rPr>
                <w:b w:val="0"/>
                <w:color w:val="auto"/>
              </w:rPr>
              <w:t>Services Australia contributes to</w:t>
            </w:r>
            <w:r w:rsidR="00A56208" w:rsidRPr="00685583">
              <w:rPr>
                <w:b w:val="0"/>
                <w:color w:val="auto"/>
              </w:rPr>
              <w:t>:</w:t>
            </w:r>
          </w:p>
          <w:p w14:paraId="025560C9" w14:textId="0E7DF509" w:rsidR="00334D13" w:rsidRPr="00685583" w:rsidRDefault="00340B9E" w:rsidP="0070235D">
            <w:pPr>
              <w:pStyle w:val="Tabletextnormal9pt"/>
              <w:widowControl w:val="0"/>
              <w:numPr>
                <w:ilvl w:val="0"/>
                <w:numId w:val="2"/>
              </w:numPr>
              <w:spacing w:after="0"/>
              <w:ind w:left="284" w:hanging="284"/>
              <w:rPr>
                <w:color w:val="auto"/>
              </w:rPr>
            </w:pPr>
            <w:r>
              <w:rPr>
                <w:color w:val="auto"/>
              </w:rPr>
              <w:t>e</w:t>
            </w:r>
            <w:r w:rsidR="00334D13" w:rsidRPr="00685583">
              <w:rPr>
                <w:color w:val="auto"/>
              </w:rPr>
              <w:t>nsuring that Australia’s health system is better equipped to meet current and future health needs by administering the Australian Organ Donor Register (1.1)</w:t>
            </w:r>
          </w:p>
          <w:p w14:paraId="206EBFAF" w14:textId="112E1624" w:rsidR="00334D13" w:rsidRPr="00685583" w:rsidRDefault="00340B9E" w:rsidP="0070235D">
            <w:pPr>
              <w:pStyle w:val="Tabletextnormal9pt"/>
              <w:widowControl w:val="0"/>
              <w:numPr>
                <w:ilvl w:val="0"/>
                <w:numId w:val="2"/>
              </w:numPr>
              <w:spacing w:before="0"/>
              <w:ind w:left="284" w:hanging="284"/>
              <w:rPr>
                <w:color w:val="auto"/>
              </w:rPr>
            </w:pPr>
            <w:proofErr w:type="gramStart"/>
            <w:r>
              <w:rPr>
                <w:color w:val="auto"/>
              </w:rPr>
              <w:t>i</w:t>
            </w:r>
            <w:r w:rsidR="00334D13" w:rsidRPr="00685583">
              <w:rPr>
                <w:color w:val="auto"/>
              </w:rPr>
              <w:t>ncreasing</w:t>
            </w:r>
            <w:proofErr w:type="gramEnd"/>
            <w:r w:rsidR="00334D13" w:rsidRPr="00685583">
              <w:rPr>
                <w:color w:val="auto"/>
              </w:rPr>
              <w:t xml:space="preserve"> immunisation coverage rates, protecting the health and safety of the Australian community by administering the Australian Immunisation Register on behalf of the Department of Health</w:t>
            </w:r>
            <w:r w:rsidR="006B6CF1" w:rsidRPr="00685583">
              <w:rPr>
                <w:color w:val="auto"/>
              </w:rPr>
              <w:t xml:space="preserve"> (1.9</w:t>
            </w:r>
            <w:r w:rsidR="00334D13" w:rsidRPr="00685583">
              <w:rPr>
                <w:color w:val="auto"/>
              </w:rPr>
              <w:t>).</w:t>
            </w:r>
          </w:p>
          <w:p w14:paraId="53BC6D0C" w14:textId="77777777" w:rsidR="00334D13" w:rsidRPr="00685583" w:rsidRDefault="00334D13" w:rsidP="00F92094">
            <w:pPr>
              <w:pStyle w:val="TableBullet"/>
              <w:widowControl w:val="0"/>
              <w:contextualSpacing w:val="0"/>
              <w:rPr>
                <w:color w:val="auto"/>
              </w:rPr>
            </w:pPr>
            <w:r w:rsidRPr="00685583">
              <w:rPr>
                <w:color w:val="auto"/>
              </w:rPr>
              <w:t>Services Australia administers payments and services to eligible recipients under the following programs/initiatives administered by the Department of Health:</w:t>
            </w:r>
          </w:p>
          <w:p w14:paraId="7EB05958" w14:textId="30141B93" w:rsidR="00334D13" w:rsidRPr="00685583" w:rsidRDefault="00334D13" w:rsidP="0070235D">
            <w:pPr>
              <w:pStyle w:val="Tabletextnormal9pt"/>
              <w:widowControl w:val="0"/>
              <w:numPr>
                <w:ilvl w:val="0"/>
                <w:numId w:val="2"/>
              </w:numPr>
              <w:spacing w:after="0"/>
              <w:ind w:left="284" w:hanging="284"/>
              <w:rPr>
                <w:color w:val="auto"/>
              </w:rPr>
            </w:pPr>
            <w:r w:rsidRPr="00685583">
              <w:rPr>
                <w:color w:val="auto"/>
              </w:rPr>
              <w:t>Indigenous access to the Pharmaceutical Benefits Scheme (1.3)</w:t>
            </w:r>
          </w:p>
          <w:p w14:paraId="4E608C10" w14:textId="0E72AE99" w:rsidR="00334D13" w:rsidRPr="00685583" w:rsidRDefault="00334D13" w:rsidP="0070235D">
            <w:pPr>
              <w:pStyle w:val="Tabletextnormal9pt"/>
              <w:widowControl w:val="0"/>
              <w:numPr>
                <w:ilvl w:val="0"/>
                <w:numId w:val="2"/>
              </w:numPr>
              <w:spacing w:before="0" w:after="0"/>
              <w:ind w:left="284" w:hanging="284"/>
              <w:rPr>
                <w:color w:val="auto"/>
              </w:rPr>
            </w:pPr>
            <w:r w:rsidRPr="00685583">
              <w:rPr>
                <w:color w:val="auto"/>
              </w:rPr>
              <w:t>Workforce Incentive Program (1.4)</w:t>
            </w:r>
          </w:p>
          <w:p w14:paraId="68EA2ED5" w14:textId="60A0CF0A" w:rsidR="00334D13" w:rsidRPr="00685583" w:rsidRDefault="00334D13" w:rsidP="0070235D">
            <w:pPr>
              <w:pStyle w:val="Tabletextnormal9pt"/>
              <w:widowControl w:val="0"/>
              <w:numPr>
                <w:ilvl w:val="0"/>
                <w:numId w:val="2"/>
              </w:numPr>
              <w:spacing w:before="0" w:after="0"/>
              <w:ind w:left="284" w:hanging="284"/>
              <w:rPr>
                <w:color w:val="auto"/>
              </w:rPr>
            </w:pPr>
            <w:r w:rsidRPr="00685583">
              <w:rPr>
                <w:color w:val="auto"/>
              </w:rPr>
              <w:t>Rural Procedural Grants Program (1.4)</w:t>
            </w:r>
          </w:p>
          <w:p w14:paraId="7B13863B" w14:textId="143399F6" w:rsidR="00334D13" w:rsidRPr="00685583" w:rsidRDefault="00334D13" w:rsidP="0070235D">
            <w:pPr>
              <w:pStyle w:val="Tabletextnormal9pt"/>
              <w:widowControl w:val="0"/>
              <w:numPr>
                <w:ilvl w:val="0"/>
                <w:numId w:val="2"/>
              </w:numPr>
              <w:spacing w:before="0" w:after="0"/>
              <w:ind w:left="284" w:hanging="284"/>
              <w:rPr>
                <w:color w:val="auto"/>
              </w:rPr>
            </w:pPr>
            <w:r w:rsidRPr="00685583">
              <w:rPr>
                <w:color w:val="auto"/>
              </w:rPr>
              <w:t>Scaling of Rural Workforce Program (1.4)</w:t>
            </w:r>
          </w:p>
          <w:p w14:paraId="37117201" w14:textId="1AA6385A" w:rsidR="00334D13" w:rsidRPr="00685583" w:rsidRDefault="00334D13" w:rsidP="0070235D">
            <w:pPr>
              <w:pStyle w:val="Tabletextnormal9pt"/>
              <w:widowControl w:val="0"/>
              <w:numPr>
                <w:ilvl w:val="0"/>
                <w:numId w:val="2"/>
              </w:numPr>
              <w:spacing w:before="0" w:after="0"/>
              <w:ind w:left="284" w:hanging="284"/>
              <w:rPr>
                <w:color w:val="auto"/>
              </w:rPr>
            </w:pPr>
            <w:r w:rsidRPr="00685583">
              <w:rPr>
                <w:color w:val="auto"/>
              </w:rPr>
              <w:t>Health Care Homes Program (1.6 and 1.7)</w:t>
            </w:r>
          </w:p>
          <w:p w14:paraId="73B68B8D" w14:textId="28A61AE7" w:rsidR="00323BFE" w:rsidRPr="00685583" w:rsidRDefault="00334D13" w:rsidP="0070235D">
            <w:pPr>
              <w:pStyle w:val="Tabletextnormal9pt"/>
              <w:widowControl w:val="0"/>
              <w:numPr>
                <w:ilvl w:val="0"/>
                <w:numId w:val="2"/>
              </w:numPr>
              <w:spacing w:before="0" w:after="0"/>
              <w:ind w:left="284" w:hanging="284"/>
              <w:rPr>
                <w:color w:val="auto"/>
              </w:rPr>
            </w:pPr>
            <w:r w:rsidRPr="00685583">
              <w:rPr>
                <w:color w:val="auto"/>
              </w:rPr>
              <w:t xml:space="preserve">Practice </w:t>
            </w:r>
            <w:r w:rsidR="00B6277A">
              <w:rPr>
                <w:color w:val="auto"/>
              </w:rPr>
              <w:t>I</w:t>
            </w:r>
            <w:r w:rsidRPr="00685583">
              <w:rPr>
                <w:color w:val="auto"/>
              </w:rPr>
              <w:t xml:space="preserve">ncentive </w:t>
            </w:r>
            <w:r w:rsidR="00B6277A">
              <w:rPr>
                <w:color w:val="auto"/>
              </w:rPr>
              <w:t xml:space="preserve">Program </w:t>
            </w:r>
            <w:r w:rsidRPr="00685583">
              <w:rPr>
                <w:color w:val="auto"/>
              </w:rPr>
              <w:t>payments to gene</w:t>
            </w:r>
            <w:r w:rsidR="000A64FB" w:rsidRPr="00685583">
              <w:rPr>
                <w:color w:val="auto"/>
              </w:rPr>
              <w:t>ral practices, general practitioners</w:t>
            </w:r>
            <w:r w:rsidRPr="00685583">
              <w:rPr>
                <w:color w:val="auto"/>
              </w:rPr>
              <w:t xml:space="preserve"> and Indigenous </w:t>
            </w:r>
            <w:r w:rsidR="00323BFE" w:rsidRPr="00685583">
              <w:rPr>
                <w:color w:val="auto"/>
              </w:rPr>
              <w:t>health services (1.7)</w:t>
            </w:r>
          </w:p>
          <w:p w14:paraId="3D14884C" w14:textId="78722BDC" w:rsidR="00323BFE" w:rsidRDefault="00323BFE" w:rsidP="0070235D">
            <w:pPr>
              <w:pStyle w:val="Tabletextnormal9pt"/>
              <w:widowControl w:val="0"/>
              <w:numPr>
                <w:ilvl w:val="0"/>
                <w:numId w:val="2"/>
              </w:numPr>
              <w:spacing w:before="0" w:after="0"/>
              <w:ind w:left="284" w:hanging="284"/>
              <w:rPr>
                <w:color w:val="auto"/>
              </w:rPr>
            </w:pPr>
            <w:r w:rsidRPr="00685583">
              <w:rPr>
                <w:color w:val="auto"/>
              </w:rPr>
              <w:t>Medical indemnity activities, including indemnity for eligible midwives (1.7)</w:t>
            </w:r>
          </w:p>
          <w:p w14:paraId="09CF5160" w14:textId="57BDB0FC" w:rsidR="00334D13" w:rsidRPr="00685583" w:rsidRDefault="00323BFE" w:rsidP="0070235D">
            <w:pPr>
              <w:pStyle w:val="Tabletextnormal9pt"/>
              <w:widowControl w:val="0"/>
              <w:numPr>
                <w:ilvl w:val="0"/>
                <w:numId w:val="2"/>
              </w:numPr>
              <w:spacing w:before="0"/>
              <w:ind w:left="284" w:hanging="284"/>
              <w:rPr>
                <w:color w:val="auto"/>
              </w:rPr>
            </w:pPr>
            <w:r w:rsidRPr="00F21C80">
              <w:rPr>
                <w:color w:val="auto"/>
              </w:rPr>
              <w:t>COVID-19 Vaccine Claims Scheme</w:t>
            </w:r>
            <w:r>
              <w:rPr>
                <w:color w:val="auto"/>
              </w:rPr>
              <w:t xml:space="preserve"> (1.7)</w:t>
            </w:r>
            <w:r w:rsidRPr="00685583">
              <w:rPr>
                <w:color w:val="auto"/>
              </w:rPr>
              <w:t>.</w:t>
            </w:r>
          </w:p>
        </w:tc>
      </w:tr>
    </w:tbl>
    <w:p w14:paraId="1DB08F18" w14:textId="35C0A58B" w:rsidR="00D93C09" w:rsidRPr="00685583" w:rsidRDefault="00D93C09">
      <w:pPr>
        <w:rPr>
          <w:color w:val="auto"/>
        </w:rPr>
      </w:pPr>
      <w:r w:rsidRPr="00685583">
        <w:rPr>
          <w:b/>
          <w:color w:val="auto"/>
        </w:rPr>
        <w:br w:type="page"/>
      </w:r>
    </w:p>
    <w:p w14:paraId="4FB7A869" w14:textId="77777777" w:rsidR="00207AAE" w:rsidRPr="00685583" w:rsidRDefault="00897B40" w:rsidP="00897B40">
      <w:pPr>
        <w:pStyle w:val="Tablenumberandreference"/>
        <w:keepNext/>
        <w:pageBreakBefore/>
        <w:spacing w:before="120" w:after="60"/>
        <w:rPr>
          <w:color w:val="auto"/>
        </w:rPr>
      </w:pPr>
      <w:r w:rsidRPr="00685583">
        <w:rPr>
          <w:color w:val="auto"/>
        </w:rPr>
        <w:lastRenderedPageBreak/>
        <w:t>Table 2.1</w:t>
      </w:r>
      <w:r w:rsidR="00207AAE" w:rsidRPr="00685583">
        <w:rPr>
          <w:color w:val="auto"/>
        </w:rPr>
        <w:t>.1:</w:t>
      </w:r>
      <w:r w:rsidRPr="00685583">
        <w:rPr>
          <w:color w:val="auto"/>
        </w:rPr>
        <w:t xml:space="preserve"> Budgeted Expenses for Outcome 1</w:t>
      </w:r>
    </w:p>
    <w:p w14:paraId="53C4B536" w14:textId="1DBBE4FA" w:rsidR="00207AAE" w:rsidRDefault="000A74AA" w:rsidP="00DE27DD">
      <w:pPr>
        <w:pStyle w:val="NormalBookAntiqua"/>
        <w:rPr>
          <w:color w:val="auto"/>
        </w:rPr>
      </w:pPr>
      <w:r w:rsidRPr="00685583">
        <w:rPr>
          <w:color w:val="auto"/>
        </w:rPr>
        <w:t>Table 2.</w:t>
      </w:r>
      <w:r w:rsidR="00897B40" w:rsidRPr="00685583">
        <w:rPr>
          <w:color w:val="auto"/>
        </w:rPr>
        <w:t>1</w:t>
      </w:r>
      <w:r w:rsidR="00DE27DD" w:rsidRPr="00685583">
        <w:rPr>
          <w:color w:val="auto"/>
        </w:rPr>
        <w:t>.1 shows how much the entity intends to spend (on an accrual basis) on achieving the outcome, broken down by program, as well as by administered and departmental funding sources.</w:t>
      </w:r>
    </w:p>
    <w:tbl>
      <w:tblPr>
        <w:tblW w:w="7320" w:type="dxa"/>
        <w:jc w:val="center"/>
        <w:tblLayout w:type="fixed"/>
        <w:tblLook w:val="04A0" w:firstRow="1" w:lastRow="0" w:firstColumn="1" w:lastColumn="0" w:noHBand="0" w:noVBand="1"/>
        <w:tblCaption w:val="Table 2.1.1: Budgeted expenses for Outcome 1"/>
        <w:tblDescription w:val="This table shows how much Health intends to spend on achieving Outcome 1 in 2022-23 and across the forward estimates, broken down by Program."/>
      </w:tblPr>
      <w:tblGrid>
        <w:gridCol w:w="2795"/>
        <w:gridCol w:w="913"/>
        <w:gridCol w:w="903"/>
        <w:gridCol w:w="903"/>
        <w:gridCol w:w="903"/>
        <w:gridCol w:w="903"/>
      </w:tblGrid>
      <w:tr w:rsidR="0039060A" w:rsidRPr="0039060A" w14:paraId="4CA7799B" w14:textId="77777777" w:rsidTr="0039060A">
        <w:trPr>
          <w:trHeight w:val="765"/>
          <w:jc w:val="center"/>
        </w:trPr>
        <w:tc>
          <w:tcPr>
            <w:tcW w:w="2795" w:type="dxa"/>
            <w:tcBorders>
              <w:top w:val="single" w:sz="4" w:space="0" w:color="auto"/>
              <w:left w:val="nil"/>
              <w:bottom w:val="nil"/>
              <w:right w:val="nil"/>
            </w:tcBorders>
            <w:shd w:val="clear" w:color="auto" w:fill="auto"/>
            <w:tcMar>
              <w:left w:w="57" w:type="dxa"/>
              <w:right w:w="57" w:type="dxa"/>
            </w:tcMar>
            <w:hideMark/>
          </w:tcPr>
          <w:p w14:paraId="39935CED" w14:textId="77777777" w:rsidR="0039060A" w:rsidRPr="0039060A" w:rsidRDefault="0039060A" w:rsidP="0039060A">
            <w:pPr>
              <w:spacing w:after="0"/>
              <w:jc w:val="right"/>
              <w:rPr>
                <w:b/>
                <w:bCs/>
                <w:color w:val="auto"/>
                <w:sz w:val="16"/>
                <w:szCs w:val="16"/>
              </w:rPr>
            </w:pPr>
            <w:r w:rsidRPr="0039060A">
              <w:rPr>
                <w:b/>
                <w:bCs/>
                <w:color w:val="auto"/>
                <w:sz w:val="16"/>
                <w:szCs w:val="16"/>
              </w:rPr>
              <w:t> </w:t>
            </w:r>
          </w:p>
        </w:tc>
        <w:tc>
          <w:tcPr>
            <w:tcW w:w="913" w:type="dxa"/>
            <w:tcBorders>
              <w:top w:val="single" w:sz="4" w:space="0" w:color="auto"/>
              <w:left w:val="nil"/>
              <w:bottom w:val="single" w:sz="4" w:space="0" w:color="auto"/>
              <w:right w:val="nil"/>
            </w:tcBorders>
            <w:shd w:val="clear" w:color="auto" w:fill="auto"/>
            <w:tcMar>
              <w:left w:w="57" w:type="dxa"/>
              <w:right w:w="57" w:type="dxa"/>
            </w:tcMar>
            <w:hideMark/>
          </w:tcPr>
          <w:p w14:paraId="6560C3CA" w14:textId="77777777" w:rsidR="0039060A" w:rsidRPr="0039060A" w:rsidRDefault="0039060A" w:rsidP="0039060A">
            <w:pPr>
              <w:spacing w:after="0"/>
              <w:jc w:val="right"/>
              <w:rPr>
                <w:b/>
                <w:bCs/>
                <w:color w:val="auto"/>
                <w:sz w:val="16"/>
                <w:szCs w:val="16"/>
              </w:rPr>
            </w:pPr>
            <w:r w:rsidRPr="0039060A">
              <w:rPr>
                <w:b/>
                <w:bCs/>
                <w:color w:val="auto"/>
                <w:sz w:val="16"/>
                <w:szCs w:val="16"/>
              </w:rPr>
              <w:t>2021–22</w:t>
            </w:r>
            <w:r w:rsidRPr="0039060A">
              <w:rPr>
                <w:b/>
                <w:bCs/>
                <w:color w:val="auto"/>
                <w:sz w:val="16"/>
                <w:szCs w:val="16"/>
              </w:rPr>
              <w:br/>
              <w:t>Estimated actual</w:t>
            </w:r>
            <w:r w:rsidRPr="0039060A">
              <w:rPr>
                <w:b/>
                <w:bCs/>
                <w:color w:val="auto"/>
                <w:sz w:val="16"/>
                <w:szCs w:val="16"/>
              </w:rPr>
              <w:br/>
            </w:r>
            <w:r w:rsidRPr="0039060A">
              <w:rPr>
                <w:color w:val="auto"/>
                <w:sz w:val="16"/>
                <w:szCs w:val="16"/>
              </w:rPr>
              <w:t>$'000</w:t>
            </w:r>
          </w:p>
        </w:tc>
        <w:tc>
          <w:tcPr>
            <w:tcW w:w="903" w:type="dxa"/>
            <w:tcBorders>
              <w:top w:val="single" w:sz="4" w:space="0" w:color="auto"/>
              <w:left w:val="nil"/>
              <w:bottom w:val="single" w:sz="4" w:space="0" w:color="auto"/>
              <w:right w:val="nil"/>
            </w:tcBorders>
            <w:shd w:val="clear" w:color="000000" w:fill="D9D9D9"/>
            <w:tcMar>
              <w:left w:w="57" w:type="dxa"/>
              <w:right w:w="57" w:type="dxa"/>
            </w:tcMar>
            <w:hideMark/>
          </w:tcPr>
          <w:p w14:paraId="4C441877" w14:textId="77777777" w:rsidR="0039060A" w:rsidRPr="0039060A" w:rsidRDefault="0039060A" w:rsidP="0039060A">
            <w:pPr>
              <w:spacing w:after="0"/>
              <w:jc w:val="right"/>
              <w:rPr>
                <w:b/>
                <w:bCs/>
                <w:color w:val="auto"/>
                <w:sz w:val="16"/>
                <w:szCs w:val="16"/>
              </w:rPr>
            </w:pPr>
            <w:r w:rsidRPr="0039060A">
              <w:rPr>
                <w:b/>
                <w:bCs/>
                <w:color w:val="auto"/>
                <w:sz w:val="16"/>
                <w:szCs w:val="16"/>
              </w:rPr>
              <w:t>2022–23 Budget</w:t>
            </w:r>
            <w:r w:rsidRPr="0039060A">
              <w:rPr>
                <w:b/>
                <w:bCs/>
                <w:color w:val="auto"/>
                <w:sz w:val="16"/>
                <w:szCs w:val="16"/>
              </w:rPr>
              <w:br/>
            </w:r>
            <w:r w:rsidRPr="0039060A">
              <w:rPr>
                <w:b/>
                <w:bCs/>
                <w:color w:val="auto"/>
                <w:sz w:val="16"/>
                <w:szCs w:val="16"/>
              </w:rPr>
              <w:br/>
            </w:r>
            <w:r w:rsidRPr="0039060A">
              <w:rPr>
                <w:color w:val="auto"/>
                <w:sz w:val="16"/>
                <w:szCs w:val="16"/>
              </w:rPr>
              <w:t>$'000</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6B6B5F46" w14:textId="77777777" w:rsidR="0039060A" w:rsidRPr="0039060A" w:rsidRDefault="0039060A" w:rsidP="0039060A">
            <w:pPr>
              <w:spacing w:after="0"/>
              <w:jc w:val="right"/>
              <w:rPr>
                <w:b/>
                <w:bCs/>
                <w:color w:val="auto"/>
                <w:sz w:val="16"/>
                <w:szCs w:val="16"/>
              </w:rPr>
            </w:pPr>
            <w:r w:rsidRPr="0039060A">
              <w:rPr>
                <w:b/>
                <w:bCs/>
                <w:color w:val="auto"/>
                <w:sz w:val="16"/>
                <w:szCs w:val="16"/>
              </w:rPr>
              <w:t>2023–24 Forward estimate</w:t>
            </w:r>
            <w:r w:rsidRPr="0039060A">
              <w:rPr>
                <w:b/>
                <w:bCs/>
                <w:color w:val="auto"/>
                <w:sz w:val="16"/>
                <w:szCs w:val="16"/>
              </w:rPr>
              <w:br/>
            </w:r>
            <w:r w:rsidRPr="0039060A">
              <w:rPr>
                <w:color w:val="auto"/>
                <w:sz w:val="16"/>
                <w:szCs w:val="16"/>
              </w:rPr>
              <w:t>$'000</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1132FCAA" w14:textId="77777777" w:rsidR="0039060A" w:rsidRPr="0039060A" w:rsidRDefault="0039060A" w:rsidP="0039060A">
            <w:pPr>
              <w:spacing w:after="0"/>
              <w:jc w:val="right"/>
              <w:rPr>
                <w:b/>
                <w:bCs/>
                <w:color w:val="auto"/>
                <w:sz w:val="16"/>
                <w:szCs w:val="16"/>
              </w:rPr>
            </w:pPr>
            <w:r w:rsidRPr="0039060A">
              <w:rPr>
                <w:b/>
                <w:bCs/>
                <w:color w:val="auto"/>
                <w:sz w:val="16"/>
                <w:szCs w:val="16"/>
              </w:rPr>
              <w:t>2024–25 Forward estimate</w:t>
            </w:r>
            <w:r w:rsidRPr="0039060A">
              <w:rPr>
                <w:b/>
                <w:bCs/>
                <w:color w:val="auto"/>
                <w:sz w:val="16"/>
                <w:szCs w:val="16"/>
              </w:rPr>
              <w:br/>
            </w:r>
            <w:r w:rsidRPr="0039060A">
              <w:rPr>
                <w:color w:val="auto"/>
                <w:sz w:val="16"/>
                <w:szCs w:val="16"/>
              </w:rPr>
              <w:t>$'000</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6C13BF86" w14:textId="77777777" w:rsidR="0039060A" w:rsidRPr="0039060A" w:rsidRDefault="0039060A" w:rsidP="0039060A">
            <w:pPr>
              <w:spacing w:after="0"/>
              <w:jc w:val="right"/>
              <w:rPr>
                <w:b/>
                <w:bCs/>
                <w:color w:val="auto"/>
                <w:sz w:val="16"/>
                <w:szCs w:val="16"/>
              </w:rPr>
            </w:pPr>
            <w:r w:rsidRPr="0039060A">
              <w:rPr>
                <w:b/>
                <w:bCs/>
                <w:color w:val="auto"/>
                <w:sz w:val="16"/>
                <w:szCs w:val="16"/>
              </w:rPr>
              <w:t>2025–26 Forward estimate</w:t>
            </w:r>
            <w:r w:rsidRPr="0039060A">
              <w:rPr>
                <w:b/>
                <w:bCs/>
                <w:color w:val="auto"/>
                <w:sz w:val="16"/>
                <w:szCs w:val="16"/>
              </w:rPr>
              <w:br/>
            </w:r>
            <w:r w:rsidRPr="0039060A">
              <w:rPr>
                <w:color w:val="auto"/>
                <w:sz w:val="16"/>
                <w:szCs w:val="16"/>
              </w:rPr>
              <w:t>$'000</w:t>
            </w:r>
          </w:p>
        </w:tc>
      </w:tr>
      <w:tr w:rsidR="0039060A" w:rsidRPr="0039060A" w14:paraId="6CCACA8B" w14:textId="77777777" w:rsidTr="0039060A">
        <w:trPr>
          <w:trHeight w:val="300"/>
          <w:jc w:val="center"/>
        </w:trPr>
        <w:tc>
          <w:tcPr>
            <w:tcW w:w="7320" w:type="dxa"/>
            <w:gridSpan w:val="6"/>
            <w:tcBorders>
              <w:top w:val="nil"/>
              <w:left w:val="nil"/>
              <w:bottom w:val="nil"/>
              <w:right w:val="nil"/>
            </w:tcBorders>
            <w:shd w:val="clear" w:color="auto" w:fill="auto"/>
            <w:vAlign w:val="bottom"/>
            <w:hideMark/>
          </w:tcPr>
          <w:p w14:paraId="4FF107F3" w14:textId="77777777" w:rsidR="0039060A" w:rsidRPr="0039060A" w:rsidRDefault="0039060A" w:rsidP="0039060A">
            <w:pPr>
              <w:spacing w:before="0" w:after="0"/>
              <w:rPr>
                <w:b/>
                <w:bCs/>
                <w:color w:val="auto"/>
                <w:sz w:val="16"/>
                <w:szCs w:val="16"/>
              </w:rPr>
            </w:pPr>
            <w:r w:rsidRPr="0039060A">
              <w:rPr>
                <w:b/>
                <w:bCs/>
                <w:color w:val="auto"/>
                <w:sz w:val="16"/>
                <w:szCs w:val="16"/>
              </w:rPr>
              <w:t xml:space="preserve">Program 1.1: Health Research, Coordination and Access </w:t>
            </w:r>
            <w:r w:rsidRPr="0039060A">
              <w:rPr>
                <w:b/>
                <w:bCs/>
                <w:color w:val="auto"/>
                <w:sz w:val="16"/>
                <w:szCs w:val="16"/>
                <w:vertAlign w:val="superscript"/>
              </w:rPr>
              <w:t>(a)</w:t>
            </w:r>
          </w:p>
        </w:tc>
      </w:tr>
      <w:tr w:rsidR="0039060A" w:rsidRPr="0039060A" w14:paraId="1F277B77"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3AC92B76"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Administered expenses</w:t>
            </w:r>
          </w:p>
        </w:tc>
        <w:tc>
          <w:tcPr>
            <w:tcW w:w="913" w:type="dxa"/>
            <w:tcBorders>
              <w:top w:val="nil"/>
              <w:left w:val="nil"/>
              <w:bottom w:val="nil"/>
              <w:right w:val="nil"/>
            </w:tcBorders>
            <w:shd w:val="clear" w:color="auto" w:fill="auto"/>
            <w:noWrap/>
            <w:tcMar>
              <w:left w:w="28" w:type="dxa"/>
              <w:right w:w="57" w:type="dxa"/>
            </w:tcMar>
            <w:vAlign w:val="bottom"/>
            <w:hideMark/>
          </w:tcPr>
          <w:p w14:paraId="5295162C"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3C807AB0"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27EF9093"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2C8A1AB1"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492EB01F"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2B8FC501"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48B854C7" w14:textId="77777777" w:rsidR="0039060A" w:rsidRPr="0039060A" w:rsidRDefault="0039060A" w:rsidP="0039060A">
            <w:pPr>
              <w:spacing w:before="0" w:after="0"/>
              <w:ind w:leftChars="150" w:left="270"/>
              <w:rPr>
                <w:color w:val="auto"/>
                <w:sz w:val="16"/>
                <w:szCs w:val="16"/>
              </w:rPr>
            </w:pPr>
            <w:r w:rsidRPr="0039060A">
              <w:rPr>
                <w:color w:val="auto"/>
                <w:sz w:val="16"/>
                <w:szCs w:val="16"/>
              </w:rPr>
              <w:t xml:space="preserve">Ordinary annual services </w:t>
            </w:r>
            <w:r w:rsidRPr="0039060A">
              <w:rPr>
                <w:color w:val="auto"/>
                <w:sz w:val="16"/>
                <w:szCs w:val="16"/>
                <w:vertAlign w:val="superscript"/>
              </w:rPr>
              <w:t>(b)</w:t>
            </w:r>
          </w:p>
        </w:tc>
        <w:tc>
          <w:tcPr>
            <w:tcW w:w="913" w:type="dxa"/>
            <w:tcBorders>
              <w:top w:val="nil"/>
              <w:left w:val="nil"/>
              <w:bottom w:val="nil"/>
              <w:right w:val="nil"/>
            </w:tcBorders>
            <w:shd w:val="clear" w:color="auto" w:fill="auto"/>
            <w:noWrap/>
            <w:tcMar>
              <w:left w:w="28" w:type="dxa"/>
              <w:right w:w="57" w:type="dxa"/>
            </w:tcMar>
            <w:vAlign w:val="bottom"/>
            <w:hideMark/>
          </w:tcPr>
          <w:p w14:paraId="62993A3F" w14:textId="77777777" w:rsidR="0039060A" w:rsidRPr="0039060A" w:rsidRDefault="0039060A" w:rsidP="0039060A">
            <w:pPr>
              <w:spacing w:before="0" w:after="0"/>
              <w:jc w:val="right"/>
              <w:rPr>
                <w:color w:val="auto"/>
                <w:sz w:val="16"/>
                <w:szCs w:val="16"/>
              </w:rPr>
            </w:pPr>
            <w:r w:rsidRPr="0039060A">
              <w:rPr>
                <w:color w:val="auto"/>
                <w:sz w:val="16"/>
                <w:szCs w:val="16"/>
              </w:rPr>
              <w:t>431,041</w:t>
            </w:r>
          </w:p>
        </w:tc>
        <w:tc>
          <w:tcPr>
            <w:tcW w:w="903" w:type="dxa"/>
            <w:tcBorders>
              <w:top w:val="nil"/>
              <w:left w:val="nil"/>
              <w:bottom w:val="nil"/>
              <w:right w:val="nil"/>
            </w:tcBorders>
            <w:shd w:val="clear" w:color="000000" w:fill="D9D9D9"/>
            <w:noWrap/>
            <w:tcMar>
              <w:left w:w="28" w:type="dxa"/>
              <w:right w:w="57" w:type="dxa"/>
            </w:tcMar>
            <w:vAlign w:val="bottom"/>
            <w:hideMark/>
          </w:tcPr>
          <w:p w14:paraId="2B5C6891" w14:textId="77777777" w:rsidR="0039060A" w:rsidRPr="0039060A" w:rsidRDefault="0039060A" w:rsidP="0039060A">
            <w:pPr>
              <w:spacing w:before="0" w:after="0"/>
              <w:jc w:val="right"/>
              <w:rPr>
                <w:color w:val="auto"/>
                <w:sz w:val="16"/>
                <w:szCs w:val="16"/>
              </w:rPr>
            </w:pPr>
            <w:r w:rsidRPr="0039060A">
              <w:rPr>
                <w:color w:val="auto"/>
                <w:sz w:val="16"/>
                <w:szCs w:val="16"/>
              </w:rPr>
              <w:t>322,518</w:t>
            </w:r>
          </w:p>
        </w:tc>
        <w:tc>
          <w:tcPr>
            <w:tcW w:w="903" w:type="dxa"/>
            <w:tcBorders>
              <w:top w:val="nil"/>
              <w:left w:val="nil"/>
              <w:bottom w:val="nil"/>
              <w:right w:val="nil"/>
            </w:tcBorders>
            <w:shd w:val="clear" w:color="auto" w:fill="auto"/>
            <w:noWrap/>
            <w:tcMar>
              <w:left w:w="28" w:type="dxa"/>
              <w:right w:w="57" w:type="dxa"/>
            </w:tcMar>
            <w:vAlign w:val="bottom"/>
            <w:hideMark/>
          </w:tcPr>
          <w:p w14:paraId="132448D0" w14:textId="77777777" w:rsidR="0039060A" w:rsidRPr="0039060A" w:rsidRDefault="0039060A" w:rsidP="0039060A">
            <w:pPr>
              <w:spacing w:before="0" w:after="0"/>
              <w:jc w:val="right"/>
              <w:rPr>
                <w:color w:val="auto"/>
                <w:sz w:val="16"/>
                <w:szCs w:val="16"/>
              </w:rPr>
            </w:pPr>
            <w:r w:rsidRPr="0039060A">
              <w:rPr>
                <w:color w:val="auto"/>
                <w:sz w:val="16"/>
                <w:szCs w:val="16"/>
              </w:rPr>
              <w:t>166,248</w:t>
            </w:r>
          </w:p>
        </w:tc>
        <w:tc>
          <w:tcPr>
            <w:tcW w:w="903" w:type="dxa"/>
            <w:tcBorders>
              <w:top w:val="nil"/>
              <w:left w:val="nil"/>
              <w:bottom w:val="nil"/>
              <w:right w:val="nil"/>
            </w:tcBorders>
            <w:shd w:val="clear" w:color="auto" w:fill="auto"/>
            <w:noWrap/>
            <w:tcMar>
              <w:left w:w="28" w:type="dxa"/>
              <w:right w:w="57" w:type="dxa"/>
            </w:tcMar>
            <w:vAlign w:val="bottom"/>
            <w:hideMark/>
          </w:tcPr>
          <w:p w14:paraId="720A07A3" w14:textId="77777777" w:rsidR="0039060A" w:rsidRPr="0039060A" w:rsidRDefault="0039060A" w:rsidP="0039060A">
            <w:pPr>
              <w:spacing w:before="0" w:after="0"/>
              <w:jc w:val="right"/>
              <w:rPr>
                <w:color w:val="auto"/>
                <w:sz w:val="16"/>
                <w:szCs w:val="16"/>
              </w:rPr>
            </w:pPr>
            <w:r w:rsidRPr="0039060A">
              <w:rPr>
                <w:color w:val="auto"/>
                <w:sz w:val="16"/>
                <w:szCs w:val="16"/>
              </w:rPr>
              <w:t>131,594</w:t>
            </w:r>
          </w:p>
        </w:tc>
        <w:tc>
          <w:tcPr>
            <w:tcW w:w="903" w:type="dxa"/>
            <w:tcBorders>
              <w:top w:val="nil"/>
              <w:left w:val="nil"/>
              <w:bottom w:val="nil"/>
              <w:right w:val="nil"/>
            </w:tcBorders>
            <w:shd w:val="clear" w:color="auto" w:fill="auto"/>
            <w:noWrap/>
            <w:tcMar>
              <w:left w:w="28" w:type="dxa"/>
              <w:right w:w="57" w:type="dxa"/>
            </w:tcMar>
            <w:vAlign w:val="bottom"/>
            <w:hideMark/>
          </w:tcPr>
          <w:p w14:paraId="05D3DB46" w14:textId="77777777" w:rsidR="0039060A" w:rsidRPr="0039060A" w:rsidRDefault="0039060A" w:rsidP="0039060A">
            <w:pPr>
              <w:spacing w:before="0" w:after="0"/>
              <w:jc w:val="right"/>
              <w:rPr>
                <w:color w:val="auto"/>
                <w:sz w:val="16"/>
                <w:szCs w:val="16"/>
              </w:rPr>
            </w:pPr>
            <w:r w:rsidRPr="0039060A">
              <w:rPr>
                <w:color w:val="auto"/>
                <w:sz w:val="16"/>
                <w:szCs w:val="16"/>
              </w:rPr>
              <w:t>105,923</w:t>
            </w:r>
          </w:p>
        </w:tc>
      </w:tr>
      <w:tr w:rsidR="0039060A" w:rsidRPr="0039060A" w14:paraId="552331F3"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45857029" w14:textId="77777777" w:rsidR="0039060A" w:rsidRPr="0039060A" w:rsidRDefault="0039060A" w:rsidP="0039060A">
            <w:pPr>
              <w:spacing w:before="0" w:after="0"/>
              <w:ind w:leftChars="150" w:left="270"/>
              <w:rPr>
                <w:color w:val="auto"/>
                <w:sz w:val="16"/>
                <w:szCs w:val="16"/>
              </w:rPr>
            </w:pPr>
            <w:r w:rsidRPr="0039060A">
              <w:rPr>
                <w:color w:val="auto"/>
                <w:sz w:val="16"/>
                <w:szCs w:val="16"/>
              </w:rPr>
              <w:t>Special accounts</w:t>
            </w:r>
          </w:p>
        </w:tc>
        <w:tc>
          <w:tcPr>
            <w:tcW w:w="913" w:type="dxa"/>
            <w:tcBorders>
              <w:top w:val="nil"/>
              <w:left w:val="nil"/>
              <w:bottom w:val="nil"/>
              <w:right w:val="nil"/>
            </w:tcBorders>
            <w:shd w:val="clear" w:color="auto" w:fill="auto"/>
            <w:noWrap/>
            <w:tcMar>
              <w:left w:w="28" w:type="dxa"/>
              <w:right w:w="57" w:type="dxa"/>
            </w:tcMar>
            <w:vAlign w:val="bottom"/>
            <w:hideMark/>
          </w:tcPr>
          <w:p w14:paraId="2B2CA299" w14:textId="77777777" w:rsidR="0039060A" w:rsidRPr="0039060A" w:rsidRDefault="0039060A" w:rsidP="0039060A">
            <w:pPr>
              <w:spacing w:before="0" w:after="0"/>
              <w:ind w:firstLineChars="200" w:firstLine="32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6A6688EB"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7A9F8831"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5538C46C"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7DD4508D"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612B191E" w14:textId="77777777" w:rsidTr="00EE7F7A">
        <w:trPr>
          <w:trHeight w:val="450"/>
          <w:jc w:val="center"/>
        </w:trPr>
        <w:tc>
          <w:tcPr>
            <w:tcW w:w="2795" w:type="dxa"/>
            <w:tcBorders>
              <w:top w:val="nil"/>
              <w:left w:val="nil"/>
              <w:bottom w:val="nil"/>
              <w:right w:val="nil"/>
            </w:tcBorders>
            <w:shd w:val="clear" w:color="auto" w:fill="auto"/>
            <w:vAlign w:val="bottom"/>
            <w:hideMark/>
          </w:tcPr>
          <w:p w14:paraId="42401384" w14:textId="77777777" w:rsidR="0039060A" w:rsidRPr="0039060A" w:rsidRDefault="0039060A" w:rsidP="0039060A">
            <w:pPr>
              <w:spacing w:before="0" w:after="0"/>
              <w:ind w:leftChars="225" w:left="405"/>
              <w:rPr>
                <w:color w:val="auto"/>
                <w:sz w:val="16"/>
                <w:szCs w:val="16"/>
              </w:rPr>
            </w:pPr>
            <w:r w:rsidRPr="0039060A">
              <w:rPr>
                <w:color w:val="auto"/>
                <w:sz w:val="16"/>
                <w:szCs w:val="16"/>
              </w:rPr>
              <w:t>Medical Research Future Fund</w:t>
            </w:r>
          </w:p>
        </w:tc>
        <w:tc>
          <w:tcPr>
            <w:tcW w:w="913" w:type="dxa"/>
            <w:tcBorders>
              <w:top w:val="nil"/>
              <w:left w:val="nil"/>
              <w:bottom w:val="nil"/>
              <w:right w:val="nil"/>
            </w:tcBorders>
            <w:shd w:val="clear" w:color="auto" w:fill="auto"/>
            <w:noWrap/>
            <w:tcMar>
              <w:left w:w="28" w:type="dxa"/>
              <w:right w:w="57" w:type="dxa"/>
            </w:tcMar>
            <w:vAlign w:val="bottom"/>
            <w:hideMark/>
          </w:tcPr>
          <w:p w14:paraId="2F39796F" w14:textId="77777777" w:rsidR="0039060A" w:rsidRPr="0039060A" w:rsidRDefault="0039060A" w:rsidP="0039060A">
            <w:pPr>
              <w:spacing w:before="0" w:after="0"/>
              <w:jc w:val="right"/>
              <w:rPr>
                <w:color w:val="auto"/>
                <w:sz w:val="16"/>
                <w:szCs w:val="16"/>
              </w:rPr>
            </w:pPr>
            <w:r w:rsidRPr="0039060A">
              <w:rPr>
                <w:color w:val="auto"/>
                <w:sz w:val="16"/>
                <w:szCs w:val="16"/>
              </w:rPr>
              <w:t>455,000</w:t>
            </w:r>
          </w:p>
        </w:tc>
        <w:tc>
          <w:tcPr>
            <w:tcW w:w="903" w:type="dxa"/>
            <w:tcBorders>
              <w:top w:val="nil"/>
              <w:left w:val="nil"/>
              <w:bottom w:val="nil"/>
              <w:right w:val="nil"/>
            </w:tcBorders>
            <w:shd w:val="clear" w:color="000000" w:fill="D9D9D9"/>
            <w:noWrap/>
            <w:tcMar>
              <w:left w:w="28" w:type="dxa"/>
              <w:right w:w="57" w:type="dxa"/>
            </w:tcMar>
            <w:vAlign w:val="bottom"/>
            <w:hideMark/>
          </w:tcPr>
          <w:p w14:paraId="4AF45FEE" w14:textId="77777777" w:rsidR="0039060A" w:rsidRPr="0039060A" w:rsidRDefault="0039060A" w:rsidP="0039060A">
            <w:pPr>
              <w:spacing w:before="0" w:after="0"/>
              <w:jc w:val="right"/>
              <w:rPr>
                <w:color w:val="auto"/>
                <w:sz w:val="16"/>
                <w:szCs w:val="16"/>
              </w:rPr>
            </w:pPr>
            <w:r w:rsidRPr="0039060A">
              <w:rPr>
                <w:color w:val="auto"/>
                <w:sz w:val="16"/>
                <w:szCs w:val="16"/>
              </w:rPr>
              <w:t>650,000</w:t>
            </w:r>
          </w:p>
        </w:tc>
        <w:tc>
          <w:tcPr>
            <w:tcW w:w="903" w:type="dxa"/>
            <w:tcBorders>
              <w:top w:val="nil"/>
              <w:left w:val="nil"/>
              <w:bottom w:val="nil"/>
              <w:right w:val="nil"/>
            </w:tcBorders>
            <w:shd w:val="clear" w:color="auto" w:fill="auto"/>
            <w:noWrap/>
            <w:tcMar>
              <w:left w:w="28" w:type="dxa"/>
              <w:right w:w="57" w:type="dxa"/>
            </w:tcMar>
            <w:vAlign w:val="bottom"/>
            <w:hideMark/>
          </w:tcPr>
          <w:p w14:paraId="1C1107AD" w14:textId="77777777" w:rsidR="0039060A" w:rsidRPr="0039060A" w:rsidRDefault="0039060A" w:rsidP="0039060A">
            <w:pPr>
              <w:spacing w:before="0" w:after="0"/>
              <w:jc w:val="right"/>
              <w:rPr>
                <w:color w:val="auto"/>
                <w:sz w:val="16"/>
                <w:szCs w:val="16"/>
              </w:rPr>
            </w:pPr>
            <w:r w:rsidRPr="0039060A">
              <w:rPr>
                <w:color w:val="auto"/>
                <w:sz w:val="16"/>
                <w:szCs w:val="16"/>
              </w:rPr>
              <w:t>650,000</w:t>
            </w:r>
          </w:p>
        </w:tc>
        <w:tc>
          <w:tcPr>
            <w:tcW w:w="903" w:type="dxa"/>
            <w:tcBorders>
              <w:top w:val="nil"/>
              <w:left w:val="nil"/>
              <w:bottom w:val="nil"/>
              <w:right w:val="nil"/>
            </w:tcBorders>
            <w:shd w:val="clear" w:color="auto" w:fill="auto"/>
            <w:noWrap/>
            <w:tcMar>
              <w:left w:w="28" w:type="dxa"/>
              <w:right w:w="57" w:type="dxa"/>
            </w:tcMar>
            <w:vAlign w:val="bottom"/>
            <w:hideMark/>
          </w:tcPr>
          <w:p w14:paraId="546045FF" w14:textId="77777777" w:rsidR="0039060A" w:rsidRPr="0039060A" w:rsidRDefault="0039060A" w:rsidP="0039060A">
            <w:pPr>
              <w:spacing w:before="0" w:after="0"/>
              <w:jc w:val="right"/>
              <w:rPr>
                <w:color w:val="auto"/>
                <w:sz w:val="16"/>
                <w:szCs w:val="16"/>
              </w:rPr>
            </w:pPr>
            <w:r w:rsidRPr="0039060A">
              <w:rPr>
                <w:color w:val="auto"/>
                <w:sz w:val="16"/>
                <w:szCs w:val="16"/>
              </w:rPr>
              <w:t>650,000</w:t>
            </w:r>
          </w:p>
        </w:tc>
        <w:tc>
          <w:tcPr>
            <w:tcW w:w="903" w:type="dxa"/>
            <w:tcBorders>
              <w:top w:val="nil"/>
              <w:left w:val="nil"/>
              <w:bottom w:val="nil"/>
              <w:right w:val="nil"/>
            </w:tcBorders>
            <w:shd w:val="clear" w:color="auto" w:fill="auto"/>
            <w:noWrap/>
            <w:tcMar>
              <w:left w:w="28" w:type="dxa"/>
              <w:right w:w="57" w:type="dxa"/>
            </w:tcMar>
            <w:vAlign w:val="bottom"/>
            <w:hideMark/>
          </w:tcPr>
          <w:p w14:paraId="0C6A32CA" w14:textId="77777777" w:rsidR="0039060A" w:rsidRPr="0039060A" w:rsidRDefault="0039060A" w:rsidP="0039060A">
            <w:pPr>
              <w:spacing w:before="0" w:after="0"/>
              <w:jc w:val="right"/>
              <w:rPr>
                <w:color w:val="auto"/>
                <w:sz w:val="16"/>
                <w:szCs w:val="16"/>
              </w:rPr>
            </w:pPr>
            <w:r w:rsidRPr="0039060A">
              <w:rPr>
                <w:color w:val="auto"/>
                <w:sz w:val="16"/>
                <w:szCs w:val="16"/>
              </w:rPr>
              <w:t>650,000</w:t>
            </w:r>
          </w:p>
        </w:tc>
      </w:tr>
      <w:tr w:rsidR="0039060A" w:rsidRPr="0039060A" w14:paraId="2E461D73"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4D6F7468" w14:textId="77777777" w:rsidR="0039060A" w:rsidRPr="0039060A" w:rsidRDefault="0039060A" w:rsidP="0039060A">
            <w:pPr>
              <w:spacing w:before="0" w:after="0"/>
              <w:ind w:leftChars="150" w:left="270"/>
              <w:rPr>
                <w:color w:val="auto"/>
                <w:sz w:val="16"/>
                <w:szCs w:val="16"/>
              </w:rPr>
            </w:pPr>
            <w:r w:rsidRPr="0039060A">
              <w:rPr>
                <w:color w:val="auto"/>
                <w:sz w:val="16"/>
                <w:szCs w:val="16"/>
              </w:rPr>
              <w:t>Special appropriations</w:t>
            </w:r>
          </w:p>
        </w:tc>
        <w:tc>
          <w:tcPr>
            <w:tcW w:w="913" w:type="dxa"/>
            <w:tcBorders>
              <w:top w:val="nil"/>
              <w:left w:val="nil"/>
              <w:bottom w:val="nil"/>
              <w:right w:val="nil"/>
            </w:tcBorders>
            <w:shd w:val="clear" w:color="auto" w:fill="auto"/>
            <w:noWrap/>
            <w:tcMar>
              <w:left w:w="28" w:type="dxa"/>
              <w:right w:w="57" w:type="dxa"/>
            </w:tcMar>
            <w:vAlign w:val="bottom"/>
            <w:hideMark/>
          </w:tcPr>
          <w:p w14:paraId="47D191D2" w14:textId="77777777" w:rsidR="0039060A" w:rsidRPr="0039060A" w:rsidRDefault="0039060A" w:rsidP="0039060A">
            <w:pPr>
              <w:spacing w:before="0" w:after="0"/>
              <w:ind w:firstLineChars="200" w:firstLine="32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4DD40F89"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5B64EA56"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497ED0D7"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211E9BA7"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3799669A" w14:textId="77777777" w:rsidTr="00EE7F7A">
        <w:trPr>
          <w:trHeight w:val="850"/>
          <w:jc w:val="center"/>
        </w:trPr>
        <w:tc>
          <w:tcPr>
            <w:tcW w:w="2795" w:type="dxa"/>
            <w:tcBorders>
              <w:top w:val="nil"/>
              <w:left w:val="nil"/>
              <w:bottom w:val="nil"/>
              <w:right w:val="nil"/>
            </w:tcBorders>
            <w:shd w:val="clear" w:color="auto" w:fill="auto"/>
            <w:vAlign w:val="bottom"/>
            <w:hideMark/>
          </w:tcPr>
          <w:p w14:paraId="52E49F11" w14:textId="77777777" w:rsidR="0039060A" w:rsidRPr="0039060A" w:rsidRDefault="0039060A" w:rsidP="0039060A">
            <w:pPr>
              <w:spacing w:before="0" w:after="0"/>
              <w:ind w:leftChars="225" w:left="405"/>
              <w:rPr>
                <w:color w:val="auto"/>
                <w:sz w:val="16"/>
                <w:szCs w:val="16"/>
              </w:rPr>
            </w:pPr>
            <w:r w:rsidRPr="0039060A">
              <w:rPr>
                <w:i/>
                <w:iCs/>
                <w:color w:val="auto"/>
                <w:sz w:val="16"/>
                <w:szCs w:val="16"/>
              </w:rPr>
              <w:t>National Health Act 1953</w:t>
            </w:r>
            <w:r w:rsidRPr="0039060A">
              <w:rPr>
                <w:color w:val="auto"/>
                <w:sz w:val="16"/>
                <w:szCs w:val="16"/>
              </w:rPr>
              <w:t xml:space="preserve"> - blood fractionation products and blood related products to National Blood Authority</w:t>
            </w:r>
          </w:p>
        </w:tc>
        <w:tc>
          <w:tcPr>
            <w:tcW w:w="913" w:type="dxa"/>
            <w:tcBorders>
              <w:top w:val="nil"/>
              <w:left w:val="nil"/>
              <w:bottom w:val="nil"/>
              <w:right w:val="nil"/>
            </w:tcBorders>
            <w:shd w:val="clear" w:color="auto" w:fill="auto"/>
            <w:noWrap/>
            <w:tcMar>
              <w:left w:w="28" w:type="dxa"/>
              <w:right w:w="57" w:type="dxa"/>
            </w:tcMar>
            <w:vAlign w:val="bottom"/>
            <w:hideMark/>
          </w:tcPr>
          <w:p w14:paraId="27B7244C" w14:textId="77777777" w:rsidR="0039060A" w:rsidRPr="0039060A" w:rsidRDefault="0039060A" w:rsidP="0039060A">
            <w:pPr>
              <w:spacing w:before="0" w:after="0"/>
              <w:jc w:val="right"/>
              <w:rPr>
                <w:color w:val="auto"/>
                <w:sz w:val="16"/>
                <w:szCs w:val="16"/>
              </w:rPr>
            </w:pPr>
            <w:r w:rsidRPr="0039060A">
              <w:rPr>
                <w:color w:val="auto"/>
                <w:sz w:val="16"/>
                <w:szCs w:val="16"/>
              </w:rPr>
              <w:t>920,466</w:t>
            </w:r>
          </w:p>
        </w:tc>
        <w:tc>
          <w:tcPr>
            <w:tcW w:w="903" w:type="dxa"/>
            <w:tcBorders>
              <w:top w:val="nil"/>
              <w:left w:val="nil"/>
              <w:bottom w:val="nil"/>
              <w:right w:val="nil"/>
            </w:tcBorders>
            <w:shd w:val="clear" w:color="000000" w:fill="D9D9D9"/>
            <w:noWrap/>
            <w:tcMar>
              <w:left w:w="28" w:type="dxa"/>
              <w:right w:w="57" w:type="dxa"/>
            </w:tcMar>
            <w:vAlign w:val="bottom"/>
            <w:hideMark/>
          </w:tcPr>
          <w:p w14:paraId="37F83846" w14:textId="77777777" w:rsidR="0039060A" w:rsidRPr="0039060A" w:rsidRDefault="0039060A" w:rsidP="0039060A">
            <w:pPr>
              <w:spacing w:before="0" w:after="0"/>
              <w:jc w:val="right"/>
              <w:rPr>
                <w:color w:val="auto"/>
                <w:sz w:val="16"/>
                <w:szCs w:val="16"/>
              </w:rPr>
            </w:pPr>
            <w:r w:rsidRPr="0039060A">
              <w:rPr>
                <w:color w:val="auto"/>
                <w:sz w:val="16"/>
                <w:szCs w:val="16"/>
              </w:rPr>
              <w:t>996,315</w:t>
            </w:r>
          </w:p>
        </w:tc>
        <w:tc>
          <w:tcPr>
            <w:tcW w:w="903" w:type="dxa"/>
            <w:tcBorders>
              <w:top w:val="nil"/>
              <w:left w:val="nil"/>
              <w:bottom w:val="nil"/>
              <w:right w:val="nil"/>
            </w:tcBorders>
            <w:shd w:val="clear" w:color="auto" w:fill="auto"/>
            <w:noWrap/>
            <w:tcMar>
              <w:left w:w="28" w:type="dxa"/>
              <w:right w:w="57" w:type="dxa"/>
            </w:tcMar>
            <w:vAlign w:val="bottom"/>
            <w:hideMark/>
          </w:tcPr>
          <w:p w14:paraId="4893A5E7" w14:textId="77777777" w:rsidR="0039060A" w:rsidRPr="0039060A" w:rsidRDefault="0039060A" w:rsidP="0039060A">
            <w:pPr>
              <w:spacing w:before="0" w:after="0"/>
              <w:jc w:val="right"/>
              <w:rPr>
                <w:color w:val="auto"/>
                <w:sz w:val="16"/>
                <w:szCs w:val="16"/>
              </w:rPr>
            </w:pPr>
            <w:r w:rsidRPr="0039060A">
              <w:rPr>
                <w:color w:val="auto"/>
                <w:sz w:val="16"/>
                <w:szCs w:val="16"/>
              </w:rPr>
              <w:t>1,053,893</w:t>
            </w:r>
          </w:p>
        </w:tc>
        <w:tc>
          <w:tcPr>
            <w:tcW w:w="903" w:type="dxa"/>
            <w:tcBorders>
              <w:top w:val="nil"/>
              <w:left w:val="nil"/>
              <w:bottom w:val="nil"/>
              <w:right w:val="nil"/>
            </w:tcBorders>
            <w:shd w:val="clear" w:color="auto" w:fill="auto"/>
            <w:noWrap/>
            <w:tcMar>
              <w:left w:w="28" w:type="dxa"/>
              <w:right w:w="57" w:type="dxa"/>
            </w:tcMar>
            <w:vAlign w:val="bottom"/>
            <w:hideMark/>
          </w:tcPr>
          <w:p w14:paraId="63506BE7" w14:textId="77777777" w:rsidR="0039060A" w:rsidRPr="0039060A" w:rsidRDefault="0039060A" w:rsidP="0039060A">
            <w:pPr>
              <w:spacing w:before="0" w:after="0"/>
              <w:jc w:val="right"/>
              <w:rPr>
                <w:color w:val="auto"/>
                <w:sz w:val="16"/>
                <w:szCs w:val="16"/>
              </w:rPr>
            </w:pPr>
            <w:r w:rsidRPr="0039060A">
              <w:rPr>
                <w:color w:val="auto"/>
                <w:sz w:val="16"/>
                <w:szCs w:val="16"/>
              </w:rPr>
              <w:t>1,115,081</w:t>
            </w:r>
          </w:p>
        </w:tc>
        <w:tc>
          <w:tcPr>
            <w:tcW w:w="903" w:type="dxa"/>
            <w:tcBorders>
              <w:top w:val="nil"/>
              <w:left w:val="nil"/>
              <w:bottom w:val="nil"/>
              <w:right w:val="nil"/>
            </w:tcBorders>
            <w:shd w:val="clear" w:color="auto" w:fill="auto"/>
            <w:noWrap/>
            <w:tcMar>
              <w:left w:w="28" w:type="dxa"/>
              <w:right w:w="57" w:type="dxa"/>
            </w:tcMar>
            <w:vAlign w:val="bottom"/>
            <w:hideMark/>
          </w:tcPr>
          <w:p w14:paraId="1F4866B8" w14:textId="77777777" w:rsidR="0039060A" w:rsidRPr="0039060A" w:rsidRDefault="0039060A" w:rsidP="0039060A">
            <w:pPr>
              <w:spacing w:before="0" w:after="0"/>
              <w:jc w:val="right"/>
              <w:rPr>
                <w:color w:val="auto"/>
                <w:sz w:val="16"/>
                <w:szCs w:val="16"/>
              </w:rPr>
            </w:pPr>
            <w:r w:rsidRPr="0039060A">
              <w:rPr>
                <w:color w:val="auto"/>
                <w:sz w:val="16"/>
                <w:szCs w:val="16"/>
              </w:rPr>
              <w:t>1,226,615</w:t>
            </w:r>
          </w:p>
        </w:tc>
      </w:tr>
      <w:tr w:rsidR="0039060A" w:rsidRPr="0039060A" w14:paraId="107A375F" w14:textId="77777777" w:rsidTr="00EE7F7A">
        <w:trPr>
          <w:trHeight w:val="794"/>
          <w:jc w:val="center"/>
        </w:trPr>
        <w:tc>
          <w:tcPr>
            <w:tcW w:w="2795" w:type="dxa"/>
            <w:tcBorders>
              <w:top w:val="nil"/>
              <w:left w:val="nil"/>
              <w:bottom w:val="nil"/>
              <w:right w:val="nil"/>
            </w:tcBorders>
            <w:shd w:val="clear" w:color="auto" w:fill="auto"/>
            <w:vAlign w:val="bottom"/>
            <w:hideMark/>
          </w:tcPr>
          <w:p w14:paraId="1301FFE9" w14:textId="77777777" w:rsidR="0039060A" w:rsidRPr="0039060A" w:rsidRDefault="0039060A" w:rsidP="0039060A">
            <w:pPr>
              <w:spacing w:before="0" w:after="0"/>
              <w:ind w:leftChars="225" w:left="405"/>
              <w:rPr>
                <w:color w:val="auto"/>
                <w:sz w:val="16"/>
                <w:szCs w:val="16"/>
              </w:rPr>
            </w:pPr>
            <w:r w:rsidRPr="0039060A">
              <w:rPr>
                <w:i/>
                <w:iCs/>
                <w:color w:val="auto"/>
                <w:sz w:val="16"/>
                <w:szCs w:val="16"/>
              </w:rPr>
              <w:t>Public Governance, Performance and Accountability Act 2013</w:t>
            </w:r>
            <w:r w:rsidRPr="0039060A">
              <w:rPr>
                <w:color w:val="auto"/>
                <w:sz w:val="16"/>
                <w:szCs w:val="16"/>
              </w:rPr>
              <w:t xml:space="preserve"> s77 - repayments</w:t>
            </w:r>
          </w:p>
        </w:tc>
        <w:tc>
          <w:tcPr>
            <w:tcW w:w="913" w:type="dxa"/>
            <w:tcBorders>
              <w:top w:val="nil"/>
              <w:left w:val="nil"/>
              <w:bottom w:val="nil"/>
              <w:right w:val="nil"/>
            </w:tcBorders>
            <w:shd w:val="clear" w:color="auto" w:fill="auto"/>
            <w:noWrap/>
            <w:tcMar>
              <w:left w:w="28" w:type="dxa"/>
              <w:right w:w="57" w:type="dxa"/>
            </w:tcMar>
            <w:vAlign w:val="bottom"/>
            <w:hideMark/>
          </w:tcPr>
          <w:p w14:paraId="4EC33894" w14:textId="77777777" w:rsidR="0039060A" w:rsidRPr="0039060A" w:rsidRDefault="0039060A" w:rsidP="0039060A">
            <w:pPr>
              <w:spacing w:before="0" w:after="0"/>
              <w:jc w:val="right"/>
              <w:rPr>
                <w:color w:val="auto"/>
                <w:sz w:val="16"/>
                <w:szCs w:val="16"/>
              </w:rPr>
            </w:pPr>
            <w:r w:rsidRPr="0039060A">
              <w:rPr>
                <w:color w:val="auto"/>
                <w:sz w:val="16"/>
                <w:szCs w:val="16"/>
              </w:rPr>
              <w:t>4,000</w:t>
            </w:r>
          </w:p>
        </w:tc>
        <w:tc>
          <w:tcPr>
            <w:tcW w:w="903" w:type="dxa"/>
            <w:tcBorders>
              <w:top w:val="nil"/>
              <w:left w:val="nil"/>
              <w:bottom w:val="nil"/>
              <w:right w:val="nil"/>
            </w:tcBorders>
            <w:shd w:val="clear" w:color="000000" w:fill="D9D9D9"/>
            <w:noWrap/>
            <w:tcMar>
              <w:left w:w="28" w:type="dxa"/>
              <w:right w:w="57" w:type="dxa"/>
            </w:tcMar>
            <w:vAlign w:val="bottom"/>
            <w:hideMark/>
          </w:tcPr>
          <w:p w14:paraId="325E62AE" w14:textId="77777777" w:rsidR="0039060A" w:rsidRPr="0039060A" w:rsidRDefault="0039060A" w:rsidP="0039060A">
            <w:pPr>
              <w:spacing w:before="0" w:after="0"/>
              <w:jc w:val="right"/>
              <w:rPr>
                <w:color w:val="auto"/>
                <w:sz w:val="16"/>
                <w:szCs w:val="16"/>
              </w:rPr>
            </w:pPr>
            <w:r w:rsidRPr="0039060A">
              <w:rPr>
                <w:color w:val="auto"/>
                <w:sz w:val="16"/>
                <w:szCs w:val="16"/>
              </w:rPr>
              <w:t>2,000</w:t>
            </w:r>
          </w:p>
        </w:tc>
        <w:tc>
          <w:tcPr>
            <w:tcW w:w="903" w:type="dxa"/>
            <w:tcBorders>
              <w:top w:val="nil"/>
              <w:left w:val="nil"/>
              <w:bottom w:val="nil"/>
              <w:right w:val="nil"/>
            </w:tcBorders>
            <w:shd w:val="clear" w:color="auto" w:fill="auto"/>
            <w:noWrap/>
            <w:tcMar>
              <w:left w:w="28" w:type="dxa"/>
              <w:right w:w="57" w:type="dxa"/>
            </w:tcMar>
            <w:vAlign w:val="bottom"/>
            <w:hideMark/>
          </w:tcPr>
          <w:p w14:paraId="69FC69AD" w14:textId="77777777" w:rsidR="0039060A" w:rsidRPr="0039060A" w:rsidRDefault="0039060A" w:rsidP="0039060A">
            <w:pPr>
              <w:spacing w:before="0" w:after="0"/>
              <w:jc w:val="right"/>
              <w:rPr>
                <w:color w:val="auto"/>
                <w:sz w:val="16"/>
                <w:szCs w:val="16"/>
              </w:rPr>
            </w:pPr>
            <w:r w:rsidRPr="0039060A">
              <w:rPr>
                <w:color w:val="auto"/>
                <w:sz w:val="16"/>
                <w:szCs w:val="16"/>
              </w:rPr>
              <w:t>2,000</w:t>
            </w:r>
          </w:p>
        </w:tc>
        <w:tc>
          <w:tcPr>
            <w:tcW w:w="903" w:type="dxa"/>
            <w:tcBorders>
              <w:top w:val="nil"/>
              <w:left w:val="nil"/>
              <w:bottom w:val="nil"/>
              <w:right w:val="nil"/>
            </w:tcBorders>
            <w:shd w:val="clear" w:color="auto" w:fill="auto"/>
            <w:noWrap/>
            <w:tcMar>
              <w:left w:w="28" w:type="dxa"/>
              <w:right w:w="57" w:type="dxa"/>
            </w:tcMar>
            <w:vAlign w:val="bottom"/>
            <w:hideMark/>
          </w:tcPr>
          <w:p w14:paraId="136F0218" w14:textId="77777777" w:rsidR="0039060A" w:rsidRPr="0039060A" w:rsidRDefault="0039060A" w:rsidP="0039060A">
            <w:pPr>
              <w:spacing w:before="0" w:after="0"/>
              <w:jc w:val="right"/>
              <w:rPr>
                <w:color w:val="auto"/>
                <w:sz w:val="16"/>
                <w:szCs w:val="16"/>
              </w:rPr>
            </w:pPr>
            <w:r w:rsidRPr="0039060A">
              <w:rPr>
                <w:color w:val="auto"/>
                <w:sz w:val="16"/>
                <w:szCs w:val="16"/>
              </w:rPr>
              <w:t>2,000</w:t>
            </w:r>
          </w:p>
        </w:tc>
        <w:tc>
          <w:tcPr>
            <w:tcW w:w="903" w:type="dxa"/>
            <w:tcBorders>
              <w:top w:val="nil"/>
              <w:left w:val="nil"/>
              <w:bottom w:val="nil"/>
              <w:right w:val="nil"/>
            </w:tcBorders>
            <w:shd w:val="clear" w:color="auto" w:fill="auto"/>
            <w:noWrap/>
            <w:tcMar>
              <w:left w:w="28" w:type="dxa"/>
              <w:right w:w="57" w:type="dxa"/>
            </w:tcMar>
            <w:vAlign w:val="bottom"/>
            <w:hideMark/>
          </w:tcPr>
          <w:p w14:paraId="24B009F1" w14:textId="77777777" w:rsidR="0039060A" w:rsidRPr="0039060A" w:rsidRDefault="0039060A" w:rsidP="0039060A">
            <w:pPr>
              <w:spacing w:before="0" w:after="0"/>
              <w:jc w:val="right"/>
              <w:rPr>
                <w:color w:val="auto"/>
                <w:sz w:val="16"/>
                <w:szCs w:val="16"/>
              </w:rPr>
            </w:pPr>
            <w:r w:rsidRPr="0039060A">
              <w:rPr>
                <w:color w:val="auto"/>
                <w:sz w:val="16"/>
                <w:szCs w:val="16"/>
              </w:rPr>
              <w:t>2,000</w:t>
            </w:r>
          </w:p>
        </w:tc>
      </w:tr>
      <w:tr w:rsidR="0039060A" w:rsidRPr="0039060A" w14:paraId="7D7FBBC2"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3BAB02AA"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Departmental expenses</w:t>
            </w:r>
          </w:p>
        </w:tc>
        <w:tc>
          <w:tcPr>
            <w:tcW w:w="913" w:type="dxa"/>
            <w:tcBorders>
              <w:top w:val="nil"/>
              <w:left w:val="nil"/>
              <w:bottom w:val="nil"/>
              <w:right w:val="nil"/>
            </w:tcBorders>
            <w:shd w:val="clear" w:color="auto" w:fill="auto"/>
            <w:noWrap/>
            <w:tcMar>
              <w:left w:w="28" w:type="dxa"/>
              <w:right w:w="57" w:type="dxa"/>
            </w:tcMar>
            <w:vAlign w:val="bottom"/>
            <w:hideMark/>
          </w:tcPr>
          <w:p w14:paraId="2A9214B7"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41318BF8"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24D37A9E"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6013CAD9"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7259E3A9"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17CC4752"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2852FAF0" w14:textId="77777777" w:rsidR="0039060A" w:rsidRPr="0039060A" w:rsidRDefault="0039060A" w:rsidP="0039060A">
            <w:pPr>
              <w:spacing w:before="0" w:after="0"/>
              <w:ind w:leftChars="150" w:left="270"/>
              <w:rPr>
                <w:color w:val="auto"/>
                <w:sz w:val="16"/>
                <w:szCs w:val="16"/>
              </w:rPr>
            </w:pPr>
            <w:r w:rsidRPr="0039060A">
              <w:rPr>
                <w:color w:val="auto"/>
                <w:sz w:val="16"/>
                <w:szCs w:val="16"/>
              </w:rPr>
              <w:t xml:space="preserve">Departmental appropriation </w:t>
            </w:r>
            <w:r w:rsidRPr="0039060A">
              <w:rPr>
                <w:color w:val="auto"/>
                <w:sz w:val="16"/>
                <w:szCs w:val="16"/>
                <w:vertAlign w:val="superscript"/>
              </w:rPr>
              <w:t>(c)</w:t>
            </w:r>
          </w:p>
        </w:tc>
        <w:tc>
          <w:tcPr>
            <w:tcW w:w="913" w:type="dxa"/>
            <w:tcBorders>
              <w:top w:val="nil"/>
              <w:left w:val="nil"/>
              <w:bottom w:val="nil"/>
              <w:right w:val="nil"/>
            </w:tcBorders>
            <w:shd w:val="clear" w:color="auto" w:fill="auto"/>
            <w:noWrap/>
            <w:tcMar>
              <w:left w:w="28" w:type="dxa"/>
              <w:right w:w="57" w:type="dxa"/>
            </w:tcMar>
            <w:vAlign w:val="bottom"/>
            <w:hideMark/>
          </w:tcPr>
          <w:p w14:paraId="12718D9A" w14:textId="77777777" w:rsidR="0039060A" w:rsidRPr="0039060A" w:rsidRDefault="0039060A" w:rsidP="0039060A">
            <w:pPr>
              <w:spacing w:before="0" w:after="0"/>
              <w:jc w:val="right"/>
              <w:rPr>
                <w:color w:val="auto"/>
                <w:sz w:val="16"/>
                <w:szCs w:val="16"/>
              </w:rPr>
            </w:pPr>
            <w:r w:rsidRPr="0039060A">
              <w:rPr>
                <w:color w:val="auto"/>
                <w:sz w:val="16"/>
                <w:szCs w:val="16"/>
              </w:rPr>
              <w:t>113,399</w:t>
            </w:r>
          </w:p>
        </w:tc>
        <w:tc>
          <w:tcPr>
            <w:tcW w:w="903" w:type="dxa"/>
            <w:tcBorders>
              <w:top w:val="nil"/>
              <w:left w:val="nil"/>
              <w:bottom w:val="nil"/>
              <w:right w:val="nil"/>
            </w:tcBorders>
            <w:shd w:val="clear" w:color="000000" w:fill="D9D9D9"/>
            <w:noWrap/>
            <w:tcMar>
              <w:left w:w="28" w:type="dxa"/>
              <w:right w:w="57" w:type="dxa"/>
            </w:tcMar>
            <w:vAlign w:val="bottom"/>
            <w:hideMark/>
          </w:tcPr>
          <w:p w14:paraId="2951FA34" w14:textId="77777777" w:rsidR="0039060A" w:rsidRPr="0039060A" w:rsidRDefault="0039060A" w:rsidP="0039060A">
            <w:pPr>
              <w:spacing w:before="0" w:after="0"/>
              <w:jc w:val="right"/>
              <w:rPr>
                <w:color w:val="auto"/>
                <w:sz w:val="16"/>
                <w:szCs w:val="16"/>
              </w:rPr>
            </w:pPr>
            <w:r w:rsidRPr="0039060A">
              <w:rPr>
                <w:color w:val="auto"/>
                <w:sz w:val="16"/>
                <w:szCs w:val="16"/>
              </w:rPr>
              <w:t>106,096</w:t>
            </w:r>
          </w:p>
        </w:tc>
        <w:tc>
          <w:tcPr>
            <w:tcW w:w="903" w:type="dxa"/>
            <w:tcBorders>
              <w:top w:val="nil"/>
              <w:left w:val="nil"/>
              <w:bottom w:val="nil"/>
              <w:right w:val="nil"/>
            </w:tcBorders>
            <w:shd w:val="clear" w:color="auto" w:fill="auto"/>
            <w:noWrap/>
            <w:tcMar>
              <w:left w:w="28" w:type="dxa"/>
              <w:right w:w="57" w:type="dxa"/>
            </w:tcMar>
            <w:vAlign w:val="bottom"/>
            <w:hideMark/>
          </w:tcPr>
          <w:p w14:paraId="48F86BA4" w14:textId="77777777" w:rsidR="0039060A" w:rsidRPr="0039060A" w:rsidRDefault="0039060A" w:rsidP="0039060A">
            <w:pPr>
              <w:spacing w:before="0" w:after="0"/>
              <w:jc w:val="right"/>
              <w:rPr>
                <w:color w:val="auto"/>
                <w:sz w:val="16"/>
                <w:szCs w:val="16"/>
              </w:rPr>
            </w:pPr>
            <w:r w:rsidRPr="0039060A">
              <w:rPr>
                <w:color w:val="auto"/>
                <w:sz w:val="16"/>
                <w:szCs w:val="16"/>
              </w:rPr>
              <w:t>106,357</w:t>
            </w:r>
          </w:p>
        </w:tc>
        <w:tc>
          <w:tcPr>
            <w:tcW w:w="903" w:type="dxa"/>
            <w:tcBorders>
              <w:top w:val="nil"/>
              <w:left w:val="nil"/>
              <w:bottom w:val="nil"/>
              <w:right w:val="nil"/>
            </w:tcBorders>
            <w:shd w:val="clear" w:color="auto" w:fill="auto"/>
            <w:noWrap/>
            <w:tcMar>
              <w:left w:w="28" w:type="dxa"/>
              <w:right w:w="57" w:type="dxa"/>
            </w:tcMar>
            <w:vAlign w:val="bottom"/>
            <w:hideMark/>
          </w:tcPr>
          <w:p w14:paraId="7D4648BE" w14:textId="77777777" w:rsidR="0039060A" w:rsidRPr="0039060A" w:rsidRDefault="0039060A" w:rsidP="0039060A">
            <w:pPr>
              <w:spacing w:before="0" w:after="0"/>
              <w:jc w:val="right"/>
              <w:rPr>
                <w:color w:val="auto"/>
                <w:sz w:val="16"/>
                <w:szCs w:val="16"/>
              </w:rPr>
            </w:pPr>
            <w:r w:rsidRPr="0039060A">
              <w:rPr>
                <w:color w:val="auto"/>
                <w:sz w:val="16"/>
                <w:szCs w:val="16"/>
              </w:rPr>
              <w:t>103,630</w:t>
            </w:r>
          </w:p>
        </w:tc>
        <w:tc>
          <w:tcPr>
            <w:tcW w:w="903" w:type="dxa"/>
            <w:tcBorders>
              <w:top w:val="nil"/>
              <w:left w:val="nil"/>
              <w:bottom w:val="nil"/>
              <w:right w:val="nil"/>
            </w:tcBorders>
            <w:shd w:val="clear" w:color="auto" w:fill="auto"/>
            <w:noWrap/>
            <w:tcMar>
              <w:left w:w="28" w:type="dxa"/>
              <w:right w:w="57" w:type="dxa"/>
            </w:tcMar>
            <w:vAlign w:val="bottom"/>
            <w:hideMark/>
          </w:tcPr>
          <w:p w14:paraId="0C619CE2" w14:textId="77777777" w:rsidR="0039060A" w:rsidRPr="0039060A" w:rsidRDefault="0039060A" w:rsidP="0039060A">
            <w:pPr>
              <w:spacing w:before="0" w:after="0"/>
              <w:jc w:val="right"/>
              <w:rPr>
                <w:color w:val="auto"/>
                <w:sz w:val="16"/>
                <w:szCs w:val="16"/>
              </w:rPr>
            </w:pPr>
            <w:r w:rsidRPr="0039060A">
              <w:rPr>
                <w:color w:val="auto"/>
                <w:sz w:val="16"/>
                <w:szCs w:val="16"/>
              </w:rPr>
              <w:t>103,646</w:t>
            </w:r>
          </w:p>
        </w:tc>
      </w:tr>
      <w:tr w:rsidR="0039060A" w:rsidRPr="0039060A" w14:paraId="70A7B68C" w14:textId="77777777" w:rsidTr="00EE7F7A">
        <w:trPr>
          <w:trHeight w:val="624"/>
          <w:jc w:val="center"/>
        </w:trPr>
        <w:tc>
          <w:tcPr>
            <w:tcW w:w="2795" w:type="dxa"/>
            <w:tcBorders>
              <w:top w:val="nil"/>
              <w:left w:val="nil"/>
              <w:bottom w:val="nil"/>
              <w:right w:val="nil"/>
            </w:tcBorders>
            <w:shd w:val="clear" w:color="auto" w:fill="auto"/>
            <w:vAlign w:val="bottom"/>
            <w:hideMark/>
          </w:tcPr>
          <w:p w14:paraId="12D8D7A1" w14:textId="408E8201" w:rsidR="0039060A" w:rsidRPr="0039060A" w:rsidRDefault="0039060A" w:rsidP="0039060A">
            <w:pPr>
              <w:spacing w:before="0" w:after="0"/>
              <w:ind w:leftChars="150" w:left="270"/>
              <w:rPr>
                <w:color w:val="auto"/>
                <w:sz w:val="16"/>
                <w:szCs w:val="16"/>
              </w:rPr>
            </w:pPr>
            <w:r w:rsidRPr="0039060A">
              <w:rPr>
                <w:color w:val="auto"/>
                <w:sz w:val="16"/>
                <w:szCs w:val="16"/>
              </w:rPr>
              <w:t xml:space="preserve">Expenses not requiring appropriation in the </w:t>
            </w:r>
            <w:r w:rsidR="00EE7F7A">
              <w:rPr>
                <w:color w:val="auto"/>
                <w:sz w:val="16"/>
                <w:szCs w:val="16"/>
              </w:rPr>
              <w:t>Budget year </w:t>
            </w:r>
            <w:r w:rsidRPr="0039060A">
              <w:rPr>
                <w:color w:val="auto"/>
                <w:sz w:val="16"/>
                <w:szCs w:val="16"/>
                <w:vertAlign w:val="superscript"/>
              </w:rPr>
              <w:t>(d)</w:t>
            </w:r>
          </w:p>
        </w:tc>
        <w:tc>
          <w:tcPr>
            <w:tcW w:w="913" w:type="dxa"/>
            <w:tcBorders>
              <w:top w:val="nil"/>
              <w:left w:val="nil"/>
              <w:bottom w:val="nil"/>
              <w:right w:val="nil"/>
            </w:tcBorders>
            <w:shd w:val="clear" w:color="auto" w:fill="auto"/>
            <w:noWrap/>
            <w:tcMar>
              <w:left w:w="28" w:type="dxa"/>
              <w:right w:w="57" w:type="dxa"/>
            </w:tcMar>
            <w:vAlign w:val="bottom"/>
            <w:hideMark/>
          </w:tcPr>
          <w:p w14:paraId="23D4EFDD" w14:textId="77777777" w:rsidR="0039060A" w:rsidRPr="0039060A" w:rsidRDefault="0039060A" w:rsidP="0039060A">
            <w:pPr>
              <w:spacing w:before="0" w:after="0"/>
              <w:jc w:val="right"/>
              <w:rPr>
                <w:color w:val="auto"/>
                <w:sz w:val="16"/>
                <w:szCs w:val="16"/>
              </w:rPr>
            </w:pPr>
            <w:r w:rsidRPr="0039060A">
              <w:rPr>
                <w:color w:val="auto"/>
                <w:sz w:val="16"/>
                <w:szCs w:val="16"/>
              </w:rPr>
              <w:t>7,521</w:t>
            </w:r>
          </w:p>
        </w:tc>
        <w:tc>
          <w:tcPr>
            <w:tcW w:w="903" w:type="dxa"/>
            <w:tcBorders>
              <w:top w:val="nil"/>
              <w:left w:val="nil"/>
              <w:bottom w:val="nil"/>
              <w:right w:val="nil"/>
            </w:tcBorders>
            <w:shd w:val="clear" w:color="000000" w:fill="D9D9D9"/>
            <w:noWrap/>
            <w:tcMar>
              <w:left w:w="28" w:type="dxa"/>
              <w:right w:w="57" w:type="dxa"/>
            </w:tcMar>
            <w:vAlign w:val="bottom"/>
            <w:hideMark/>
          </w:tcPr>
          <w:p w14:paraId="3B02C9DA" w14:textId="77777777" w:rsidR="0039060A" w:rsidRPr="0039060A" w:rsidRDefault="0039060A" w:rsidP="0039060A">
            <w:pPr>
              <w:spacing w:before="0" w:after="0"/>
              <w:jc w:val="right"/>
              <w:rPr>
                <w:color w:val="auto"/>
                <w:sz w:val="16"/>
                <w:szCs w:val="16"/>
              </w:rPr>
            </w:pPr>
            <w:r w:rsidRPr="0039060A">
              <w:rPr>
                <w:color w:val="auto"/>
                <w:sz w:val="16"/>
                <w:szCs w:val="16"/>
              </w:rPr>
              <w:t>9,460</w:t>
            </w:r>
          </w:p>
        </w:tc>
        <w:tc>
          <w:tcPr>
            <w:tcW w:w="903" w:type="dxa"/>
            <w:tcBorders>
              <w:top w:val="nil"/>
              <w:left w:val="nil"/>
              <w:bottom w:val="nil"/>
              <w:right w:val="nil"/>
            </w:tcBorders>
            <w:shd w:val="clear" w:color="auto" w:fill="auto"/>
            <w:noWrap/>
            <w:tcMar>
              <w:left w:w="28" w:type="dxa"/>
              <w:right w:w="57" w:type="dxa"/>
            </w:tcMar>
            <w:vAlign w:val="bottom"/>
            <w:hideMark/>
          </w:tcPr>
          <w:p w14:paraId="75067E7E" w14:textId="77777777" w:rsidR="0039060A" w:rsidRPr="0039060A" w:rsidRDefault="0039060A" w:rsidP="0039060A">
            <w:pPr>
              <w:spacing w:before="0" w:after="0"/>
              <w:jc w:val="right"/>
              <w:rPr>
                <w:color w:val="auto"/>
                <w:sz w:val="16"/>
                <w:szCs w:val="16"/>
              </w:rPr>
            </w:pPr>
            <w:r w:rsidRPr="0039060A">
              <w:rPr>
                <w:color w:val="auto"/>
                <w:sz w:val="16"/>
                <w:szCs w:val="16"/>
              </w:rPr>
              <w:t>8,518</w:t>
            </w:r>
          </w:p>
        </w:tc>
        <w:tc>
          <w:tcPr>
            <w:tcW w:w="903" w:type="dxa"/>
            <w:tcBorders>
              <w:top w:val="nil"/>
              <w:left w:val="nil"/>
              <w:bottom w:val="nil"/>
              <w:right w:val="nil"/>
            </w:tcBorders>
            <w:shd w:val="clear" w:color="auto" w:fill="auto"/>
            <w:noWrap/>
            <w:tcMar>
              <w:left w:w="28" w:type="dxa"/>
              <w:right w:w="57" w:type="dxa"/>
            </w:tcMar>
            <w:vAlign w:val="bottom"/>
            <w:hideMark/>
          </w:tcPr>
          <w:p w14:paraId="152FA0DC" w14:textId="77777777" w:rsidR="0039060A" w:rsidRPr="0039060A" w:rsidRDefault="0039060A" w:rsidP="0039060A">
            <w:pPr>
              <w:spacing w:before="0" w:after="0"/>
              <w:jc w:val="right"/>
              <w:rPr>
                <w:color w:val="auto"/>
                <w:sz w:val="16"/>
                <w:szCs w:val="16"/>
              </w:rPr>
            </w:pPr>
            <w:r w:rsidRPr="0039060A">
              <w:rPr>
                <w:color w:val="auto"/>
                <w:sz w:val="16"/>
                <w:szCs w:val="16"/>
              </w:rPr>
              <w:t>7,996</w:t>
            </w:r>
          </w:p>
        </w:tc>
        <w:tc>
          <w:tcPr>
            <w:tcW w:w="903" w:type="dxa"/>
            <w:tcBorders>
              <w:top w:val="nil"/>
              <w:left w:val="nil"/>
              <w:bottom w:val="nil"/>
              <w:right w:val="nil"/>
            </w:tcBorders>
            <w:shd w:val="clear" w:color="auto" w:fill="auto"/>
            <w:noWrap/>
            <w:tcMar>
              <w:left w:w="28" w:type="dxa"/>
              <w:right w:w="57" w:type="dxa"/>
            </w:tcMar>
            <w:vAlign w:val="bottom"/>
            <w:hideMark/>
          </w:tcPr>
          <w:p w14:paraId="5F3ADFC7" w14:textId="77777777" w:rsidR="0039060A" w:rsidRPr="0039060A" w:rsidRDefault="0039060A" w:rsidP="0039060A">
            <w:pPr>
              <w:spacing w:before="0" w:after="0"/>
              <w:jc w:val="right"/>
              <w:rPr>
                <w:color w:val="auto"/>
                <w:sz w:val="16"/>
                <w:szCs w:val="16"/>
              </w:rPr>
            </w:pPr>
            <w:r w:rsidRPr="0039060A">
              <w:rPr>
                <w:color w:val="auto"/>
                <w:sz w:val="16"/>
                <w:szCs w:val="16"/>
              </w:rPr>
              <w:t>7,115</w:t>
            </w:r>
          </w:p>
        </w:tc>
      </w:tr>
      <w:tr w:rsidR="0039060A" w:rsidRPr="0039060A" w14:paraId="2FD402DC"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6D131038" w14:textId="77777777" w:rsidR="0039060A" w:rsidRPr="0039060A" w:rsidRDefault="0039060A" w:rsidP="0039060A">
            <w:pPr>
              <w:spacing w:before="0" w:after="0"/>
              <w:ind w:firstLineChars="100" w:firstLine="160"/>
              <w:rPr>
                <w:b/>
                <w:bCs/>
                <w:color w:val="auto"/>
                <w:sz w:val="16"/>
                <w:szCs w:val="16"/>
              </w:rPr>
            </w:pPr>
            <w:r w:rsidRPr="0039060A">
              <w:rPr>
                <w:b/>
                <w:bCs/>
                <w:color w:val="auto"/>
                <w:sz w:val="16"/>
                <w:szCs w:val="16"/>
              </w:rPr>
              <w:t>Total for Program 1.1</w:t>
            </w:r>
          </w:p>
        </w:tc>
        <w:tc>
          <w:tcPr>
            <w:tcW w:w="91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F621BD3" w14:textId="77777777" w:rsidR="0039060A" w:rsidRPr="0039060A" w:rsidRDefault="0039060A" w:rsidP="0039060A">
            <w:pPr>
              <w:spacing w:before="0" w:after="0"/>
              <w:jc w:val="right"/>
              <w:rPr>
                <w:b/>
                <w:bCs/>
                <w:color w:val="auto"/>
                <w:sz w:val="16"/>
                <w:szCs w:val="16"/>
              </w:rPr>
            </w:pPr>
            <w:r w:rsidRPr="0039060A">
              <w:rPr>
                <w:b/>
                <w:bCs/>
                <w:color w:val="auto"/>
                <w:sz w:val="16"/>
                <w:szCs w:val="16"/>
              </w:rPr>
              <w:t>1,931,427</w:t>
            </w:r>
          </w:p>
        </w:tc>
        <w:tc>
          <w:tcPr>
            <w:tcW w:w="903"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41D21B49" w14:textId="77777777" w:rsidR="0039060A" w:rsidRPr="0039060A" w:rsidRDefault="0039060A" w:rsidP="0039060A">
            <w:pPr>
              <w:spacing w:before="0" w:after="0"/>
              <w:jc w:val="right"/>
              <w:rPr>
                <w:b/>
                <w:bCs/>
                <w:color w:val="auto"/>
                <w:sz w:val="16"/>
                <w:szCs w:val="16"/>
              </w:rPr>
            </w:pPr>
            <w:r w:rsidRPr="0039060A">
              <w:rPr>
                <w:b/>
                <w:bCs/>
                <w:color w:val="auto"/>
                <w:sz w:val="16"/>
                <w:szCs w:val="16"/>
              </w:rPr>
              <w:t>2,086,389</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46D8AC0" w14:textId="77777777" w:rsidR="0039060A" w:rsidRPr="0039060A" w:rsidRDefault="0039060A" w:rsidP="0039060A">
            <w:pPr>
              <w:spacing w:before="0" w:after="0"/>
              <w:jc w:val="right"/>
              <w:rPr>
                <w:b/>
                <w:bCs/>
                <w:color w:val="auto"/>
                <w:sz w:val="16"/>
                <w:szCs w:val="16"/>
              </w:rPr>
            </w:pPr>
            <w:r w:rsidRPr="0039060A">
              <w:rPr>
                <w:b/>
                <w:bCs/>
                <w:color w:val="auto"/>
                <w:sz w:val="16"/>
                <w:szCs w:val="16"/>
              </w:rPr>
              <w:t>1,987,016</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970A94F" w14:textId="77777777" w:rsidR="0039060A" w:rsidRPr="0039060A" w:rsidRDefault="0039060A" w:rsidP="0039060A">
            <w:pPr>
              <w:spacing w:before="0" w:after="0"/>
              <w:jc w:val="right"/>
              <w:rPr>
                <w:b/>
                <w:bCs/>
                <w:color w:val="auto"/>
                <w:sz w:val="16"/>
                <w:szCs w:val="16"/>
              </w:rPr>
            </w:pPr>
            <w:r w:rsidRPr="0039060A">
              <w:rPr>
                <w:b/>
                <w:bCs/>
                <w:color w:val="auto"/>
                <w:sz w:val="16"/>
                <w:szCs w:val="16"/>
              </w:rPr>
              <w:t>2,010,301</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21C396E" w14:textId="77777777" w:rsidR="0039060A" w:rsidRPr="0039060A" w:rsidRDefault="0039060A" w:rsidP="0039060A">
            <w:pPr>
              <w:spacing w:before="0" w:after="0"/>
              <w:jc w:val="right"/>
              <w:rPr>
                <w:b/>
                <w:bCs/>
                <w:color w:val="auto"/>
                <w:sz w:val="16"/>
                <w:szCs w:val="16"/>
              </w:rPr>
            </w:pPr>
            <w:r w:rsidRPr="0039060A">
              <w:rPr>
                <w:b/>
                <w:bCs/>
                <w:color w:val="auto"/>
                <w:sz w:val="16"/>
                <w:szCs w:val="16"/>
              </w:rPr>
              <w:t>2,095,299</w:t>
            </w:r>
          </w:p>
        </w:tc>
      </w:tr>
      <w:tr w:rsidR="0039060A" w:rsidRPr="0039060A" w14:paraId="634D90BE"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737E79DA" w14:textId="77777777" w:rsidR="0039060A" w:rsidRPr="0039060A" w:rsidRDefault="0039060A" w:rsidP="0039060A">
            <w:pPr>
              <w:spacing w:before="0" w:after="0"/>
              <w:rPr>
                <w:b/>
                <w:bCs/>
                <w:color w:val="auto"/>
                <w:sz w:val="16"/>
                <w:szCs w:val="16"/>
              </w:rPr>
            </w:pPr>
            <w:r w:rsidRPr="0039060A">
              <w:rPr>
                <w:b/>
                <w:bCs/>
                <w:color w:val="auto"/>
                <w:sz w:val="16"/>
                <w:szCs w:val="16"/>
              </w:rPr>
              <w:t xml:space="preserve">Program 1.2: Mental Health </w:t>
            </w:r>
            <w:r w:rsidRPr="0039060A">
              <w:rPr>
                <w:b/>
                <w:bCs/>
                <w:color w:val="auto"/>
                <w:sz w:val="16"/>
                <w:szCs w:val="16"/>
                <w:vertAlign w:val="superscript"/>
              </w:rPr>
              <w:t>(a)</w:t>
            </w:r>
          </w:p>
        </w:tc>
        <w:tc>
          <w:tcPr>
            <w:tcW w:w="913" w:type="dxa"/>
            <w:tcBorders>
              <w:top w:val="nil"/>
              <w:left w:val="nil"/>
              <w:bottom w:val="nil"/>
              <w:right w:val="nil"/>
            </w:tcBorders>
            <w:shd w:val="clear" w:color="auto" w:fill="auto"/>
            <w:noWrap/>
            <w:tcMar>
              <w:left w:w="28" w:type="dxa"/>
              <w:right w:w="57" w:type="dxa"/>
            </w:tcMar>
            <w:vAlign w:val="bottom"/>
            <w:hideMark/>
          </w:tcPr>
          <w:p w14:paraId="5615886B" w14:textId="77777777" w:rsidR="0039060A" w:rsidRPr="0039060A" w:rsidRDefault="0039060A" w:rsidP="0039060A">
            <w:pPr>
              <w:spacing w:before="0" w:after="0"/>
              <w:rPr>
                <w:b/>
                <w:bCs/>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131F6430"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36534DD2"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34DD3699"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25846619"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6DB1C199"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31B6A3B0"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Administered expenses</w:t>
            </w:r>
          </w:p>
        </w:tc>
        <w:tc>
          <w:tcPr>
            <w:tcW w:w="913" w:type="dxa"/>
            <w:tcBorders>
              <w:top w:val="nil"/>
              <w:left w:val="nil"/>
              <w:bottom w:val="nil"/>
              <w:right w:val="nil"/>
            </w:tcBorders>
            <w:shd w:val="clear" w:color="auto" w:fill="auto"/>
            <w:noWrap/>
            <w:tcMar>
              <w:left w:w="28" w:type="dxa"/>
              <w:right w:w="57" w:type="dxa"/>
            </w:tcMar>
            <w:vAlign w:val="bottom"/>
            <w:hideMark/>
          </w:tcPr>
          <w:p w14:paraId="46B26889"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45612231"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3A698426"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7CFF712E"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6EA5E792"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655BE849"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575D0AA2" w14:textId="77777777" w:rsidR="0039060A" w:rsidRPr="0039060A" w:rsidRDefault="0039060A" w:rsidP="0039060A">
            <w:pPr>
              <w:spacing w:before="0" w:after="0"/>
              <w:ind w:leftChars="150" w:left="270"/>
              <w:rPr>
                <w:color w:val="auto"/>
                <w:sz w:val="16"/>
                <w:szCs w:val="16"/>
              </w:rPr>
            </w:pPr>
            <w:r w:rsidRPr="0039060A">
              <w:rPr>
                <w:color w:val="auto"/>
                <w:sz w:val="16"/>
                <w:szCs w:val="16"/>
              </w:rPr>
              <w:t>Ordinary annual services</w:t>
            </w:r>
            <w:r w:rsidRPr="0039060A">
              <w:rPr>
                <w:color w:val="auto"/>
                <w:sz w:val="14"/>
                <w:szCs w:val="14"/>
                <w:vertAlign w:val="superscript"/>
              </w:rPr>
              <w:t xml:space="preserve"> </w:t>
            </w:r>
            <w:r w:rsidRPr="0039060A">
              <w:rPr>
                <w:color w:val="auto"/>
                <w:sz w:val="16"/>
                <w:szCs w:val="16"/>
                <w:vertAlign w:val="superscript"/>
              </w:rPr>
              <w:t>(b)</w:t>
            </w:r>
          </w:p>
        </w:tc>
        <w:tc>
          <w:tcPr>
            <w:tcW w:w="913" w:type="dxa"/>
            <w:tcBorders>
              <w:top w:val="nil"/>
              <w:left w:val="nil"/>
              <w:bottom w:val="nil"/>
              <w:right w:val="nil"/>
            </w:tcBorders>
            <w:shd w:val="clear" w:color="auto" w:fill="auto"/>
            <w:noWrap/>
            <w:tcMar>
              <w:left w:w="28" w:type="dxa"/>
              <w:right w:w="57" w:type="dxa"/>
            </w:tcMar>
            <w:vAlign w:val="bottom"/>
            <w:hideMark/>
          </w:tcPr>
          <w:p w14:paraId="276DD307" w14:textId="77777777" w:rsidR="0039060A" w:rsidRPr="0039060A" w:rsidRDefault="0039060A" w:rsidP="0039060A">
            <w:pPr>
              <w:spacing w:before="0" w:after="0"/>
              <w:jc w:val="right"/>
              <w:rPr>
                <w:color w:val="auto"/>
                <w:sz w:val="16"/>
                <w:szCs w:val="16"/>
              </w:rPr>
            </w:pPr>
            <w:r w:rsidRPr="0039060A">
              <w:rPr>
                <w:color w:val="auto"/>
                <w:sz w:val="16"/>
                <w:szCs w:val="16"/>
              </w:rPr>
              <w:t>1,228,274</w:t>
            </w:r>
          </w:p>
        </w:tc>
        <w:tc>
          <w:tcPr>
            <w:tcW w:w="903" w:type="dxa"/>
            <w:tcBorders>
              <w:top w:val="nil"/>
              <w:left w:val="nil"/>
              <w:bottom w:val="nil"/>
              <w:right w:val="nil"/>
            </w:tcBorders>
            <w:shd w:val="clear" w:color="000000" w:fill="D9D9D9"/>
            <w:noWrap/>
            <w:tcMar>
              <w:left w:w="28" w:type="dxa"/>
              <w:right w:w="57" w:type="dxa"/>
            </w:tcMar>
            <w:vAlign w:val="bottom"/>
            <w:hideMark/>
          </w:tcPr>
          <w:p w14:paraId="3B4575C8" w14:textId="77777777" w:rsidR="0039060A" w:rsidRPr="0039060A" w:rsidRDefault="0039060A" w:rsidP="0039060A">
            <w:pPr>
              <w:spacing w:before="0" w:after="0"/>
              <w:jc w:val="right"/>
              <w:rPr>
                <w:color w:val="auto"/>
                <w:sz w:val="16"/>
                <w:szCs w:val="16"/>
              </w:rPr>
            </w:pPr>
            <w:r w:rsidRPr="0039060A">
              <w:rPr>
                <w:color w:val="auto"/>
                <w:sz w:val="16"/>
                <w:szCs w:val="16"/>
              </w:rPr>
              <w:t>1,489,893</w:t>
            </w:r>
          </w:p>
        </w:tc>
        <w:tc>
          <w:tcPr>
            <w:tcW w:w="903" w:type="dxa"/>
            <w:tcBorders>
              <w:top w:val="nil"/>
              <w:left w:val="nil"/>
              <w:bottom w:val="nil"/>
              <w:right w:val="nil"/>
            </w:tcBorders>
            <w:shd w:val="clear" w:color="auto" w:fill="auto"/>
            <w:noWrap/>
            <w:tcMar>
              <w:left w:w="28" w:type="dxa"/>
              <w:right w:w="57" w:type="dxa"/>
            </w:tcMar>
            <w:vAlign w:val="bottom"/>
            <w:hideMark/>
          </w:tcPr>
          <w:p w14:paraId="72C44302" w14:textId="77777777" w:rsidR="0039060A" w:rsidRPr="0039060A" w:rsidRDefault="0039060A" w:rsidP="0039060A">
            <w:pPr>
              <w:spacing w:before="0" w:after="0"/>
              <w:jc w:val="right"/>
              <w:rPr>
                <w:color w:val="auto"/>
                <w:sz w:val="16"/>
                <w:szCs w:val="16"/>
              </w:rPr>
            </w:pPr>
            <w:r w:rsidRPr="0039060A">
              <w:rPr>
                <w:color w:val="auto"/>
                <w:sz w:val="16"/>
                <w:szCs w:val="16"/>
              </w:rPr>
              <w:t>1,368,681</w:t>
            </w:r>
          </w:p>
        </w:tc>
        <w:tc>
          <w:tcPr>
            <w:tcW w:w="903" w:type="dxa"/>
            <w:tcBorders>
              <w:top w:val="nil"/>
              <w:left w:val="nil"/>
              <w:bottom w:val="nil"/>
              <w:right w:val="nil"/>
            </w:tcBorders>
            <w:shd w:val="clear" w:color="auto" w:fill="auto"/>
            <w:noWrap/>
            <w:tcMar>
              <w:left w:w="28" w:type="dxa"/>
              <w:right w:w="57" w:type="dxa"/>
            </w:tcMar>
            <w:vAlign w:val="bottom"/>
            <w:hideMark/>
          </w:tcPr>
          <w:p w14:paraId="6E4B9D42" w14:textId="77777777" w:rsidR="0039060A" w:rsidRPr="0039060A" w:rsidRDefault="0039060A" w:rsidP="0039060A">
            <w:pPr>
              <w:spacing w:before="0" w:after="0"/>
              <w:jc w:val="right"/>
              <w:rPr>
                <w:color w:val="auto"/>
                <w:sz w:val="16"/>
                <w:szCs w:val="16"/>
              </w:rPr>
            </w:pPr>
            <w:r w:rsidRPr="0039060A">
              <w:rPr>
                <w:color w:val="auto"/>
                <w:sz w:val="16"/>
                <w:szCs w:val="16"/>
              </w:rPr>
              <w:t>1,410,423</w:t>
            </w:r>
          </w:p>
        </w:tc>
        <w:tc>
          <w:tcPr>
            <w:tcW w:w="903" w:type="dxa"/>
            <w:tcBorders>
              <w:top w:val="nil"/>
              <w:left w:val="nil"/>
              <w:bottom w:val="nil"/>
              <w:right w:val="nil"/>
            </w:tcBorders>
            <w:shd w:val="clear" w:color="auto" w:fill="auto"/>
            <w:noWrap/>
            <w:tcMar>
              <w:left w:w="28" w:type="dxa"/>
              <w:right w:w="57" w:type="dxa"/>
            </w:tcMar>
            <w:vAlign w:val="bottom"/>
            <w:hideMark/>
          </w:tcPr>
          <w:p w14:paraId="65DCDECA" w14:textId="77777777" w:rsidR="0039060A" w:rsidRPr="0039060A" w:rsidRDefault="0039060A" w:rsidP="0039060A">
            <w:pPr>
              <w:spacing w:before="0" w:after="0"/>
              <w:jc w:val="right"/>
              <w:rPr>
                <w:color w:val="auto"/>
                <w:sz w:val="16"/>
                <w:szCs w:val="16"/>
              </w:rPr>
            </w:pPr>
            <w:r w:rsidRPr="0039060A">
              <w:rPr>
                <w:color w:val="auto"/>
                <w:sz w:val="16"/>
                <w:szCs w:val="16"/>
              </w:rPr>
              <w:t>1,280,359</w:t>
            </w:r>
          </w:p>
        </w:tc>
      </w:tr>
      <w:tr w:rsidR="0039060A" w:rsidRPr="0039060A" w14:paraId="727C122B"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11EB30DC"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Departmental expenses</w:t>
            </w:r>
          </w:p>
        </w:tc>
        <w:tc>
          <w:tcPr>
            <w:tcW w:w="913" w:type="dxa"/>
            <w:tcBorders>
              <w:top w:val="nil"/>
              <w:left w:val="nil"/>
              <w:bottom w:val="nil"/>
              <w:right w:val="nil"/>
            </w:tcBorders>
            <w:shd w:val="clear" w:color="auto" w:fill="auto"/>
            <w:noWrap/>
            <w:tcMar>
              <w:left w:w="28" w:type="dxa"/>
              <w:right w:w="57" w:type="dxa"/>
            </w:tcMar>
            <w:vAlign w:val="bottom"/>
            <w:hideMark/>
          </w:tcPr>
          <w:p w14:paraId="06BE1076"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448A3C9C"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0643F9ED"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78D7B6FC"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0693E31A"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14DD9376"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1CD1DE87" w14:textId="77777777" w:rsidR="0039060A" w:rsidRPr="0039060A" w:rsidRDefault="0039060A" w:rsidP="0039060A">
            <w:pPr>
              <w:spacing w:before="0" w:after="0"/>
              <w:ind w:leftChars="150" w:left="270"/>
              <w:rPr>
                <w:color w:val="auto"/>
                <w:sz w:val="16"/>
                <w:szCs w:val="16"/>
              </w:rPr>
            </w:pPr>
            <w:r w:rsidRPr="0039060A">
              <w:rPr>
                <w:color w:val="auto"/>
                <w:sz w:val="16"/>
                <w:szCs w:val="16"/>
              </w:rPr>
              <w:t>Departmental appropriation</w:t>
            </w:r>
            <w:r w:rsidRPr="0039060A">
              <w:rPr>
                <w:color w:val="auto"/>
                <w:sz w:val="16"/>
                <w:szCs w:val="16"/>
                <w:vertAlign w:val="superscript"/>
              </w:rPr>
              <w:t xml:space="preserve"> (c)</w:t>
            </w:r>
          </w:p>
        </w:tc>
        <w:tc>
          <w:tcPr>
            <w:tcW w:w="913" w:type="dxa"/>
            <w:tcBorders>
              <w:top w:val="nil"/>
              <w:left w:val="nil"/>
              <w:bottom w:val="nil"/>
              <w:right w:val="nil"/>
            </w:tcBorders>
            <w:shd w:val="clear" w:color="auto" w:fill="auto"/>
            <w:noWrap/>
            <w:tcMar>
              <w:left w:w="28" w:type="dxa"/>
              <w:right w:w="57" w:type="dxa"/>
            </w:tcMar>
            <w:vAlign w:val="bottom"/>
            <w:hideMark/>
          </w:tcPr>
          <w:p w14:paraId="3A52B1E4" w14:textId="77777777" w:rsidR="0039060A" w:rsidRPr="0039060A" w:rsidRDefault="0039060A" w:rsidP="0039060A">
            <w:pPr>
              <w:spacing w:before="0" w:after="0"/>
              <w:jc w:val="right"/>
              <w:rPr>
                <w:color w:val="auto"/>
                <w:sz w:val="16"/>
                <w:szCs w:val="16"/>
              </w:rPr>
            </w:pPr>
            <w:r w:rsidRPr="0039060A">
              <w:rPr>
                <w:color w:val="auto"/>
                <w:sz w:val="16"/>
                <w:szCs w:val="16"/>
              </w:rPr>
              <w:t>42,057</w:t>
            </w:r>
          </w:p>
        </w:tc>
        <w:tc>
          <w:tcPr>
            <w:tcW w:w="903" w:type="dxa"/>
            <w:tcBorders>
              <w:top w:val="nil"/>
              <w:left w:val="nil"/>
              <w:bottom w:val="nil"/>
              <w:right w:val="nil"/>
            </w:tcBorders>
            <w:shd w:val="clear" w:color="000000" w:fill="D9D9D9"/>
            <w:noWrap/>
            <w:tcMar>
              <w:left w:w="28" w:type="dxa"/>
              <w:right w:w="57" w:type="dxa"/>
            </w:tcMar>
            <w:vAlign w:val="bottom"/>
            <w:hideMark/>
          </w:tcPr>
          <w:p w14:paraId="117F514C" w14:textId="77777777" w:rsidR="0039060A" w:rsidRPr="0039060A" w:rsidRDefault="0039060A" w:rsidP="0039060A">
            <w:pPr>
              <w:spacing w:before="0" w:after="0"/>
              <w:jc w:val="right"/>
              <w:rPr>
                <w:color w:val="auto"/>
                <w:sz w:val="16"/>
                <w:szCs w:val="16"/>
              </w:rPr>
            </w:pPr>
            <w:r w:rsidRPr="0039060A">
              <w:rPr>
                <w:color w:val="auto"/>
                <w:sz w:val="16"/>
                <w:szCs w:val="16"/>
              </w:rPr>
              <w:t>39,983</w:t>
            </w:r>
          </w:p>
        </w:tc>
        <w:tc>
          <w:tcPr>
            <w:tcW w:w="903" w:type="dxa"/>
            <w:tcBorders>
              <w:top w:val="nil"/>
              <w:left w:val="nil"/>
              <w:bottom w:val="nil"/>
              <w:right w:val="nil"/>
            </w:tcBorders>
            <w:shd w:val="clear" w:color="auto" w:fill="auto"/>
            <w:noWrap/>
            <w:tcMar>
              <w:left w:w="28" w:type="dxa"/>
              <w:right w:w="57" w:type="dxa"/>
            </w:tcMar>
            <w:vAlign w:val="bottom"/>
            <w:hideMark/>
          </w:tcPr>
          <w:p w14:paraId="5C5E7F70" w14:textId="77777777" w:rsidR="0039060A" w:rsidRPr="0039060A" w:rsidRDefault="0039060A" w:rsidP="0039060A">
            <w:pPr>
              <w:spacing w:before="0" w:after="0"/>
              <w:jc w:val="right"/>
              <w:rPr>
                <w:color w:val="auto"/>
                <w:sz w:val="16"/>
                <w:szCs w:val="16"/>
              </w:rPr>
            </w:pPr>
            <w:r w:rsidRPr="0039060A">
              <w:rPr>
                <w:color w:val="auto"/>
                <w:sz w:val="16"/>
                <w:szCs w:val="16"/>
              </w:rPr>
              <w:t>34,254</w:t>
            </w:r>
          </w:p>
        </w:tc>
        <w:tc>
          <w:tcPr>
            <w:tcW w:w="903" w:type="dxa"/>
            <w:tcBorders>
              <w:top w:val="nil"/>
              <w:left w:val="nil"/>
              <w:bottom w:val="nil"/>
              <w:right w:val="nil"/>
            </w:tcBorders>
            <w:shd w:val="clear" w:color="auto" w:fill="auto"/>
            <w:noWrap/>
            <w:tcMar>
              <w:left w:w="28" w:type="dxa"/>
              <w:right w:w="57" w:type="dxa"/>
            </w:tcMar>
            <w:vAlign w:val="bottom"/>
            <w:hideMark/>
          </w:tcPr>
          <w:p w14:paraId="304BD9AF" w14:textId="77777777" w:rsidR="0039060A" w:rsidRPr="0039060A" w:rsidRDefault="0039060A" w:rsidP="0039060A">
            <w:pPr>
              <w:spacing w:before="0" w:after="0"/>
              <w:jc w:val="right"/>
              <w:rPr>
                <w:color w:val="auto"/>
                <w:sz w:val="16"/>
                <w:szCs w:val="16"/>
              </w:rPr>
            </w:pPr>
            <w:r w:rsidRPr="0039060A">
              <w:rPr>
                <w:color w:val="auto"/>
                <w:sz w:val="16"/>
                <w:szCs w:val="16"/>
              </w:rPr>
              <w:t>33,128</w:t>
            </w:r>
          </w:p>
        </w:tc>
        <w:tc>
          <w:tcPr>
            <w:tcW w:w="903" w:type="dxa"/>
            <w:tcBorders>
              <w:top w:val="nil"/>
              <w:left w:val="nil"/>
              <w:bottom w:val="nil"/>
              <w:right w:val="nil"/>
            </w:tcBorders>
            <w:shd w:val="clear" w:color="auto" w:fill="auto"/>
            <w:noWrap/>
            <w:tcMar>
              <w:left w:w="28" w:type="dxa"/>
              <w:right w:w="57" w:type="dxa"/>
            </w:tcMar>
            <w:vAlign w:val="bottom"/>
            <w:hideMark/>
          </w:tcPr>
          <w:p w14:paraId="68EADAED" w14:textId="77777777" w:rsidR="0039060A" w:rsidRPr="0039060A" w:rsidRDefault="0039060A" w:rsidP="0039060A">
            <w:pPr>
              <w:spacing w:before="0" w:after="0"/>
              <w:jc w:val="right"/>
              <w:rPr>
                <w:color w:val="auto"/>
                <w:sz w:val="16"/>
                <w:szCs w:val="16"/>
              </w:rPr>
            </w:pPr>
            <w:r w:rsidRPr="0039060A">
              <w:rPr>
                <w:color w:val="auto"/>
                <w:sz w:val="16"/>
                <w:szCs w:val="16"/>
              </w:rPr>
              <w:t>31,280</w:t>
            </w:r>
          </w:p>
        </w:tc>
      </w:tr>
      <w:tr w:rsidR="0039060A" w:rsidRPr="0039060A" w14:paraId="1F6BAB6D" w14:textId="77777777" w:rsidTr="00EE7F7A">
        <w:trPr>
          <w:trHeight w:val="624"/>
          <w:jc w:val="center"/>
        </w:trPr>
        <w:tc>
          <w:tcPr>
            <w:tcW w:w="2795" w:type="dxa"/>
            <w:tcBorders>
              <w:top w:val="nil"/>
              <w:left w:val="nil"/>
              <w:bottom w:val="nil"/>
              <w:right w:val="nil"/>
            </w:tcBorders>
            <w:shd w:val="clear" w:color="auto" w:fill="auto"/>
            <w:vAlign w:val="bottom"/>
            <w:hideMark/>
          </w:tcPr>
          <w:p w14:paraId="136ED5C9" w14:textId="5D5A7435" w:rsidR="0039060A" w:rsidRPr="0039060A" w:rsidRDefault="0039060A" w:rsidP="0039060A">
            <w:pPr>
              <w:spacing w:before="0" w:after="0"/>
              <w:ind w:leftChars="150" w:left="270"/>
              <w:rPr>
                <w:color w:val="auto"/>
                <w:sz w:val="16"/>
                <w:szCs w:val="16"/>
              </w:rPr>
            </w:pPr>
            <w:r w:rsidRPr="0039060A">
              <w:rPr>
                <w:color w:val="auto"/>
                <w:sz w:val="16"/>
                <w:szCs w:val="16"/>
              </w:rPr>
              <w:t>Expenses not requiring a</w:t>
            </w:r>
            <w:r w:rsidR="00EE7F7A">
              <w:rPr>
                <w:color w:val="auto"/>
                <w:sz w:val="16"/>
                <w:szCs w:val="16"/>
              </w:rPr>
              <w:t>ppropriation in the Budget year </w:t>
            </w:r>
            <w:r w:rsidRPr="0039060A">
              <w:rPr>
                <w:color w:val="auto"/>
                <w:sz w:val="16"/>
                <w:szCs w:val="16"/>
                <w:vertAlign w:val="superscript"/>
              </w:rPr>
              <w:t>(d)</w:t>
            </w:r>
          </w:p>
        </w:tc>
        <w:tc>
          <w:tcPr>
            <w:tcW w:w="913" w:type="dxa"/>
            <w:tcBorders>
              <w:top w:val="nil"/>
              <w:left w:val="nil"/>
              <w:bottom w:val="nil"/>
              <w:right w:val="nil"/>
            </w:tcBorders>
            <w:shd w:val="clear" w:color="auto" w:fill="auto"/>
            <w:noWrap/>
            <w:tcMar>
              <w:left w:w="28" w:type="dxa"/>
              <w:right w:w="57" w:type="dxa"/>
            </w:tcMar>
            <w:vAlign w:val="bottom"/>
            <w:hideMark/>
          </w:tcPr>
          <w:p w14:paraId="1E0C312D" w14:textId="77777777" w:rsidR="0039060A" w:rsidRPr="0039060A" w:rsidRDefault="0039060A" w:rsidP="0039060A">
            <w:pPr>
              <w:spacing w:before="0" w:after="0"/>
              <w:jc w:val="right"/>
              <w:rPr>
                <w:color w:val="auto"/>
                <w:sz w:val="16"/>
                <w:szCs w:val="16"/>
              </w:rPr>
            </w:pPr>
            <w:r w:rsidRPr="0039060A">
              <w:rPr>
                <w:color w:val="auto"/>
                <w:sz w:val="16"/>
                <w:szCs w:val="16"/>
              </w:rPr>
              <w:t>3,168</w:t>
            </w:r>
          </w:p>
        </w:tc>
        <w:tc>
          <w:tcPr>
            <w:tcW w:w="903" w:type="dxa"/>
            <w:tcBorders>
              <w:top w:val="nil"/>
              <w:left w:val="nil"/>
              <w:bottom w:val="nil"/>
              <w:right w:val="nil"/>
            </w:tcBorders>
            <w:shd w:val="clear" w:color="000000" w:fill="D9D9D9"/>
            <w:noWrap/>
            <w:tcMar>
              <w:left w:w="28" w:type="dxa"/>
              <w:right w:w="57" w:type="dxa"/>
            </w:tcMar>
            <w:vAlign w:val="bottom"/>
            <w:hideMark/>
          </w:tcPr>
          <w:p w14:paraId="54C744D1" w14:textId="77777777" w:rsidR="0039060A" w:rsidRPr="0039060A" w:rsidRDefault="0039060A" w:rsidP="0039060A">
            <w:pPr>
              <w:spacing w:before="0" w:after="0"/>
              <w:jc w:val="right"/>
              <w:rPr>
                <w:color w:val="auto"/>
                <w:sz w:val="16"/>
                <w:szCs w:val="16"/>
              </w:rPr>
            </w:pPr>
            <w:r w:rsidRPr="0039060A">
              <w:rPr>
                <w:color w:val="auto"/>
                <w:sz w:val="16"/>
                <w:szCs w:val="16"/>
              </w:rPr>
              <w:t>4,744</w:t>
            </w:r>
          </w:p>
        </w:tc>
        <w:tc>
          <w:tcPr>
            <w:tcW w:w="903" w:type="dxa"/>
            <w:tcBorders>
              <w:top w:val="nil"/>
              <w:left w:val="nil"/>
              <w:bottom w:val="nil"/>
              <w:right w:val="nil"/>
            </w:tcBorders>
            <w:shd w:val="clear" w:color="auto" w:fill="auto"/>
            <w:noWrap/>
            <w:tcMar>
              <w:left w:w="28" w:type="dxa"/>
              <w:right w:w="57" w:type="dxa"/>
            </w:tcMar>
            <w:vAlign w:val="bottom"/>
            <w:hideMark/>
          </w:tcPr>
          <w:p w14:paraId="7BA7EBFA" w14:textId="77777777" w:rsidR="0039060A" w:rsidRPr="0039060A" w:rsidRDefault="0039060A" w:rsidP="0039060A">
            <w:pPr>
              <w:spacing w:before="0" w:after="0"/>
              <w:jc w:val="right"/>
              <w:rPr>
                <w:color w:val="auto"/>
                <w:sz w:val="16"/>
                <w:szCs w:val="16"/>
              </w:rPr>
            </w:pPr>
            <w:r w:rsidRPr="0039060A">
              <w:rPr>
                <w:color w:val="auto"/>
                <w:sz w:val="16"/>
                <w:szCs w:val="16"/>
              </w:rPr>
              <w:t>4,346</w:t>
            </w:r>
          </w:p>
        </w:tc>
        <w:tc>
          <w:tcPr>
            <w:tcW w:w="903" w:type="dxa"/>
            <w:tcBorders>
              <w:top w:val="nil"/>
              <w:left w:val="nil"/>
              <w:bottom w:val="nil"/>
              <w:right w:val="nil"/>
            </w:tcBorders>
            <w:shd w:val="clear" w:color="auto" w:fill="auto"/>
            <w:noWrap/>
            <w:tcMar>
              <w:left w:w="28" w:type="dxa"/>
              <w:right w:w="57" w:type="dxa"/>
            </w:tcMar>
            <w:vAlign w:val="bottom"/>
            <w:hideMark/>
          </w:tcPr>
          <w:p w14:paraId="7414BECB" w14:textId="77777777" w:rsidR="0039060A" w:rsidRPr="0039060A" w:rsidRDefault="0039060A" w:rsidP="0039060A">
            <w:pPr>
              <w:spacing w:before="0" w:after="0"/>
              <w:jc w:val="right"/>
              <w:rPr>
                <w:color w:val="auto"/>
                <w:sz w:val="16"/>
                <w:szCs w:val="16"/>
              </w:rPr>
            </w:pPr>
            <w:r w:rsidRPr="0039060A">
              <w:rPr>
                <w:color w:val="auto"/>
                <w:sz w:val="16"/>
                <w:szCs w:val="16"/>
              </w:rPr>
              <w:t>4,107</w:t>
            </w:r>
          </w:p>
        </w:tc>
        <w:tc>
          <w:tcPr>
            <w:tcW w:w="903" w:type="dxa"/>
            <w:tcBorders>
              <w:top w:val="nil"/>
              <w:left w:val="nil"/>
              <w:bottom w:val="nil"/>
              <w:right w:val="nil"/>
            </w:tcBorders>
            <w:shd w:val="clear" w:color="auto" w:fill="auto"/>
            <w:noWrap/>
            <w:tcMar>
              <w:left w:w="28" w:type="dxa"/>
              <w:right w:w="57" w:type="dxa"/>
            </w:tcMar>
            <w:vAlign w:val="bottom"/>
            <w:hideMark/>
          </w:tcPr>
          <w:p w14:paraId="5AE85E04" w14:textId="77777777" w:rsidR="0039060A" w:rsidRPr="0039060A" w:rsidRDefault="0039060A" w:rsidP="0039060A">
            <w:pPr>
              <w:spacing w:before="0" w:after="0"/>
              <w:jc w:val="right"/>
              <w:rPr>
                <w:color w:val="auto"/>
                <w:sz w:val="16"/>
                <w:szCs w:val="16"/>
              </w:rPr>
            </w:pPr>
            <w:r w:rsidRPr="0039060A">
              <w:rPr>
                <w:color w:val="auto"/>
                <w:sz w:val="16"/>
                <w:szCs w:val="16"/>
              </w:rPr>
              <w:t>3,636</w:t>
            </w:r>
          </w:p>
        </w:tc>
      </w:tr>
      <w:tr w:rsidR="0039060A" w:rsidRPr="0039060A" w14:paraId="222D1A0B"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009C44A0" w14:textId="77777777" w:rsidR="0039060A" w:rsidRPr="0039060A" w:rsidRDefault="0039060A" w:rsidP="0039060A">
            <w:pPr>
              <w:spacing w:before="0" w:after="0"/>
              <w:ind w:firstLineChars="100" w:firstLine="160"/>
              <w:rPr>
                <w:b/>
                <w:bCs/>
                <w:color w:val="auto"/>
                <w:sz w:val="16"/>
                <w:szCs w:val="16"/>
              </w:rPr>
            </w:pPr>
            <w:r w:rsidRPr="0039060A">
              <w:rPr>
                <w:b/>
                <w:bCs/>
                <w:color w:val="auto"/>
                <w:sz w:val="16"/>
                <w:szCs w:val="16"/>
              </w:rPr>
              <w:t>Total for Program 1.2</w:t>
            </w:r>
          </w:p>
        </w:tc>
        <w:tc>
          <w:tcPr>
            <w:tcW w:w="91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601614E" w14:textId="77777777" w:rsidR="0039060A" w:rsidRPr="0039060A" w:rsidRDefault="0039060A" w:rsidP="0039060A">
            <w:pPr>
              <w:spacing w:before="0" w:after="0"/>
              <w:jc w:val="right"/>
              <w:rPr>
                <w:b/>
                <w:bCs/>
                <w:color w:val="auto"/>
                <w:sz w:val="16"/>
                <w:szCs w:val="16"/>
              </w:rPr>
            </w:pPr>
            <w:r w:rsidRPr="0039060A">
              <w:rPr>
                <w:b/>
                <w:bCs/>
                <w:color w:val="auto"/>
                <w:sz w:val="16"/>
                <w:szCs w:val="16"/>
              </w:rPr>
              <w:t>1,273,499</w:t>
            </w:r>
          </w:p>
        </w:tc>
        <w:tc>
          <w:tcPr>
            <w:tcW w:w="903"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7DFEA322" w14:textId="77777777" w:rsidR="0039060A" w:rsidRPr="0039060A" w:rsidRDefault="0039060A" w:rsidP="0039060A">
            <w:pPr>
              <w:spacing w:before="0" w:after="0"/>
              <w:jc w:val="right"/>
              <w:rPr>
                <w:b/>
                <w:bCs/>
                <w:color w:val="auto"/>
                <w:sz w:val="16"/>
                <w:szCs w:val="16"/>
              </w:rPr>
            </w:pPr>
            <w:r w:rsidRPr="0039060A">
              <w:rPr>
                <w:b/>
                <w:bCs/>
                <w:color w:val="auto"/>
                <w:sz w:val="16"/>
                <w:szCs w:val="16"/>
              </w:rPr>
              <w:t>1,534,620</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CC544B9" w14:textId="77777777" w:rsidR="0039060A" w:rsidRPr="0039060A" w:rsidRDefault="0039060A" w:rsidP="0039060A">
            <w:pPr>
              <w:spacing w:before="0" w:after="0"/>
              <w:jc w:val="right"/>
              <w:rPr>
                <w:b/>
                <w:bCs/>
                <w:color w:val="auto"/>
                <w:sz w:val="16"/>
                <w:szCs w:val="16"/>
              </w:rPr>
            </w:pPr>
            <w:r w:rsidRPr="0039060A">
              <w:rPr>
                <w:b/>
                <w:bCs/>
                <w:color w:val="auto"/>
                <w:sz w:val="16"/>
                <w:szCs w:val="16"/>
              </w:rPr>
              <w:t>1,407,281</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6EA410E" w14:textId="77777777" w:rsidR="0039060A" w:rsidRPr="0039060A" w:rsidRDefault="0039060A" w:rsidP="0039060A">
            <w:pPr>
              <w:spacing w:before="0" w:after="0"/>
              <w:jc w:val="right"/>
              <w:rPr>
                <w:b/>
                <w:bCs/>
                <w:color w:val="auto"/>
                <w:sz w:val="16"/>
                <w:szCs w:val="16"/>
              </w:rPr>
            </w:pPr>
            <w:r w:rsidRPr="0039060A">
              <w:rPr>
                <w:b/>
                <w:bCs/>
                <w:color w:val="auto"/>
                <w:sz w:val="16"/>
                <w:szCs w:val="16"/>
              </w:rPr>
              <w:t>1,447,658</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3CE7362" w14:textId="77777777" w:rsidR="0039060A" w:rsidRPr="0039060A" w:rsidRDefault="0039060A" w:rsidP="0039060A">
            <w:pPr>
              <w:spacing w:before="0" w:after="0"/>
              <w:jc w:val="right"/>
              <w:rPr>
                <w:b/>
                <w:bCs/>
                <w:color w:val="auto"/>
                <w:sz w:val="16"/>
                <w:szCs w:val="16"/>
              </w:rPr>
            </w:pPr>
            <w:r w:rsidRPr="0039060A">
              <w:rPr>
                <w:b/>
                <w:bCs/>
                <w:color w:val="auto"/>
                <w:sz w:val="16"/>
                <w:szCs w:val="16"/>
              </w:rPr>
              <w:t>1,315,275</w:t>
            </w:r>
          </w:p>
        </w:tc>
      </w:tr>
      <w:tr w:rsidR="0039060A" w:rsidRPr="0039060A" w14:paraId="552DAC0F" w14:textId="77777777" w:rsidTr="00EE7F7A">
        <w:trPr>
          <w:trHeight w:val="300"/>
          <w:jc w:val="center"/>
        </w:trPr>
        <w:tc>
          <w:tcPr>
            <w:tcW w:w="5514" w:type="dxa"/>
            <w:gridSpan w:val="4"/>
            <w:tcBorders>
              <w:top w:val="nil"/>
              <w:left w:val="nil"/>
              <w:bottom w:val="nil"/>
              <w:right w:val="nil"/>
            </w:tcBorders>
            <w:shd w:val="clear" w:color="auto" w:fill="auto"/>
            <w:noWrap/>
            <w:tcMar>
              <w:left w:w="28" w:type="dxa"/>
              <w:right w:w="57" w:type="dxa"/>
            </w:tcMar>
            <w:vAlign w:val="bottom"/>
            <w:hideMark/>
          </w:tcPr>
          <w:p w14:paraId="374CEE9D" w14:textId="77777777" w:rsidR="0039060A" w:rsidRPr="0039060A" w:rsidRDefault="0039060A" w:rsidP="0039060A">
            <w:pPr>
              <w:spacing w:before="0" w:after="0"/>
              <w:rPr>
                <w:b/>
                <w:bCs/>
                <w:color w:val="auto"/>
                <w:sz w:val="16"/>
                <w:szCs w:val="16"/>
              </w:rPr>
            </w:pPr>
            <w:r w:rsidRPr="0039060A">
              <w:rPr>
                <w:b/>
                <w:bCs/>
                <w:color w:val="auto"/>
                <w:sz w:val="16"/>
                <w:szCs w:val="16"/>
              </w:rPr>
              <w:t>Program 1.3: Aboriginal and Torres Strait Islander Health</w:t>
            </w:r>
            <w:r w:rsidRPr="0039060A">
              <w:rPr>
                <w:b/>
                <w:bCs/>
                <w:color w:val="auto"/>
                <w:sz w:val="14"/>
                <w:szCs w:val="14"/>
                <w:vertAlign w:val="superscript"/>
              </w:rPr>
              <w:t xml:space="preserve"> </w:t>
            </w:r>
            <w:r w:rsidRPr="0039060A">
              <w:rPr>
                <w:b/>
                <w:bCs/>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1D6AD5FA" w14:textId="77777777" w:rsidR="0039060A" w:rsidRPr="0039060A" w:rsidRDefault="0039060A" w:rsidP="0039060A">
            <w:pPr>
              <w:spacing w:before="0" w:after="0"/>
              <w:rPr>
                <w:b/>
                <w:bCs/>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269FA29A"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1030AA59"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542EAB8B"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Administered expenses</w:t>
            </w:r>
          </w:p>
        </w:tc>
        <w:tc>
          <w:tcPr>
            <w:tcW w:w="913" w:type="dxa"/>
            <w:tcBorders>
              <w:top w:val="nil"/>
              <w:left w:val="nil"/>
              <w:bottom w:val="nil"/>
              <w:right w:val="nil"/>
            </w:tcBorders>
            <w:shd w:val="clear" w:color="auto" w:fill="auto"/>
            <w:noWrap/>
            <w:tcMar>
              <w:left w:w="28" w:type="dxa"/>
              <w:right w:w="57" w:type="dxa"/>
            </w:tcMar>
            <w:vAlign w:val="bottom"/>
            <w:hideMark/>
          </w:tcPr>
          <w:p w14:paraId="1D77C326"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16863F81"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373F0245"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0746D2B5"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430E21BA"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06DDCA67"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3603E0A4" w14:textId="77777777" w:rsidR="0039060A" w:rsidRPr="0039060A" w:rsidRDefault="0039060A" w:rsidP="0039060A">
            <w:pPr>
              <w:spacing w:before="0" w:after="0"/>
              <w:ind w:leftChars="150" w:left="270"/>
              <w:rPr>
                <w:color w:val="auto"/>
                <w:sz w:val="16"/>
                <w:szCs w:val="16"/>
              </w:rPr>
            </w:pPr>
            <w:r w:rsidRPr="0039060A">
              <w:rPr>
                <w:color w:val="auto"/>
                <w:sz w:val="16"/>
                <w:szCs w:val="16"/>
              </w:rPr>
              <w:t>Ordinary annual services</w:t>
            </w:r>
            <w:r w:rsidRPr="0039060A">
              <w:rPr>
                <w:color w:val="auto"/>
                <w:sz w:val="16"/>
                <w:szCs w:val="16"/>
                <w:vertAlign w:val="superscript"/>
              </w:rPr>
              <w:t xml:space="preserve"> (b)</w:t>
            </w:r>
          </w:p>
        </w:tc>
        <w:tc>
          <w:tcPr>
            <w:tcW w:w="913" w:type="dxa"/>
            <w:tcBorders>
              <w:top w:val="nil"/>
              <w:left w:val="nil"/>
              <w:bottom w:val="nil"/>
              <w:right w:val="nil"/>
            </w:tcBorders>
            <w:shd w:val="clear" w:color="auto" w:fill="auto"/>
            <w:noWrap/>
            <w:tcMar>
              <w:left w:w="28" w:type="dxa"/>
              <w:right w:w="57" w:type="dxa"/>
            </w:tcMar>
            <w:vAlign w:val="bottom"/>
            <w:hideMark/>
          </w:tcPr>
          <w:p w14:paraId="4DCDB1EB" w14:textId="77777777" w:rsidR="0039060A" w:rsidRPr="0039060A" w:rsidRDefault="0039060A" w:rsidP="0039060A">
            <w:pPr>
              <w:spacing w:before="0" w:after="0"/>
              <w:jc w:val="right"/>
              <w:rPr>
                <w:color w:val="auto"/>
                <w:sz w:val="16"/>
                <w:szCs w:val="16"/>
              </w:rPr>
            </w:pPr>
            <w:r w:rsidRPr="0039060A">
              <w:rPr>
                <w:color w:val="auto"/>
                <w:sz w:val="16"/>
                <w:szCs w:val="16"/>
              </w:rPr>
              <w:t>975,616</w:t>
            </w:r>
          </w:p>
        </w:tc>
        <w:tc>
          <w:tcPr>
            <w:tcW w:w="903" w:type="dxa"/>
            <w:tcBorders>
              <w:top w:val="nil"/>
              <w:left w:val="nil"/>
              <w:bottom w:val="nil"/>
              <w:right w:val="nil"/>
            </w:tcBorders>
            <w:shd w:val="clear" w:color="000000" w:fill="D9D9D9"/>
            <w:noWrap/>
            <w:tcMar>
              <w:left w:w="28" w:type="dxa"/>
              <w:right w:w="57" w:type="dxa"/>
            </w:tcMar>
            <w:vAlign w:val="bottom"/>
            <w:hideMark/>
          </w:tcPr>
          <w:p w14:paraId="672F6301" w14:textId="77777777" w:rsidR="0039060A" w:rsidRPr="0039060A" w:rsidRDefault="0039060A" w:rsidP="0039060A">
            <w:pPr>
              <w:spacing w:before="0" w:after="0"/>
              <w:jc w:val="right"/>
              <w:rPr>
                <w:color w:val="auto"/>
                <w:sz w:val="16"/>
                <w:szCs w:val="16"/>
              </w:rPr>
            </w:pPr>
            <w:r w:rsidRPr="0039060A">
              <w:rPr>
                <w:color w:val="auto"/>
                <w:sz w:val="16"/>
                <w:szCs w:val="16"/>
              </w:rPr>
              <w:t>1,126,175</w:t>
            </w:r>
          </w:p>
        </w:tc>
        <w:tc>
          <w:tcPr>
            <w:tcW w:w="903" w:type="dxa"/>
            <w:tcBorders>
              <w:top w:val="nil"/>
              <w:left w:val="nil"/>
              <w:bottom w:val="nil"/>
              <w:right w:val="nil"/>
            </w:tcBorders>
            <w:shd w:val="clear" w:color="auto" w:fill="auto"/>
            <w:noWrap/>
            <w:tcMar>
              <w:left w:w="28" w:type="dxa"/>
              <w:right w:w="57" w:type="dxa"/>
            </w:tcMar>
            <w:vAlign w:val="bottom"/>
            <w:hideMark/>
          </w:tcPr>
          <w:p w14:paraId="1FF60704" w14:textId="77777777" w:rsidR="0039060A" w:rsidRPr="0039060A" w:rsidRDefault="0039060A" w:rsidP="0039060A">
            <w:pPr>
              <w:spacing w:before="0" w:after="0"/>
              <w:jc w:val="right"/>
              <w:rPr>
                <w:color w:val="auto"/>
                <w:sz w:val="16"/>
                <w:szCs w:val="16"/>
              </w:rPr>
            </w:pPr>
            <w:r w:rsidRPr="0039060A">
              <w:rPr>
                <w:color w:val="auto"/>
                <w:sz w:val="16"/>
                <w:szCs w:val="16"/>
              </w:rPr>
              <w:t>1,128,923</w:t>
            </w:r>
          </w:p>
        </w:tc>
        <w:tc>
          <w:tcPr>
            <w:tcW w:w="903" w:type="dxa"/>
            <w:tcBorders>
              <w:top w:val="nil"/>
              <w:left w:val="nil"/>
              <w:bottom w:val="nil"/>
              <w:right w:val="nil"/>
            </w:tcBorders>
            <w:shd w:val="clear" w:color="auto" w:fill="auto"/>
            <w:noWrap/>
            <w:tcMar>
              <w:left w:w="28" w:type="dxa"/>
              <w:right w:w="57" w:type="dxa"/>
            </w:tcMar>
            <w:vAlign w:val="bottom"/>
            <w:hideMark/>
          </w:tcPr>
          <w:p w14:paraId="3C77DC46" w14:textId="77777777" w:rsidR="0039060A" w:rsidRPr="0039060A" w:rsidRDefault="0039060A" w:rsidP="0039060A">
            <w:pPr>
              <w:spacing w:before="0" w:after="0"/>
              <w:jc w:val="right"/>
              <w:rPr>
                <w:color w:val="auto"/>
                <w:sz w:val="16"/>
                <w:szCs w:val="16"/>
              </w:rPr>
            </w:pPr>
            <w:r w:rsidRPr="0039060A">
              <w:rPr>
                <w:color w:val="auto"/>
                <w:sz w:val="16"/>
                <w:szCs w:val="16"/>
              </w:rPr>
              <w:t>1,164,156</w:t>
            </w:r>
          </w:p>
        </w:tc>
        <w:tc>
          <w:tcPr>
            <w:tcW w:w="903" w:type="dxa"/>
            <w:tcBorders>
              <w:top w:val="nil"/>
              <w:left w:val="nil"/>
              <w:bottom w:val="nil"/>
              <w:right w:val="nil"/>
            </w:tcBorders>
            <w:shd w:val="clear" w:color="auto" w:fill="auto"/>
            <w:noWrap/>
            <w:tcMar>
              <w:left w:w="28" w:type="dxa"/>
              <w:right w:w="57" w:type="dxa"/>
            </w:tcMar>
            <w:vAlign w:val="bottom"/>
            <w:hideMark/>
          </w:tcPr>
          <w:p w14:paraId="5D4A4FA1" w14:textId="77777777" w:rsidR="0039060A" w:rsidRPr="0039060A" w:rsidRDefault="0039060A" w:rsidP="0039060A">
            <w:pPr>
              <w:spacing w:before="0" w:after="0"/>
              <w:jc w:val="right"/>
              <w:rPr>
                <w:color w:val="auto"/>
                <w:sz w:val="16"/>
                <w:szCs w:val="16"/>
              </w:rPr>
            </w:pPr>
            <w:r w:rsidRPr="0039060A">
              <w:rPr>
                <w:color w:val="auto"/>
                <w:sz w:val="16"/>
                <w:szCs w:val="16"/>
              </w:rPr>
              <w:t>1,137,016</w:t>
            </w:r>
          </w:p>
        </w:tc>
      </w:tr>
      <w:tr w:rsidR="0039060A" w:rsidRPr="0039060A" w14:paraId="22A4D15A"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05AA8F03" w14:textId="77777777" w:rsidR="0039060A" w:rsidRPr="0039060A" w:rsidRDefault="0039060A" w:rsidP="0039060A">
            <w:pPr>
              <w:spacing w:before="0" w:after="0"/>
              <w:ind w:firstLineChars="100" w:firstLine="160"/>
              <w:rPr>
                <w:color w:val="auto"/>
                <w:sz w:val="16"/>
                <w:szCs w:val="16"/>
              </w:rPr>
            </w:pPr>
            <w:r w:rsidRPr="0039060A">
              <w:rPr>
                <w:color w:val="auto"/>
                <w:sz w:val="16"/>
                <w:szCs w:val="16"/>
              </w:rPr>
              <w:t>Departmental expenses</w:t>
            </w:r>
          </w:p>
        </w:tc>
        <w:tc>
          <w:tcPr>
            <w:tcW w:w="913" w:type="dxa"/>
            <w:tcBorders>
              <w:top w:val="nil"/>
              <w:left w:val="nil"/>
              <w:bottom w:val="nil"/>
              <w:right w:val="nil"/>
            </w:tcBorders>
            <w:shd w:val="clear" w:color="auto" w:fill="auto"/>
            <w:noWrap/>
            <w:tcMar>
              <w:left w:w="28" w:type="dxa"/>
              <w:right w:w="57" w:type="dxa"/>
            </w:tcMar>
            <w:vAlign w:val="bottom"/>
            <w:hideMark/>
          </w:tcPr>
          <w:p w14:paraId="7B3D2567" w14:textId="77777777" w:rsidR="0039060A" w:rsidRPr="0039060A" w:rsidRDefault="0039060A" w:rsidP="0039060A">
            <w:pPr>
              <w:spacing w:before="0" w:after="0"/>
              <w:ind w:firstLineChars="100" w:firstLine="160"/>
              <w:rPr>
                <w:color w:val="auto"/>
                <w:sz w:val="16"/>
                <w:szCs w:val="16"/>
              </w:rPr>
            </w:pPr>
          </w:p>
        </w:tc>
        <w:tc>
          <w:tcPr>
            <w:tcW w:w="903" w:type="dxa"/>
            <w:tcBorders>
              <w:top w:val="nil"/>
              <w:left w:val="nil"/>
              <w:bottom w:val="nil"/>
              <w:right w:val="nil"/>
            </w:tcBorders>
            <w:shd w:val="clear" w:color="000000" w:fill="D9D9D9"/>
            <w:noWrap/>
            <w:tcMar>
              <w:left w:w="28" w:type="dxa"/>
              <w:right w:w="57" w:type="dxa"/>
            </w:tcMar>
            <w:vAlign w:val="bottom"/>
            <w:hideMark/>
          </w:tcPr>
          <w:p w14:paraId="73D0CCE9" w14:textId="77777777" w:rsidR="0039060A" w:rsidRPr="0039060A" w:rsidRDefault="0039060A" w:rsidP="0039060A">
            <w:pPr>
              <w:spacing w:before="0" w:after="0"/>
              <w:jc w:val="right"/>
              <w:rPr>
                <w:color w:val="auto"/>
                <w:sz w:val="16"/>
                <w:szCs w:val="16"/>
              </w:rPr>
            </w:pPr>
            <w:r w:rsidRPr="0039060A">
              <w:rPr>
                <w:color w:val="auto"/>
                <w:sz w:val="16"/>
                <w:szCs w:val="16"/>
              </w:rPr>
              <w:t> </w:t>
            </w:r>
          </w:p>
        </w:tc>
        <w:tc>
          <w:tcPr>
            <w:tcW w:w="903" w:type="dxa"/>
            <w:tcBorders>
              <w:top w:val="nil"/>
              <w:left w:val="nil"/>
              <w:bottom w:val="nil"/>
              <w:right w:val="nil"/>
            </w:tcBorders>
            <w:shd w:val="clear" w:color="auto" w:fill="auto"/>
            <w:noWrap/>
            <w:tcMar>
              <w:left w:w="28" w:type="dxa"/>
              <w:right w:w="57" w:type="dxa"/>
            </w:tcMar>
            <w:vAlign w:val="bottom"/>
            <w:hideMark/>
          </w:tcPr>
          <w:p w14:paraId="2C520773" w14:textId="77777777" w:rsidR="0039060A" w:rsidRPr="0039060A" w:rsidRDefault="0039060A" w:rsidP="0039060A">
            <w:pPr>
              <w:spacing w:before="0" w:after="0"/>
              <w:jc w:val="right"/>
              <w:rPr>
                <w:color w:val="auto"/>
                <w:sz w:val="16"/>
                <w:szCs w:val="16"/>
              </w:rPr>
            </w:pPr>
          </w:p>
        </w:tc>
        <w:tc>
          <w:tcPr>
            <w:tcW w:w="903" w:type="dxa"/>
            <w:tcBorders>
              <w:top w:val="nil"/>
              <w:left w:val="nil"/>
              <w:bottom w:val="nil"/>
              <w:right w:val="nil"/>
            </w:tcBorders>
            <w:shd w:val="clear" w:color="auto" w:fill="auto"/>
            <w:noWrap/>
            <w:tcMar>
              <w:left w:w="28" w:type="dxa"/>
              <w:right w:w="57" w:type="dxa"/>
            </w:tcMar>
            <w:vAlign w:val="bottom"/>
            <w:hideMark/>
          </w:tcPr>
          <w:p w14:paraId="61F4838B" w14:textId="77777777" w:rsidR="0039060A" w:rsidRPr="0039060A" w:rsidRDefault="0039060A" w:rsidP="0039060A">
            <w:pPr>
              <w:spacing w:before="0" w:after="0"/>
              <w:jc w:val="right"/>
              <w:rPr>
                <w:rFonts w:ascii="Times New Roman" w:hAnsi="Times New Roman" w:cs="Times New Roman"/>
                <w:color w:val="auto"/>
                <w:sz w:val="20"/>
                <w:szCs w:val="20"/>
              </w:rPr>
            </w:pPr>
          </w:p>
        </w:tc>
        <w:tc>
          <w:tcPr>
            <w:tcW w:w="903" w:type="dxa"/>
            <w:tcBorders>
              <w:top w:val="nil"/>
              <w:left w:val="nil"/>
              <w:bottom w:val="nil"/>
              <w:right w:val="nil"/>
            </w:tcBorders>
            <w:shd w:val="clear" w:color="auto" w:fill="auto"/>
            <w:noWrap/>
            <w:tcMar>
              <w:left w:w="28" w:type="dxa"/>
              <w:right w:w="57" w:type="dxa"/>
            </w:tcMar>
            <w:vAlign w:val="bottom"/>
            <w:hideMark/>
          </w:tcPr>
          <w:p w14:paraId="7C67513F" w14:textId="77777777" w:rsidR="0039060A" w:rsidRPr="0039060A" w:rsidRDefault="0039060A" w:rsidP="0039060A">
            <w:pPr>
              <w:spacing w:before="0" w:after="0"/>
              <w:jc w:val="right"/>
              <w:rPr>
                <w:rFonts w:ascii="Times New Roman" w:hAnsi="Times New Roman" w:cs="Times New Roman"/>
                <w:color w:val="auto"/>
                <w:sz w:val="20"/>
                <w:szCs w:val="20"/>
              </w:rPr>
            </w:pPr>
          </w:p>
        </w:tc>
      </w:tr>
      <w:tr w:rsidR="0039060A" w:rsidRPr="0039060A" w14:paraId="6F2B6984" w14:textId="77777777" w:rsidTr="00EE7F7A">
        <w:trPr>
          <w:trHeight w:val="225"/>
          <w:jc w:val="center"/>
        </w:trPr>
        <w:tc>
          <w:tcPr>
            <w:tcW w:w="2795" w:type="dxa"/>
            <w:tcBorders>
              <w:top w:val="nil"/>
              <w:left w:val="nil"/>
              <w:bottom w:val="nil"/>
              <w:right w:val="nil"/>
            </w:tcBorders>
            <w:shd w:val="clear" w:color="auto" w:fill="auto"/>
            <w:noWrap/>
            <w:vAlign w:val="bottom"/>
            <w:hideMark/>
          </w:tcPr>
          <w:p w14:paraId="28004017" w14:textId="77777777" w:rsidR="0039060A" w:rsidRPr="0039060A" w:rsidRDefault="0039060A" w:rsidP="0039060A">
            <w:pPr>
              <w:spacing w:before="0" w:after="0"/>
              <w:ind w:leftChars="150" w:left="270"/>
              <w:rPr>
                <w:color w:val="auto"/>
                <w:sz w:val="16"/>
                <w:szCs w:val="16"/>
              </w:rPr>
            </w:pPr>
            <w:r w:rsidRPr="0039060A">
              <w:rPr>
                <w:color w:val="auto"/>
                <w:sz w:val="16"/>
                <w:szCs w:val="16"/>
              </w:rPr>
              <w:t>Departmental appropriation</w:t>
            </w:r>
            <w:r w:rsidRPr="0039060A">
              <w:rPr>
                <w:color w:val="auto"/>
                <w:sz w:val="16"/>
                <w:szCs w:val="16"/>
                <w:vertAlign w:val="superscript"/>
              </w:rPr>
              <w:t xml:space="preserve"> (c)</w:t>
            </w:r>
          </w:p>
        </w:tc>
        <w:tc>
          <w:tcPr>
            <w:tcW w:w="913" w:type="dxa"/>
            <w:tcBorders>
              <w:top w:val="nil"/>
              <w:left w:val="nil"/>
              <w:bottom w:val="nil"/>
              <w:right w:val="nil"/>
            </w:tcBorders>
            <w:shd w:val="clear" w:color="auto" w:fill="auto"/>
            <w:noWrap/>
            <w:tcMar>
              <w:left w:w="28" w:type="dxa"/>
              <w:right w:w="57" w:type="dxa"/>
            </w:tcMar>
            <w:vAlign w:val="bottom"/>
            <w:hideMark/>
          </w:tcPr>
          <w:p w14:paraId="2CA77664" w14:textId="77777777" w:rsidR="0039060A" w:rsidRPr="0039060A" w:rsidRDefault="0039060A" w:rsidP="0039060A">
            <w:pPr>
              <w:spacing w:before="0" w:after="0"/>
              <w:jc w:val="right"/>
              <w:rPr>
                <w:color w:val="auto"/>
                <w:sz w:val="16"/>
                <w:szCs w:val="16"/>
              </w:rPr>
            </w:pPr>
            <w:r w:rsidRPr="0039060A">
              <w:rPr>
                <w:color w:val="auto"/>
                <w:sz w:val="16"/>
                <w:szCs w:val="16"/>
              </w:rPr>
              <w:t>24,142</w:t>
            </w:r>
          </w:p>
        </w:tc>
        <w:tc>
          <w:tcPr>
            <w:tcW w:w="903" w:type="dxa"/>
            <w:tcBorders>
              <w:top w:val="nil"/>
              <w:left w:val="nil"/>
              <w:bottom w:val="nil"/>
              <w:right w:val="nil"/>
            </w:tcBorders>
            <w:shd w:val="clear" w:color="000000" w:fill="D9D9D9"/>
            <w:noWrap/>
            <w:tcMar>
              <w:left w:w="28" w:type="dxa"/>
              <w:right w:w="57" w:type="dxa"/>
            </w:tcMar>
            <w:vAlign w:val="bottom"/>
            <w:hideMark/>
          </w:tcPr>
          <w:p w14:paraId="2F75B179" w14:textId="77777777" w:rsidR="0039060A" w:rsidRPr="0039060A" w:rsidRDefault="0039060A" w:rsidP="0039060A">
            <w:pPr>
              <w:spacing w:before="0" w:after="0"/>
              <w:jc w:val="right"/>
              <w:rPr>
                <w:color w:val="auto"/>
                <w:sz w:val="16"/>
                <w:szCs w:val="16"/>
              </w:rPr>
            </w:pPr>
            <w:r w:rsidRPr="0039060A">
              <w:rPr>
                <w:color w:val="auto"/>
                <w:sz w:val="16"/>
                <w:szCs w:val="16"/>
              </w:rPr>
              <w:t>22,977</w:t>
            </w:r>
          </w:p>
        </w:tc>
        <w:tc>
          <w:tcPr>
            <w:tcW w:w="903" w:type="dxa"/>
            <w:tcBorders>
              <w:top w:val="nil"/>
              <w:left w:val="nil"/>
              <w:bottom w:val="nil"/>
              <w:right w:val="nil"/>
            </w:tcBorders>
            <w:shd w:val="clear" w:color="auto" w:fill="auto"/>
            <w:noWrap/>
            <w:tcMar>
              <w:left w:w="28" w:type="dxa"/>
              <w:right w:w="57" w:type="dxa"/>
            </w:tcMar>
            <w:vAlign w:val="bottom"/>
            <w:hideMark/>
          </w:tcPr>
          <w:p w14:paraId="51262BF3" w14:textId="77777777" w:rsidR="0039060A" w:rsidRPr="0039060A" w:rsidRDefault="0039060A" w:rsidP="0039060A">
            <w:pPr>
              <w:spacing w:before="0" w:after="0"/>
              <w:jc w:val="right"/>
              <w:rPr>
                <w:color w:val="auto"/>
                <w:sz w:val="16"/>
                <w:szCs w:val="16"/>
              </w:rPr>
            </w:pPr>
            <w:r w:rsidRPr="0039060A">
              <w:rPr>
                <w:color w:val="auto"/>
                <w:sz w:val="16"/>
                <w:szCs w:val="16"/>
              </w:rPr>
              <w:t>22,813</w:t>
            </w:r>
          </w:p>
        </w:tc>
        <w:tc>
          <w:tcPr>
            <w:tcW w:w="903" w:type="dxa"/>
            <w:tcBorders>
              <w:top w:val="nil"/>
              <w:left w:val="nil"/>
              <w:bottom w:val="nil"/>
              <w:right w:val="nil"/>
            </w:tcBorders>
            <w:shd w:val="clear" w:color="auto" w:fill="auto"/>
            <w:noWrap/>
            <w:tcMar>
              <w:left w:w="28" w:type="dxa"/>
              <w:right w:w="57" w:type="dxa"/>
            </w:tcMar>
            <w:vAlign w:val="bottom"/>
            <w:hideMark/>
          </w:tcPr>
          <w:p w14:paraId="4070DD92" w14:textId="77777777" w:rsidR="0039060A" w:rsidRPr="0039060A" w:rsidRDefault="0039060A" w:rsidP="0039060A">
            <w:pPr>
              <w:spacing w:before="0" w:after="0"/>
              <w:jc w:val="right"/>
              <w:rPr>
                <w:color w:val="auto"/>
                <w:sz w:val="16"/>
                <w:szCs w:val="16"/>
              </w:rPr>
            </w:pPr>
            <w:r w:rsidRPr="0039060A">
              <w:rPr>
                <w:color w:val="auto"/>
                <w:sz w:val="16"/>
                <w:szCs w:val="16"/>
              </w:rPr>
              <w:t>22,930</w:t>
            </w:r>
          </w:p>
        </w:tc>
        <w:tc>
          <w:tcPr>
            <w:tcW w:w="903" w:type="dxa"/>
            <w:tcBorders>
              <w:top w:val="nil"/>
              <w:left w:val="nil"/>
              <w:bottom w:val="nil"/>
              <w:right w:val="nil"/>
            </w:tcBorders>
            <w:shd w:val="clear" w:color="auto" w:fill="auto"/>
            <w:noWrap/>
            <w:tcMar>
              <w:left w:w="28" w:type="dxa"/>
              <w:right w:w="57" w:type="dxa"/>
            </w:tcMar>
            <w:vAlign w:val="bottom"/>
            <w:hideMark/>
          </w:tcPr>
          <w:p w14:paraId="44F11124" w14:textId="77777777" w:rsidR="0039060A" w:rsidRPr="0039060A" w:rsidRDefault="0039060A" w:rsidP="0039060A">
            <w:pPr>
              <w:spacing w:before="0" w:after="0"/>
              <w:jc w:val="right"/>
              <w:rPr>
                <w:color w:val="auto"/>
                <w:sz w:val="16"/>
                <w:szCs w:val="16"/>
              </w:rPr>
            </w:pPr>
            <w:r w:rsidRPr="0039060A">
              <w:rPr>
                <w:color w:val="auto"/>
                <w:sz w:val="16"/>
                <w:szCs w:val="16"/>
              </w:rPr>
              <w:t>21,213</w:t>
            </w:r>
          </w:p>
        </w:tc>
      </w:tr>
      <w:tr w:rsidR="0039060A" w:rsidRPr="0039060A" w14:paraId="6194B755" w14:textId="77777777" w:rsidTr="00EE7F7A">
        <w:trPr>
          <w:trHeight w:val="624"/>
          <w:jc w:val="center"/>
        </w:trPr>
        <w:tc>
          <w:tcPr>
            <w:tcW w:w="2795" w:type="dxa"/>
            <w:tcBorders>
              <w:top w:val="nil"/>
              <w:left w:val="nil"/>
              <w:bottom w:val="nil"/>
              <w:right w:val="nil"/>
            </w:tcBorders>
            <w:shd w:val="clear" w:color="auto" w:fill="auto"/>
            <w:vAlign w:val="bottom"/>
            <w:hideMark/>
          </w:tcPr>
          <w:p w14:paraId="6F7BEC2E" w14:textId="0DD648D6" w:rsidR="0039060A" w:rsidRPr="0039060A" w:rsidRDefault="0039060A" w:rsidP="0039060A">
            <w:pPr>
              <w:spacing w:before="0" w:after="0"/>
              <w:ind w:leftChars="150" w:left="270"/>
              <w:rPr>
                <w:color w:val="auto"/>
                <w:sz w:val="16"/>
                <w:szCs w:val="16"/>
              </w:rPr>
            </w:pPr>
            <w:r w:rsidRPr="0039060A">
              <w:rPr>
                <w:color w:val="auto"/>
                <w:sz w:val="16"/>
                <w:szCs w:val="16"/>
              </w:rPr>
              <w:t>Expenses not requiring a</w:t>
            </w:r>
            <w:r w:rsidR="00EE7F7A">
              <w:rPr>
                <w:color w:val="auto"/>
                <w:sz w:val="16"/>
                <w:szCs w:val="16"/>
              </w:rPr>
              <w:t>ppropriation in the Budget year </w:t>
            </w:r>
            <w:r w:rsidRPr="0039060A">
              <w:rPr>
                <w:color w:val="auto"/>
                <w:sz w:val="16"/>
                <w:szCs w:val="16"/>
                <w:vertAlign w:val="superscript"/>
              </w:rPr>
              <w:t>(d)</w:t>
            </w:r>
          </w:p>
        </w:tc>
        <w:tc>
          <w:tcPr>
            <w:tcW w:w="913" w:type="dxa"/>
            <w:tcBorders>
              <w:top w:val="nil"/>
              <w:left w:val="nil"/>
              <w:bottom w:val="nil"/>
              <w:right w:val="nil"/>
            </w:tcBorders>
            <w:shd w:val="clear" w:color="auto" w:fill="auto"/>
            <w:noWrap/>
            <w:tcMar>
              <w:left w:w="28" w:type="dxa"/>
              <w:right w:w="57" w:type="dxa"/>
            </w:tcMar>
            <w:vAlign w:val="bottom"/>
            <w:hideMark/>
          </w:tcPr>
          <w:p w14:paraId="00208B0A" w14:textId="77777777" w:rsidR="0039060A" w:rsidRPr="0039060A" w:rsidRDefault="0039060A" w:rsidP="0039060A">
            <w:pPr>
              <w:spacing w:before="0" w:after="0"/>
              <w:jc w:val="right"/>
              <w:rPr>
                <w:color w:val="auto"/>
                <w:sz w:val="16"/>
                <w:szCs w:val="16"/>
              </w:rPr>
            </w:pPr>
            <w:r w:rsidRPr="0039060A">
              <w:rPr>
                <w:color w:val="auto"/>
                <w:sz w:val="16"/>
                <w:szCs w:val="16"/>
              </w:rPr>
              <w:t>3,635</w:t>
            </w:r>
          </w:p>
        </w:tc>
        <w:tc>
          <w:tcPr>
            <w:tcW w:w="903" w:type="dxa"/>
            <w:tcBorders>
              <w:top w:val="nil"/>
              <w:left w:val="nil"/>
              <w:bottom w:val="nil"/>
              <w:right w:val="nil"/>
            </w:tcBorders>
            <w:shd w:val="clear" w:color="000000" w:fill="D9D9D9"/>
            <w:noWrap/>
            <w:tcMar>
              <w:left w:w="28" w:type="dxa"/>
              <w:right w:w="57" w:type="dxa"/>
            </w:tcMar>
            <w:vAlign w:val="bottom"/>
            <w:hideMark/>
          </w:tcPr>
          <w:p w14:paraId="7B82A884" w14:textId="77777777" w:rsidR="0039060A" w:rsidRPr="0039060A" w:rsidRDefault="0039060A" w:rsidP="0039060A">
            <w:pPr>
              <w:spacing w:before="0" w:after="0"/>
              <w:jc w:val="right"/>
              <w:rPr>
                <w:color w:val="auto"/>
                <w:sz w:val="16"/>
                <w:szCs w:val="16"/>
              </w:rPr>
            </w:pPr>
            <w:r w:rsidRPr="0039060A">
              <w:rPr>
                <w:color w:val="auto"/>
                <w:sz w:val="16"/>
                <w:szCs w:val="16"/>
              </w:rPr>
              <w:t>3,518</w:t>
            </w:r>
          </w:p>
        </w:tc>
        <w:tc>
          <w:tcPr>
            <w:tcW w:w="903" w:type="dxa"/>
            <w:tcBorders>
              <w:top w:val="nil"/>
              <w:left w:val="nil"/>
              <w:bottom w:val="nil"/>
              <w:right w:val="nil"/>
            </w:tcBorders>
            <w:shd w:val="clear" w:color="auto" w:fill="auto"/>
            <w:noWrap/>
            <w:tcMar>
              <w:left w:w="28" w:type="dxa"/>
              <w:right w:w="57" w:type="dxa"/>
            </w:tcMar>
            <w:vAlign w:val="bottom"/>
            <w:hideMark/>
          </w:tcPr>
          <w:p w14:paraId="5E87BE66" w14:textId="77777777" w:rsidR="0039060A" w:rsidRPr="0039060A" w:rsidRDefault="0039060A" w:rsidP="0039060A">
            <w:pPr>
              <w:spacing w:before="0" w:after="0"/>
              <w:jc w:val="right"/>
              <w:rPr>
                <w:color w:val="auto"/>
                <w:sz w:val="16"/>
                <w:szCs w:val="16"/>
              </w:rPr>
            </w:pPr>
            <w:r w:rsidRPr="0039060A">
              <w:rPr>
                <w:color w:val="auto"/>
                <w:sz w:val="16"/>
                <w:szCs w:val="16"/>
              </w:rPr>
              <w:t>3,063</w:t>
            </w:r>
          </w:p>
        </w:tc>
        <w:tc>
          <w:tcPr>
            <w:tcW w:w="903" w:type="dxa"/>
            <w:tcBorders>
              <w:top w:val="nil"/>
              <w:left w:val="nil"/>
              <w:bottom w:val="nil"/>
              <w:right w:val="nil"/>
            </w:tcBorders>
            <w:shd w:val="clear" w:color="auto" w:fill="auto"/>
            <w:noWrap/>
            <w:tcMar>
              <w:left w:w="28" w:type="dxa"/>
              <w:right w:w="57" w:type="dxa"/>
            </w:tcMar>
            <w:vAlign w:val="bottom"/>
            <w:hideMark/>
          </w:tcPr>
          <w:p w14:paraId="18A02D3E" w14:textId="77777777" w:rsidR="0039060A" w:rsidRPr="0039060A" w:rsidRDefault="0039060A" w:rsidP="0039060A">
            <w:pPr>
              <w:spacing w:before="0" w:after="0"/>
              <w:jc w:val="right"/>
              <w:rPr>
                <w:color w:val="auto"/>
                <w:sz w:val="16"/>
                <w:szCs w:val="16"/>
              </w:rPr>
            </w:pPr>
            <w:r w:rsidRPr="0039060A">
              <w:rPr>
                <w:color w:val="auto"/>
                <w:sz w:val="16"/>
                <w:szCs w:val="16"/>
              </w:rPr>
              <w:t>2,838</w:t>
            </w:r>
          </w:p>
        </w:tc>
        <w:tc>
          <w:tcPr>
            <w:tcW w:w="903" w:type="dxa"/>
            <w:tcBorders>
              <w:top w:val="nil"/>
              <w:left w:val="nil"/>
              <w:bottom w:val="nil"/>
              <w:right w:val="nil"/>
            </w:tcBorders>
            <w:shd w:val="clear" w:color="auto" w:fill="auto"/>
            <w:noWrap/>
            <w:tcMar>
              <w:left w:w="28" w:type="dxa"/>
              <w:right w:w="57" w:type="dxa"/>
            </w:tcMar>
            <w:vAlign w:val="bottom"/>
            <w:hideMark/>
          </w:tcPr>
          <w:p w14:paraId="53F4635D" w14:textId="77777777" w:rsidR="0039060A" w:rsidRPr="0039060A" w:rsidRDefault="0039060A" w:rsidP="0039060A">
            <w:pPr>
              <w:spacing w:before="0" w:after="0"/>
              <w:jc w:val="right"/>
              <w:rPr>
                <w:color w:val="auto"/>
                <w:sz w:val="16"/>
                <w:szCs w:val="16"/>
              </w:rPr>
            </w:pPr>
            <w:r w:rsidRPr="0039060A">
              <w:rPr>
                <w:color w:val="auto"/>
                <w:sz w:val="16"/>
                <w:szCs w:val="16"/>
              </w:rPr>
              <w:t>2,551</w:t>
            </w:r>
          </w:p>
        </w:tc>
      </w:tr>
      <w:tr w:rsidR="0039060A" w:rsidRPr="0039060A" w14:paraId="56FD9824" w14:textId="77777777" w:rsidTr="00EE7F7A">
        <w:trPr>
          <w:trHeight w:val="300"/>
          <w:jc w:val="center"/>
        </w:trPr>
        <w:tc>
          <w:tcPr>
            <w:tcW w:w="2795" w:type="dxa"/>
            <w:tcBorders>
              <w:top w:val="nil"/>
              <w:left w:val="nil"/>
              <w:bottom w:val="nil"/>
              <w:right w:val="nil"/>
            </w:tcBorders>
            <w:shd w:val="clear" w:color="auto" w:fill="auto"/>
            <w:noWrap/>
            <w:vAlign w:val="bottom"/>
            <w:hideMark/>
          </w:tcPr>
          <w:p w14:paraId="214A1BD6" w14:textId="77777777" w:rsidR="0039060A" w:rsidRPr="0039060A" w:rsidRDefault="0039060A" w:rsidP="0039060A">
            <w:pPr>
              <w:spacing w:before="0" w:after="0"/>
              <w:ind w:firstLineChars="100" w:firstLine="160"/>
              <w:rPr>
                <w:b/>
                <w:bCs/>
                <w:color w:val="auto"/>
                <w:sz w:val="16"/>
                <w:szCs w:val="16"/>
              </w:rPr>
            </w:pPr>
            <w:r w:rsidRPr="0039060A">
              <w:rPr>
                <w:b/>
                <w:bCs/>
                <w:color w:val="auto"/>
                <w:sz w:val="16"/>
                <w:szCs w:val="16"/>
              </w:rPr>
              <w:t>Total for Program 1.3</w:t>
            </w:r>
          </w:p>
        </w:tc>
        <w:tc>
          <w:tcPr>
            <w:tcW w:w="91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31AA00F" w14:textId="77777777" w:rsidR="0039060A" w:rsidRPr="0039060A" w:rsidRDefault="0039060A" w:rsidP="0039060A">
            <w:pPr>
              <w:spacing w:before="0" w:after="0"/>
              <w:jc w:val="right"/>
              <w:rPr>
                <w:b/>
                <w:bCs/>
                <w:color w:val="auto"/>
                <w:sz w:val="16"/>
                <w:szCs w:val="16"/>
              </w:rPr>
            </w:pPr>
            <w:r w:rsidRPr="0039060A">
              <w:rPr>
                <w:b/>
                <w:bCs/>
                <w:color w:val="auto"/>
                <w:sz w:val="16"/>
                <w:szCs w:val="16"/>
              </w:rPr>
              <w:t>1,003,393</w:t>
            </w:r>
          </w:p>
        </w:tc>
        <w:tc>
          <w:tcPr>
            <w:tcW w:w="903"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1F7B2596" w14:textId="77777777" w:rsidR="0039060A" w:rsidRPr="0039060A" w:rsidRDefault="0039060A" w:rsidP="0039060A">
            <w:pPr>
              <w:spacing w:before="0" w:after="0"/>
              <w:jc w:val="right"/>
              <w:rPr>
                <w:b/>
                <w:bCs/>
                <w:color w:val="auto"/>
                <w:sz w:val="16"/>
                <w:szCs w:val="16"/>
              </w:rPr>
            </w:pPr>
            <w:r w:rsidRPr="0039060A">
              <w:rPr>
                <w:b/>
                <w:bCs/>
                <w:color w:val="auto"/>
                <w:sz w:val="16"/>
                <w:szCs w:val="16"/>
              </w:rPr>
              <w:t>1,152,670</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525D9F91" w14:textId="77777777" w:rsidR="0039060A" w:rsidRPr="0039060A" w:rsidRDefault="0039060A" w:rsidP="0039060A">
            <w:pPr>
              <w:spacing w:before="0" w:after="0"/>
              <w:jc w:val="right"/>
              <w:rPr>
                <w:b/>
                <w:bCs/>
                <w:color w:val="auto"/>
                <w:sz w:val="16"/>
                <w:szCs w:val="16"/>
              </w:rPr>
            </w:pPr>
            <w:r w:rsidRPr="0039060A">
              <w:rPr>
                <w:b/>
                <w:bCs/>
                <w:color w:val="auto"/>
                <w:sz w:val="16"/>
                <w:szCs w:val="16"/>
              </w:rPr>
              <w:t>1,154,799</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CBF60BB" w14:textId="77777777" w:rsidR="0039060A" w:rsidRPr="0039060A" w:rsidRDefault="0039060A" w:rsidP="0039060A">
            <w:pPr>
              <w:spacing w:before="0" w:after="0"/>
              <w:jc w:val="right"/>
              <w:rPr>
                <w:b/>
                <w:bCs/>
                <w:color w:val="auto"/>
                <w:sz w:val="16"/>
                <w:szCs w:val="16"/>
              </w:rPr>
            </w:pPr>
            <w:r w:rsidRPr="0039060A">
              <w:rPr>
                <w:b/>
                <w:bCs/>
                <w:color w:val="auto"/>
                <w:sz w:val="16"/>
                <w:szCs w:val="16"/>
              </w:rPr>
              <w:t>1,189,924</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4EEC4B9" w14:textId="77777777" w:rsidR="0039060A" w:rsidRPr="0039060A" w:rsidRDefault="0039060A" w:rsidP="0039060A">
            <w:pPr>
              <w:spacing w:before="0" w:after="0"/>
              <w:jc w:val="right"/>
              <w:rPr>
                <w:b/>
                <w:bCs/>
                <w:color w:val="auto"/>
                <w:sz w:val="16"/>
                <w:szCs w:val="16"/>
              </w:rPr>
            </w:pPr>
            <w:r w:rsidRPr="0039060A">
              <w:rPr>
                <w:b/>
                <w:bCs/>
                <w:color w:val="auto"/>
                <w:sz w:val="16"/>
                <w:szCs w:val="16"/>
              </w:rPr>
              <w:t>1,160,780</w:t>
            </w:r>
          </w:p>
        </w:tc>
      </w:tr>
    </w:tbl>
    <w:p w14:paraId="051BDEEB" w14:textId="77777777" w:rsidR="00EB16CA" w:rsidRPr="00685583" w:rsidRDefault="00EB16CA">
      <w:pPr>
        <w:spacing w:before="0" w:after="160" w:line="259" w:lineRule="auto"/>
        <w:rPr>
          <w:b/>
          <w:color w:val="auto"/>
          <w:sz w:val="20"/>
          <w:lang w:eastAsia="en-US"/>
        </w:rPr>
      </w:pPr>
      <w:r w:rsidRPr="00685583">
        <w:rPr>
          <w:color w:val="auto"/>
        </w:rPr>
        <w:br w:type="page"/>
      </w:r>
    </w:p>
    <w:p w14:paraId="05937ED5" w14:textId="77777777" w:rsidR="00E23053" w:rsidRPr="00685583" w:rsidRDefault="00846C28" w:rsidP="00A2265E">
      <w:pPr>
        <w:pStyle w:val="Tablenumberandreference"/>
        <w:keepNext/>
        <w:pageBreakBefore/>
        <w:spacing w:before="120"/>
        <w:rPr>
          <w:color w:val="auto"/>
        </w:rPr>
      </w:pPr>
      <w:r w:rsidRPr="00685583">
        <w:rPr>
          <w:color w:val="auto"/>
        </w:rPr>
        <w:lastRenderedPageBreak/>
        <w:t>Table 2.1.1: Budgeted Expenses for Outcome 1</w:t>
      </w:r>
      <w:r>
        <w:rPr>
          <w:color w:val="auto"/>
        </w:rPr>
        <w:t xml:space="preserve"> (continued)</w:t>
      </w:r>
    </w:p>
    <w:tbl>
      <w:tblPr>
        <w:tblW w:w="7320" w:type="dxa"/>
        <w:jc w:val="center"/>
        <w:tblLayout w:type="fixed"/>
        <w:tblLook w:val="04A0" w:firstRow="1" w:lastRow="0" w:firstColumn="1" w:lastColumn="0" w:noHBand="0" w:noVBand="1"/>
        <w:tblCaption w:val="Table 2.1.1: Budgeted Espenses for Outcome 1 (continued)"/>
        <w:tblDescription w:val="This table lists budgeted expenses for Outcome 1 (continued)"/>
      </w:tblPr>
      <w:tblGrid>
        <w:gridCol w:w="3002"/>
        <w:gridCol w:w="882"/>
        <w:gridCol w:w="859"/>
        <w:gridCol w:w="859"/>
        <w:gridCol w:w="859"/>
        <w:gridCol w:w="859"/>
      </w:tblGrid>
      <w:tr w:rsidR="00E23053" w:rsidRPr="00E23053" w14:paraId="19DE7DB9" w14:textId="77777777" w:rsidTr="00E23053">
        <w:trPr>
          <w:trHeight w:val="765"/>
          <w:jc w:val="center"/>
        </w:trPr>
        <w:tc>
          <w:tcPr>
            <w:tcW w:w="3002" w:type="dxa"/>
            <w:tcBorders>
              <w:top w:val="single" w:sz="4" w:space="0" w:color="auto"/>
              <w:left w:val="nil"/>
              <w:bottom w:val="nil"/>
              <w:right w:val="nil"/>
            </w:tcBorders>
            <w:shd w:val="clear" w:color="auto" w:fill="auto"/>
            <w:tcMar>
              <w:left w:w="57" w:type="dxa"/>
              <w:right w:w="57" w:type="dxa"/>
            </w:tcMar>
            <w:hideMark/>
          </w:tcPr>
          <w:p w14:paraId="06755546" w14:textId="77777777" w:rsidR="00E23053" w:rsidRPr="00E23053" w:rsidRDefault="00E23053" w:rsidP="00E23053">
            <w:pPr>
              <w:spacing w:after="0"/>
              <w:jc w:val="right"/>
              <w:rPr>
                <w:b/>
                <w:bCs/>
                <w:color w:val="auto"/>
                <w:sz w:val="16"/>
                <w:szCs w:val="16"/>
              </w:rPr>
            </w:pPr>
            <w:r w:rsidRPr="00E23053">
              <w:rPr>
                <w:b/>
                <w:bCs/>
                <w:color w:val="auto"/>
                <w:sz w:val="16"/>
                <w:szCs w:val="16"/>
              </w:rPr>
              <w:t> </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5E551221" w14:textId="77777777" w:rsidR="00E23053" w:rsidRPr="00E23053" w:rsidRDefault="00E23053" w:rsidP="00E23053">
            <w:pPr>
              <w:spacing w:after="0"/>
              <w:jc w:val="right"/>
              <w:rPr>
                <w:b/>
                <w:bCs/>
                <w:color w:val="auto"/>
                <w:sz w:val="16"/>
                <w:szCs w:val="16"/>
              </w:rPr>
            </w:pPr>
            <w:r w:rsidRPr="00E23053">
              <w:rPr>
                <w:b/>
                <w:bCs/>
                <w:color w:val="auto"/>
                <w:sz w:val="16"/>
                <w:szCs w:val="16"/>
              </w:rPr>
              <w:t>2021–22</w:t>
            </w:r>
            <w:r w:rsidRPr="00E23053">
              <w:rPr>
                <w:b/>
                <w:bCs/>
                <w:color w:val="auto"/>
                <w:sz w:val="16"/>
                <w:szCs w:val="16"/>
              </w:rPr>
              <w:br/>
              <w:t>Estimated actual</w:t>
            </w:r>
            <w:r w:rsidRPr="00E23053">
              <w:rPr>
                <w:b/>
                <w:bCs/>
                <w:color w:val="auto"/>
                <w:sz w:val="16"/>
                <w:szCs w:val="16"/>
              </w:rPr>
              <w:br/>
            </w:r>
            <w:r w:rsidRPr="00E23053">
              <w:rPr>
                <w:color w:val="auto"/>
                <w:sz w:val="16"/>
                <w:szCs w:val="16"/>
              </w:rPr>
              <w:t>$'000</w:t>
            </w:r>
          </w:p>
        </w:tc>
        <w:tc>
          <w:tcPr>
            <w:tcW w:w="859" w:type="dxa"/>
            <w:tcBorders>
              <w:top w:val="single" w:sz="4" w:space="0" w:color="auto"/>
              <w:left w:val="nil"/>
              <w:bottom w:val="single" w:sz="4" w:space="0" w:color="auto"/>
              <w:right w:val="nil"/>
            </w:tcBorders>
            <w:shd w:val="clear" w:color="000000" w:fill="D9D9D9"/>
            <w:tcMar>
              <w:left w:w="57" w:type="dxa"/>
              <w:right w:w="57" w:type="dxa"/>
            </w:tcMar>
            <w:hideMark/>
          </w:tcPr>
          <w:p w14:paraId="00A56292" w14:textId="77777777" w:rsidR="00E23053" w:rsidRPr="00E23053" w:rsidRDefault="00E23053" w:rsidP="00E23053">
            <w:pPr>
              <w:spacing w:after="0"/>
              <w:jc w:val="right"/>
              <w:rPr>
                <w:b/>
                <w:bCs/>
                <w:color w:val="auto"/>
                <w:sz w:val="16"/>
                <w:szCs w:val="16"/>
              </w:rPr>
            </w:pPr>
            <w:r w:rsidRPr="00E23053">
              <w:rPr>
                <w:b/>
                <w:bCs/>
                <w:color w:val="auto"/>
                <w:sz w:val="16"/>
                <w:szCs w:val="16"/>
              </w:rPr>
              <w:t>2022–23 Budget</w:t>
            </w:r>
            <w:r w:rsidRPr="00E23053">
              <w:rPr>
                <w:b/>
                <w:bCs/>
                <w:color w:val="auto"/>
                <w:sz w:val="16"/>
                <w:szCs w:val="16"/>
              </w:rPr>
              <w:br/>
            </w:r>
            <w:r w:rsidRPr="00E23053">
              <w:rPr>
                <w:b/>
                <w:bCs/>
                <w:color w:val="auto"/>
                <w:sz w:val="16"/>
                <w:szCs w:val="16"/>
              </w:rPr>
              <w:br/>
            </w:r>
            <w:r w:rsidRPr="00E23053">
              <w:rPr>
                <w:color w:val="auto"/>
                <w:sz w:val="16"/>
                <w:szCs w:val="16"/>
              </w:rPr>
              <w:t>$'000</w:t>
            </w:r>
          </w:p>
        </w:tc>
        <w:tc>
          <w:tcPr>
            <w:tcW w:w="859" w:type="dxa"/>
            <w:tcBorders>
              <w:top w:val="single" w:sz="4" w:space="0" w:color="auto"/>
              <w:left w:val="nil"/>
              <w:bottom w:val="single" w:sz="4" w:space="0" w:color="auto"/>
              <w:right w:val="nil"/>
            </w:tcBorders>
            <w:shd w:val="clear" w:color="auto" w:fill="auto"/>
            <w:tcMar>
              <w:left w:w="57" w:type="dxa"/>
              <w:right w:w="57" w:type="dxa"/>
            </w:tcMar>
            <w:hideMark/>
          </w:tcPr>
          <w:p w14:paraId="63C321B3" w14:textId="77777777" w:rsidR="00E23053" w:rsidRPr="00E23053" w:rsidRDefault="00E23053" w:rsidP="00E23053">
            <w:pPr>
              <w:spacing w:after="0"/>
              <w:jc w:val="right"/>
              <w:rPr>
                <w:b/>
                <w:bCs/>
                <w:color w:val="auto"/>
                <w:sz w:val="16"/>
                <w:szCs w:val="16"/>
              </w:rPr>
            </w:pPr>
            <w:r w:rsidRPr="00E23053">
              <w:rPr>
                <w:b/>
                <w:bCs/>
                <w:color w:val="auto"/>
                <w:sz w:val="16"/>
                <w:szCs w:val="16"/>
              </w:rPr>
              <w:t>2023–24 Forward estimate</w:t>
            </w:r>
            <w:r w:rsidRPr="00E23053">
              <w:rPr>
                <w:b/>
                <w:bCs/>
                <w:color w:val="auto"/>
                <w:sz w:val="16"/>
                <w:szCs w:val="16"/>
              </w:rPr>
              <w:br/>
            </w:r>
            <w:r w:rsidRPr="00E23053">
              <w:rPr>
                <w:color w:val="auto"/>
                <w:sz w:val="16"/>
                <w:szCs w:val="16"/>
              </w:rPr>
              <w:t>$'000</w:t>
            </w:r>
          </w:p>
        </w:tc>
        <w:tc>
          <w:tcPr>
            <w:tcW w:w="859" w:type="dxa"/>
            <w:tcBorders>
              <w:top w:val="single" w:sz="4" w:space="0" w:color="auto"/>
              <w:left w:val="nil"/>
              <w:bottom w:val="single" w:sz="4" w:space="0" w:color="auto"/>
              <w:right w:val="nil"/>
            </w:tcBorders>
            <w:shd w:val="clear" w:color="auto" w:fill="auto"/>
            <w:tcMar>
              <w:left w:w="57" w:type="dxa"/>
              <w:right w:w="57" w:type="dxa"/>
            </w:tcMar>
            <w:hideMark/>
          </w:tcPr>
          <w:p w14:paraId="4FF0C5BD" w14:textId="77777777" w:rsidR="00E23053" w:rsidRPr="00E23053" w:rsidRDefault="00E23053" w:rsidP="00E23053">
            <w:pPr>
              <w:spacing w:after="0"/>
              <w:jc w:val="right"/>
              <w:rPr>
                <w:b/>
                <w:bCs/>
                <w:color w:val="auto"/>
                <w:sz w:val="16"/>
                <w:szCs w:val="16"/>
              </w:rPr>
            </w:pPr>
            <w:r w:rsidRPr="00E23053">
              <w:rPr>
                <w:b/>
                <w:bCs/>
                <w:color w:val="auto"/>
                <w:sz w:val="16"/>
                <w:szCs w:val="16"/>
              </w:rPr>
              <w:t>2024–25 Forward estimate</w:t>
            </w:r>
            <w:r w:rsidRPr="00E23053">
              <w:rPr>
                <w:b/>
                <w:bCs/>
                <w:color w:val="auto"/>
                <w:sz w:val="16"/>
                <w:szCs w:val="16"/>
              </w:rPr>
              <w:br/>
            </w:r>
            <w:r w:rsidRPr="00E23053">
              <w:rPr>
                <w:color w:val="auto"/>
                <w:sz w:val="16"/>
                <w:szCs w:val="16"/>
              </w:rPr>
              <w:t>$'000</w:t>
            </w:r>
          </w:p>
        </w:tc>
        <w:tc>
          <w:tcPr>
            <w:tcW w:w="859" w:type="dxa"/>
            <w:tcBorders>
              <w:top w:val="single" w:sz="4" w:space="0" w:color="auto"/>
              <w:left w:val="nil"/>
              <w:bottom w:val="single" w:sz="4" w:space="0" w:color="auto"/>
              <w:right w:val="nil"/>
            </w:tcBorders>
            <w:shd w:val="clear" w:color="auto" w:fill="auto"/>
            <w:tcMar>
              <w:left w:w="57" w:type="dxa"/>
              <w:right w:w="57" w:type="dxa"/>
            </w:tcMar>
            <w:hideMark/>
          </w:tcPr>
          <w:p w14:paraId="62DED6AC" w14:textId="77777777" w:rsidR="00E23053" w:rsidRPr="00E23053" w:rsidRDefault="00E23053" w:rsidP="00E23053">
            <w:pPr>
              <w:spacing w:after="0"/>
              <w:jc w:val="right"/>
              <w:rPr>
                <w:b/>
                <w:bCs/>
                <w:color w:val="auto"/>
                <w:sz w:val="16"/>
                <w:szCs w:val="16"/>
              </w:rPr>
            </w:pPr>
            <w:r w:rsidRPr="00E23053">
              <w:rPr>
                <w:b/>
                <w:bCs/>
                <w:color w:val="auto"/>
                <w:sz w:val="16"/>
                <w:szCs w:val="16"/>
              </w:rPr>
              <w:t>2025–26 Forward estimate</w:t>
            </w:r>
            <w:r w:rsidRPr="00E23053">
              <w:rPr>
                <w:b/>
                <w:bCs/>
                <w:color w:val="auto"/>
                <w:sz w:val="16"/>
                <w:szCs w:val="16"/>
              </w:rPr>
              <w:br/>
            </w:r>
            <w:r w:rsidRPr="00E23053">
              <w:rPr>
                <w:color w:val="auto"/>
                <w:sz w:val="16"/>
                <w:szCs w:val="16"/>
              </w:rPr>
              <w:t>$'000</w:t>
            </w:r>
          </w:p>
        </w:tc>
      </w:tr>
      <w:tr w:rsidR="00E23053" w:rsidRPr="00E23053" w14:paraId="67718DFE"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0789D1A4" w14:textId="77777777" w:rsidR="00E23053" w:rsidRPr="00E23053" w:rsidRDefault="00E23053" w:rsidP="00E23053">
            <w:pPr>
              <w:spacing w:before="0" w:after="0"/>
              <w:rPr>
                <w:b/>
                <w:bCs/>
                <w:color w:val="auto"/>
                <w:sz w:val="16"/>
                <w:szCs w:val="16"/>
              </w:rPr>
            </w:pPr>
            <w:r w:rsidRPr="00E23053">
              <w:rPr>
                <w:b/>
                <w:bCs/>
                <w:color w:val="auto"/>
                <w:sz w:val="16"/>
                <w:szCs w:val="16"/>
              </w:rPr>
              <w:t>Program 1.4: Health Workforce</w:t>
            </w:r>
          </w:p>
        </w:tc>
        <w:tc>
          <w:tcPr>
            <w:tcW w:w="882" w:type="dxa"/>
            <w:tcBorders>
              <w:top w:val="nil"/>
              <w:left w:val="nil"/>
              <w:bottom w:val="nil"/>
              <w:right w:val="nil"/>
            </w:tcBorders>
            <w:shd w:val="clear" w:color="auto" w:fill="auto"/>
            <w:noWrap/>
            <w:tcMar>
              <w:left w:w="57" w:type="dxa"/>
              <w:right w:w="57" w:type="dxa"/>
            </w:tcMar>
            <w:vAlign w:val="bottom"/>
            <w:hideMark/>
          </w:tcPr>
          <w:p w14:paraId="4D3C333B" w14:textId="77777777" w:rsidR="00E23053" w:rsidRPr="00E23053" w:rsidRDefault="00E23053" w:rsidP="00E23053">
            <w:pPr>
              <w:spacing w:before="0" w:after="0"/>
              <w:rPr>
                <w:b/>
                <w:bCs/>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1986302F"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4BF33511"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4C47BDA5"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77432F11"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14D144E6"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0A613BFE" w14:textId="77777777" w:rsidR="00E23053" w:rsidRPr="00E23053" w:rsidRDefault="00E23053" w:rsidP="00E23053">
            <w:pPr>
              <w:spacing w:before="0" w:after="0"/>
              <w:ind w:leftChars="75" w:left="135"/>
              <w:rPr>
                <w:color w:val="auto"/>
                <w:sz w:val="16"/>
                <w:szCs w:val="16"/>
              </w:rPr>
            </w:pPr>
            <w:r w:rsidRPr="00E23053">
              <w:rPr>
                <w:color w:val="auto"/>
                <w:sz w:val="16"/>
                <w:szCs w:val="16"/>
              </w:rPr>
              <w:t>Administered expenses</w:t>
            </w:r>
          </w:p>
        </w:tc>
        <w:tc>
          <w:tcPr>
            <w:tcW w:w="882" w:type="dxa"/>
            <w:tcBorders>
              <w:top w:val="nil"/>
              <w:left w:val="nil"/>
              <w:bottom w:val="nil"/>
              <w:right w:val="nil"/>
            </w:tcBorders>
            <w:shd w:val="clear" w:color="auto" w:fill="auto"/>
            <w:noWrap/>
            <w:tcMar>
              <w:left w:w="57" w:type="dxa"/>
              <w:right w:w="57" w:type="dxa"/>
            </w:tcMar>
            <w:vAlign w:val="bottom"/>
            <w:hideMark/>
          </w:tcPr>
          <w:p w14:paraId="4F473645"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79F9DB57"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0160967D"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7179F2E1"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6E6787CA"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358173DD"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3B4CF06A" w14:textId="77777777" w:rsidR="00E23053" w:rsidRPr="00E23053" w:rsidRDefault="00E23053" w:rsidP="00E23053">
            <w:pPr>
              <w:spacing w:before="0" w:after="0"/>
              <w:ind w:leftChars="150" w:left="270"/>
              <w:rPr>
                <w:color w:val="auto"/>
                <w:sz w:val="16"/>
                <w:szCs w:val="16"/>
              </w:rPr>
            </w:pPr>
            <w:r w:rsidRPr="00E23053">
              <w:rPr>
                <w:color w:val="auto"/>
                <w:sz w:val="16"/>
                <w:szCs w:val="16"/>
              </w:rPr>
              <w:t>Ordinary annual services</w:t>
            </w:r>
            <w:r w:rsidRPr="00E23053">
              <w:rPr>
                <w:color w:val="auto"/>
                <w:sz w:val="14"/>
                <w:szCs w:val="14"/>
                <w:vertAlign w:val="superscript"/>
              </w:rPr>
              <w:t xml:space="preserve"> </w:t>
            </w:r>
            <w:r w:rsidRPr="00E23053">
              <w:rPr>
                <w:color w:val="auto"/>
                <w:sz w:val="16"/>
                <w:szCs w:val="16"/>
                <w:vertAlign w:val="superscript"/>
              </w:rPr>
              <w:t>(b)</w:t>
            </w:r>
          </w:p>
        </w:tc>
        <w:tc>
          <w:tcPr>
            <w:tcW w:w="882" w:type="dxa"/>
            <w:tcBorders>
              <w:top w:val="nil"/>
              <w:left w:val="nil"/>
              <w:bottom w:val="nil"/>
              <w:right w:val="nil"/>
            </w:tcBorders>
            <w:shd w:val="clear" w:color="auto" w:fill="auto"/>
            <w:noWrap/>
            <w:tcMar>
              <w:left w:w="57" w:type="dxa"/>
              <w:right w:w="57" w:type="dxa"/>
            </w:tcMar>
            <w:vAlign w:val="bottom"/>
            <w:hideMark/>
          </w:tcPr>
          <w:p w14:paraId="11AFE994" w14:textId="77777777" w:rsidR="00E23053" w:rsidRPr="00E23053" w:rsidRDefault="00E23053" w:rsidP="00E23053">
            <w:pPr>
              <w:spacing w:before="0" w:after="0"/>
              <w:jc w:val="right"/>
              <w:rPr>
                <w:color w:val="auto"/>
                <w:sz w:val="16"/>
                <w:szCs w:val="16"/>
              </w:rPr>
            </w:pPr>
            <w:r w:rsidRPr="00E23053">
              <w:rPr>
                <w:color w:val="auto"/>
                <w:sz w:val="16"/>
                <w:szCs w:val="16"/>
              </w:rPr>
              <w:t>1,516,332</w:t>
            </w:r>
          </w:p>
        </w:tc>
        <w:tc>
          <w:tcPr>
            <w:tcW w:w="859" w:type="dxa"/>
            <w:tcBorders>
              <w:top w:val="nil"/>
              <w:left w:val="nil"/>
              <w:bottom w:val="nil"/>
              <w:right w:val="nil"/>
            </w:tcBorders>
            <w:shd w:val="clear" w:color="000000" w:fill="D9D9D9"/>
            <w:noWrap/>
            <w:tcMar>
              <w:left w:w="57" w:type="dxa"/>
              <w:right w:w="57" w:type="dxa"/>
            </w:tcMar>
            <w:vAlign w:val="bottom"/>
            <w:hideMark/>
          </w:tcPr>
          <w:p w14:paraId="24A088CA" w14:textId="77777777" w:rsidR="00E23053" w:rsidRPr="00E23053" w:rsidRDefault="00E23053" w:rsidP="00E23053">
            <w:pPr>
              <w:spacing w:before="0" w:after="0"/>
              <w:jc w:val="right"/>
              <w:rPr>
                <w:color w:val="auto"/>
                <w:sz w:val="16"/>
                <w:szCs w:val="16"/>
              </w:rPr>
            </w:pPr>
            <w:r w:rsidRPr="00E23053">
              <w:rPr>
                <w:color w:val="auto"/>
                <w:sz w:val="16"/>
                <w:szCs w:val="16"/>
              </w:rPr>
              <w:t>1,603,614</w:t>
            </w:r>
          </w:p>
        </w:tc>
        <w:tc>
          <w:tcPr>
            <w:tcW w:w="859" w:type="dxa"/>
            <w:tcBorders>
              <w:top w:val="nil"/>
              <w:left w:val="nil"/>
              <w:bottom w:val="nil"/>
              <w:right w:val="nil"/>
            </w:tcBorders>
            <w:shd w:val="clear" w:color="auto" w:fill="auto"/>
            <w:noWrap/>
            <w:tcMar>
              <w:left w:w="57" w:type="dxa"/>
              <w:right w:w="57" w:type="dxa"/>
            </w:tcMar>
            <w:vAlign w:val="bottom"/>
            <w:hideMark/>
          </w:tcPr>
          <w:p w14:paraId="3DAC85CC" w14:textId="77777777" w:rsidR="00E23053" w:rsidRPr="00E23053" w:rsidRDefault="00E23053" w:rsidP="00E23053">
            <w:pPr>
              <w:spacing w:before="0" w:after="0"/>
              <w:jc w:val="right"/>
              <w:rPr>
                <w:color w:val="auto"/>
                <w:sz w:val="16"/>
                <w:szCs w:val="16"/>
              </w:rPr>
            </w:pPr>
            <w:r w:rsidRPr="00E23053">
              <w:rPr>
                <w:color w:val="auto"/>
                <w:sz w:val="16"/>
                <w:szCs w:val="16"/>
              </w:rPr>
              <w:t>1,611,029</w:t>
            </w:r>
          </w:p>
        </w:tc>
        <w:tc>
          <w:tcPr>
            <w:tcW w:w="859" w:type="dxa"/>
            <w:tcBorders>
              <w:top w:val="nil"/>
              <w:left w:val="nil"/>
              <w:bottom w:val="nil"/>
              <w:right w:val="nil"/>
            </w:tcBorders>
            <w:shd w:val="clear" w:color="auto" w:fill="auto"/>
            <w:noWrap/>
            <w:tcMar>
              <w:left w:w="57" w:type="dxa"/>
              <w:right w:w="57" w:type="dxa"/>
            </w:tcMar>
            <w:vAlign w:val="bottom"/>
            <w:hideMark/>
          </w:tcPr>
          <w:p w14:paraId="1E95C9D7" w14:textId="77777777" w:rsidR="00E23053" w:rsidRPr="00E23053" w:rsidRDefault="00E23053" w:rsidP="00E23053">
            <w:pPr>
              <w:spacing w:before="0" w:after="0"/>
              <w:jc w:val="right"/>
              <w:rPr>
                <w:color w:val="auto"/>
                <w:sz w:val="16"/>
                <w:szCs w:val="16"/>
              </w:rPr>
            </w:pPr>
            <w:r w:rsidRPr="00E23053">
              <w:rPr>
                <w:color w:val="auto"/>
                <w:sz w:val="16"/>
                <w:szCs w:val="16"/>
              </w:rPr>
              <w:t>1,617,458</w:t>
            </w:r>
          </w:p>
        </w:tc>
        <w:tc>
          <w:tcPr>
            <w:tcW w:w="859" w:type="dxa"/>
            <w:tcBorders>
              <w:top w:val="nil"/>
              <w:left w:val="nil"/>
              <w:bottom w:val="nil"/>
              <w:right w:val="nil"/>
            </w:tcBorders>
            <w:shd w:val="clear" w:color="auto" w:fill="auto"/>
            <w:noWrap/>
            <w:tcMar>
              <w:left w:w="57" w:type="dxa"/>
              <w:right w:w="57" w:type="dxa"/>
            </w:tcMar>
            <w:vAlign w:val="bottom"/>
            <w:hideMark/>
          </w:tcPr>
          <w:p w14:paraId="736CF1B4" w14:textId="77777777" w:rsidR="00E23053" w:rsidRPr="00E23053" w:rsidRDefault="00E23053" w:rsidP="00E23053">
            <w:pPr>
              <w:spacing w:before="0" w:after="0"/>
              <w:jc w:val="right"/>
              <w:rPr>
                <w:color w:val="auto"/>
                <w:sz w:val="16"/>
                <w:szCs w:val="16"/>
              </w:rPr>
            </w:pPr>
            <w:r w:rsidRPr="00E23053">
              <w:rPr>
                <w:color w:val="auto"/>
                <w:sz w:val="16"/>
                <w:szCs w:val="16"/>
              </w:rPr>
              <w:t>1,621,123</w:t>
            </w:r>
          </w:p>
        </w:tc>
      </w:tr>
      <w:tr w:rsidR="00E23053" w:rsidRPr="00E23053" w14:paraId="07DF0142"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4246A74C" w14:textId="77777777" w:rsidR="00E23053" w:rsidRPr="00E23053" w:rsidRDefault="00E23053" w:rsidP="00E23053">
            <w:pPr>
              <w:spacing w:before="0" w:after="0"/>
              <w:ind w:leftChars="75" w:left="135"/>
              <w:rPr>
                <w:color w:val="auto"/>
                <w:sz w:val="16"/>
                <w:szCs w:val="16"/>
              </w:rPr>
            </w:pPr>
            <w:r w:rsidRPr="00E23053">
              <w:rPr>
                <w:color w:val="auto"/>
                <w:sz w:val="16"/>
                <w:szCs w:val="16"/>
              </w:rPr>
              <w:t>Departmental expenses</w:t>
            </w:r>
          </w:p>
        </w:tc>
        <w:tc>
          <w:tcPr>
            <w:tcW w:w="882" w:type="dxa"/>
            <w:tcBorders>
              <w:top w:val="nil"/>
              <w:left w:val="nil"/>
              <w:bottom w:val="nil"/>
              <w:right w:val="nil"/>
            </w:tcBorders>
            <w:shd w:val="clear" w:color="auto" w:fill="auto"/>
            <w:noWrap/>
            <w:tcMar>
              <w:left w:w="57" w:type="dxa"/>
              <w:right w:w="57" w:type="dxa"/>
            </w:tcMar>
            <w:vAlign w:val="bottom"/>
            <w:hideMark/>
          </w:tcPr>
          <w:p w14:paraId="2B8CE96D"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57E3B3C4"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557456BF"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6B30B07B"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45EF4962"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0B6A5936"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113FED7D" w14:textId="77777777" w:rsidR="00E23053" w:rsidRPr="00E23053" w:rsidRDefault="00E23053" w:rsidP="00E23053">
            <w:pPr>
              <w:spacing w:before="0" w:after="0"/>
              <w:ind w:leftChars="150" w:left="270"/>
              <w:rPr>
                <w:color w:val="auto"/>
                <w:sz w:val="16"/>
                <w:szCs w:val="16"/>
              </w:rPr>
            </w:pPr>
            <w:r w:rsidRPr="00E23053">
              <w:rPr>
                <w:color w:val="auto"/>
                <w:sz w:val="16"/>
                <w:szCs w:val="16"/>
              </w:rPr>
              <w:t>Departmental appropriation</w:t>
            </w:r>
            <w:r w:rsidRPr="00E23053">
              <w:rPr>
                <w:color w:val="auto"/>
                <w:sz w:val="16"/>
                <w:szCs w:val="16"/>
                <w:vertAlign w:val="superscript"/>
              </w:rPr>
              <w:t xml:space="preserve"> (c)</w:t>
            </w:r>
          </w:p>
        </w:tc>
        <w:tc>
          <w:tcPr>
            <w:tcW w:w="882" w:type="dxa"/>
            <w:tcBorders>
              <w:top w:val="nil"/>
              <w:left w:val="nil"/>
              <w:bottom w:val="nil"/>
              <w:right w:val="nil"/>
            </w:tcBorders>
            <w:shd w:val="clear" w:color="auto" w:fill="auto"/>
            <w:noWrap/>
            <w:tcMar>
              <w:left w:w="57" w:type="dxa"/>
              <w:right w:w="57" w:type="dxa"/>
            </w:tcMar>
            <w:vAlign w:val="bottom"/>
            <w:hideMark/>
          </w:tcPr>
          <w:p w14:paraId="5C8683D7" w14:textId="77777777" w:rsidR="00E23053" w:rsidRPr="00E23053" w:rsidRDefault="00E23053" w:rsidP="00E23053">
            <w:pPr>
              <w:spacing w:before="0" w:after="0"/>
              <w:jc w:val="right"/>
              <w:rPr>
                <w:color w:val="auto"/>
                <w:sz w:val="16"/>
                <w:szCs w:val="16"/>
              </w:rPr>
            </w:pPr>
            <w:r w:rsidRPr="00E23053">
              <w:rPr>
                <w:color w:val="auto"/>
                <w:sz w:val="16"/>
                <w:szCs w:val="16"/>
              </w:rPr>
              <w:t>38,322</w:t>
            </w:r>
          </w:p>
        </w:tc>
        <w:tc>
          <w:tcPr>
            <w:tcW w:w="859" w:type="dxa"/>
            <w:tcBorders>
              <w:top w:val="nil"/>
              <w:left w:val="nil"/>
              <w:bottom w:val="nil"/>
              <w:right w:val="nil"/>
            </w:tcBorders>
            <w:shd w:val="clear" w:color="000000" w:fill="D9D9D9"/>
            <w:noWrap/>
            <w:tcMar>
              <w:left w:w="57" w:type="dxa"/>
              <w:right w:w="57" w:type="dxa"/>
            </w:tcMar>
            <w:vAlign w:val="bottom"/>
            <w:hideMark/>
          </w:tcPr>
          <w:p w14:paraId="2F7CA81F" w14:textId="77777777" w:rsidR="00E23053" w:rsidRPr="00E23053" w:rsidRDefault="00E23053" w:rsidP="00E23053">
            <w:pPr>
              <w:spacing w:before="0" w:after="0"/>
              <w:jc w:val="right"/>
              <w:rPr>
                <w:color w:val="auto"/>
                <w:sz w:val="16"/>
                <w:szCs w:val="16"/>
              </w:rPr>
            </w:pPr>
            <w:r w:rsidRPr="00E23053">
              <w:rPr>
                <w:color w:val="auto"/>
                <w:sz w:val="16"/>
                <w:szCs w:val="16"/>
              </w:rPr>
              <w:t>38,533</w:t>
            </w:r>
          </w:p>
        </w:tc>
        <w:tc>
          <w:tcPr>
            <w:tcW w:w="859" w:type="dxa"/>
            <w:tcBorders>
              <w:top w:val="nil"/>
              <w:left w:val="nil"/>
              <w:bottom w:val="nil"/>
              <w:right w:val="nil"/>
            </w:tcBorders>
            <w:shd w:val="clear" w:color="auto" w:fill="auto"/>
            <w:noWrap/>
            <w:tcMar>
              <w:left w:w="57" w:type="dxa"/>
              <w:right w:w="57" w:type="dxa"/>
            </w:tcMar>
            <w:vAlign w:val="bottom"/>
            <w:hideMark/>
          </w:tcPr>
          <w:p w14:paraId="5C4A7F02" w14:textId="77777777" w:rsidR="00E23053" w:rsidRPr="00E23053" w:rsidRDefault="00E23053" w:rsidP="00E23053">
            <w:pPr>
              <w:spacing w:before="0" w:after="0"/>
              <w:jc w:val="right"/>
              <w:rPr>
                <w:color w:val="auto"/>
                <w:sz w:val="16"/>
                <w:szCs w:val="16"/>
              </w:rPr>
            </w:pPr>
            <w:r w:rsidRPr="00E23053">
              <w:rPr>
                <w:color w:val="auto"/>
                <w:sz w:val="16"/>
                <w:szCs w:val="16"/>
              </w:rPr>
              <w:t>36,755</w:t>
            </w:r>
          </w:p>
        </w:tc>
        <w:tc>
          <w:tcPr>
            <w:tcW w:w="859" w:type="dxa"/>
            <w:tcBorders>
              <w:top w:val="nil"/>
              <w:left w:val="nil"/>
              <w:bottom w:val="nil"/>
              <w:right w:val="nil"/>
            </w:tcBorders>
            <w:shd w:val="clear" w:color="auto" w:fill="auto"/>
            <w:noWrap/>
            <w:tcMar>
              <w:left w:w="57" w:type="dxa"/>
              <w:right w:w="57" w:type="dxa"/>
            </w:tcMar>
            <w:vAlign w:val="bottom"/>
            <w:hideMark/>
          </w:tcPr>
          <w:p w14:paraId="30F75016" w14:textId="77777777" w:rsidR="00E23053" w:rsidRPr="00E23053" w:rsidRDefault="00E23053" w:rsidP="00E23053">
            <w:pPr>
              <w:spacing w:before="0" w:after="0"/>
              <w:jc w:val="right"/>
              <w:rPr>
                <w:color w:val="auto"/>
                <w:sz w:val="16"/>
                <w:szCs w:val="16"/>
              </w:rPr>
            </w:pPr>
            <w:r w:rsidRPr="00E23053">
              <w:rPr>
                <w:color w:val="auto"/>
                <w:sz w:val="16"/>
                <w:szCs w:val="16"/>
              </w:rPr>
              <w:t>36,574</w:t>
            </w:r>
          </w:p>
        </w:tc>
        <w:tc>
          <w:tcPr>
            <w:tcW w:w="859" w:type="dxa"/>
            <w:tcBorders>
              <w:top w:val="nil"/>
              <w:left w:val="nil"/>
              <w:bottom w:val="nil"/>
              <w:right w:val="nil"/>
            </w:tcBorders>
            <w:shd w:val="clear" w:color="auto" w:fill="auto"/>
            <w:noWrap/>
            <w:tcMar>
              <w:left w:w="57" w:type="dxa"/>
              <w:right w:w="57" w:type="dxa"/>
            </w:tcMar>
            <w:vAlign w:val="bottom"/>
            <w:hideMark/>
          </w:tcPr>
          <w:p w14:paraId="1AC82619" w14:textId="77777777" w:rsidR="00E23053" w:rsidRPr="00E23053" w:rsidRDefault="00E23053" w:rsidP="00E23053">
            <w:pPr>
              <w:spacing w:before="0" w:after="0"/>
              <w:jc w:val="right"/>
              <w:rPr>
                <w:color w:val="auto"/>
                <w:sz w:val="16"/>
                <w:szCs w:val="16"/>
              </w:rPr>
            </w:pPr>
            <w:r w:rsidRPr="00E23053">
              <w:rPr>
                <w:color w:val="auto"/>
                <w:sz w:val="16"/>
                <w:szCs w:val="16"/>
              </w:rPr>
              <w:t>36,480</w:t>
            </w:r>
          </w:p>
        </w:tc>
      </w:tr>
      <w:tr w:rsidR="00E23053" w:rsidRPr="00E23053" w14:paraId="3C85260A" w14:textId="77777777" w:rsidTr="002674F9">
        <w:trPr>
          <w:trHeight w:val="454"/>
          <w:jc w:val="center"/>
        </w:trPr>
        <w:tc>
          <w:tcPr>
            <w:tcW w:w="3002" w:type="dxa"/>
            <w:tcBorders>
              <w:top w:val="nil"/>
              <w:left w:val="nil"/>
              <w:bottom w:val="nil"/>
              <w:right w:val="nil"/>
            </w:tcBorders>
            <w:shd w:val="clear" w:color="auto" w:fill="auto"/>
            <w:vAlign w:val="bottom"/>
            <w:hideMark/>
          </w:tcPr>
          <w:p w14:paraId="09ED3514" w14:textId="77777777" w:rsidR="00E23053" w:rsidRPr="00E23053" w:rsidRDefault="00E23053" w:rsidP="00E23053">
            <w:pPr>
              <w:spacing w:before="0" w:after="0"/>
              <w:ind w:leftChars="150" w:left="270"/>
              <w:rPr>
                <w:color w:val="auto"/>
                <w:sz w:val="16"/>
                <w:szCs w:val="16"/>
              </w:rPr>
            </w:pPr>
            <w:r w:rsidRPr="00E23053">
              <w:rPr>
                <w:color w:val="auto"/>
                <w:sz w:val="16"/>
                <w:szCs w:val="16"/>
              </w:rPr>
              <w:t xml:space="preserve">Expenses not requiring appropriation in the Budget year </w:t>
            </w:r>
            <w:r w:rsidRPr="00E23053">
              <w:rPr>
                <w:color w:val="auto"/>
                <w:sz w:val="16"/>
                <w:szCs w:val="16"/>
                <w:vertAlign w:val="superscript"/>
              </w:rPr>
              <w:t>(d)</w:t>
            </w:r>
          </w:p>
        </w:tc>
        <w:tc>
          <w:tcPr>
            <w:tcW w:w="882" w:type="dxa"/>
            <w:tcBorders>
              <w:top w:val="nil"/>
              <w:left w:val="nil"/>
              <w:bottom w:val="nil"/>
              <w:right w:val="nil"/>
            </w:tcBorders>
            <w:shd w:val="clear" w:color="auto" w:fill="auto"/>
            <w:noWrap/>
            <w:tcMar>
              <w:left w:w="57" w:type="dxa"/>
              <w:right w:w="57" w:type="dxa"/>
            </w:tcMar>
            <w:vAlign w:val="bottom"/>
            <w:hideMark/>
          </w:tcPr>
          <w:p w14:paraId="6C19E62D" w14:textId="77777777" w:rsidR="00E23053" w:rsidRPr="00E23053" w:rsidRDefault="00E23053" w:rsidP="00E23053">
            <w:pPr>
              <w:spacing w:before="0" w:after="0"/>
              <w:jc w:val="right"/>
              <w:rPr>
                <w:color w:val="auto"/>
                <w:sz w:val="16"/>
                <w:szCs w:val="16"/>
              </w:rPr>
            </w:pPr>
            <w:r w:rsidRPr="00E23053">
              <w:rPr>
                <w:color w:val="auto"/>
                <w:sz w:val="16"/>
                <w:szCs w:val="16"/>
              </w:rPr>
              <w:t>3,932</w:t>
            </w:r>
          </w:p>
        </w:tc>
        <w:tc>
          <w:tcPr>
            <w:tcW w:w="859" w:type="dxa"/>
            <w:tcBorders>
              <w:top w:val="nil"/>
              <w:left w:val="nil"/>
              <w:bottom w:val="nil"/>
              <w:right w:val="nil"/>
            </w:tcBorders>
            <w:shd w:val="clear" w:color="000000" w:fill="D9D9D9"/>
            <w:noWrap/>
            <w:tcMar>
              <w:left w:w="57" w:type="dxa"/>
              <w:right w:w="57" w:type="dxa"/>
            </w:tcMar>
            <w:vAlign w:val="bottom"/>
            <w:hideMark/>
          </w:tcPr>
          <w:p w14:paraId="38A0491B" w14:textId="77777777" w:rsidR="00E23053" w:rsidRPr="00E23053" w:rsidRDefault="00E23053" w:rsidP="00E23053">
            <w:pPr>
              <w:spacing w:before="0" w:after="0"/>
              <w:jc w:val="right"/>
              <w:rPr>
                <w:color w:val="auto"/>
                <w:sz w:val="16"/>
                <w:szCs w:val="16"/>
              </w:rPr>
            </w:pPr>
            <w:r w:rsidRPr="00E23053">
              <w:rPr>
                <w:color w:val="auto"/>
                <w:sz w:val="16"/>
                <w:szCs w:val="16"/>
              </w:rPr>
              <w:t>4,837</w:t>
            </w:r>
          </w:p>
        </w:tc>
        <w:tc>
          <w:tcPr>
            <w:tcW w:w="859" w:type="dxa"/>
            <w:tcBorders>
              <w:top w:val="nil"/>
              <w:left w:val="nil"/>
              <w:bottom w:val="nil"/>
              <w:right w:val="nil"/>
            </w:tcBorders>
            <w:shd w:val="clear" w:color="auto" w:fill="auto"/>
            <w:noWrap/>
            <w:tcMar>
              <w:left w:w="57" w:type="dxa"/>
              <w:right w:w="57" w:type="dxa"/>
            </w:tcMar>
            <w:vAlign w:val="bottom"/>
            <w:hideMark/>
          </w:tcPr>
          <w:p w14:paraId="782154EA" w14:textId="77777777" w:rsidR="00E23053" w:rsidRPr="00E23053" w:rsidRDefault="00E23053" w:rsidP="00E23053">
            <w:pPr>
              <w:spacing w:before="0" w:after="0"/>
              <w:jc w:val="right"/>
              <w:rPr>
                <w:color w:val="auto"/>
                <w:sz w:val="16"/>
                <w:szCs w:val="16"/>
              </w:rPr>
            </w:pPr>
            <w:r w:rsidRPr="00E23053">
              <w:rPr>
                <w:color w:val="auto"/>
                <w:sz w:val="16"/>
                <w:szCs w:val="16"/>
              </w:rPr>
              <w:t>4,345</w:t>
            </w:r>
          </w:p>
        </w:tc>
        <w:tc>
          <w:tcPr>
            <w:tcW w:w="859" w:type="dxa"/>
            <w:tcBorders>
              <w:top w:val="nil"/>
              <w:left w:val="nil"/>
              <w:bottom w:val="nil"/>
              <w:right w:val="nil"/>
            </w:tcBorders>
            <w:shd w:val="clear" w:color="auto" w:fill="auto"/>
            <w:noWrap/>
            <w:tcMar>
              <w:left w:w="57" w:type="dxa"/>
              <w:right w:w="57" w:type="dxa"/>
            </w:tcMar>
            <w:vAlign w:val="bottom"/>
            <w:hideMark/>
          </w:tcPr>
          <w:p w14:paraId="31C3997B" w14:textId="77777777" w:rsidR="00E23053" w:rsidRPr="00E23053" w:rsidRDefault="00E23053" w:rsidP="00E23053">
            <w:pPr>
              <w:spacing w:before="0" w:after="0"/>
              <w:jc w:val="right"/>
              <w:rPr>
                <w:color w:val="auto"/>
                <w:sz w:val="16"/>
                <w:szCs w:val="16"/>
              </w:rPr>
            </w:pPr>
            <w:r w:rsidRPr="00E23053">
              <w:rPr>
                <w:color w:val="auto"/>
                <w:sz w:val="16"/>
                <w:szCs w:val="16"/>
              </w:rPr>
              <w:t>4,075</w:t>
            </w:r>
          </w:p>
        </w:tc>
        <w:tc>
          <w:tcPr>
            <w:tcW w:w="859" w:type="dxa"/>
            <w:tcBorders>
              <w:top w:val="nil"/>
              <w:left w:val="nil"/>
              <w:bottom w:val="nil"/>
              <w:right w:val="nil"/>
            </w:tcBorders>
            <w:shd w:val="clear" w:color="auto" w:fill="auto"/>
            <w:noWrap/>
            <w:tcMar>
              <w:left w:w="57" w:type="dxa"/>
              <w:right w:w="57" w:type="dxa"/>
            </w:tcMar>
            <w:vAlign w:val="bottom"/>
            <w:hideMark/>
          </w:tcPr>
          <w:p w14:paraId="37E3E2EB" w14:textId="77777777" w:rsidR="00E23053" w:rsidRPr="00E23053" w:rsidRDefault="00E23053" w:rsidP="00E23053">
            <w:pPr>
              <w:spacing w:before="0" w:after="0"/>
              <w:jc w:val="right"/>
              <w:rPr>
                <w:color w:val="auto"/>
                <w:sz w:val="16"/>
                <w:szCs w:val="16"/>
              </w:rPr>
            </w:pPr>
            <w:r w:rsidRPr="00E23053">
              <w:rPr>
                <w:color w:val="auto"/>
                <w:sz w:val="16"/>
                <w:szCs w:val="16"/>
              </w:rPr>
              <w:t>3,629</w:t>
            </w:r>
          </w:p>
        </w:tc>
      </w:tr>
      <w:tr w:rsidR="00E23053" w:rsidRPr="00E23053" w14:paraId="6EF8C724"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5B113136" w14:textId="77777777" w:rsidR="00E23053" w:rsidRPr="00E23053" w:rsidRDefault="00E23053" w:rsidP="00E23053">
            <w:pPr>
              <w:spacing w:before="0" w:after="0"/>
              <w:ind w:leftChars="75" w:left="135"/>
              <w:rPr>
                <w:b/>
                <w:bCs/>
                <w:color w:val="auto"/>
                <w:sz w:val="16"/>
                <w:szCs w:val="16"/>
              </w:rPr>
            </w:pPr>
            <w:r w:rsidRPr="00E23053">
              <w:rPr>
                <w:b/>
                <w:bCs/>
                <w:color w:val="auto"/>
                <w:sz w:val="16"/>
                <w:szCs w:val="16"/>
              </w:rPr>
              <w:t>Total for Program 1.4</w:t>
            </w:r>
          </w:p>
        </w:tc>
        <w:tc>
          <w:tcPr>
            <w:tcW w:w="882"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3D99CDD1" w14:textId="77777777" w:rsidR="00E23053" w:rsidRPr="00E23053" w:rsidRDefault="00E23053" w:rsidP="00E23053">
            <w:pPr>
              <w:spacing w:before="0" w:after="0"/>
              <w:jc w:val="right"/>
              <w:rPr>
                <w:b/>
                <w:bCs/>
                <w:color w:val="auto"/>
                <w:sz w:val="16"/>
                <w:szCs w:val="16"/>
              </w:rPr>
            </w:pPr>
            <w:r w:rsidRPr="00E23053">
              <w:rPr>
                <w:b/>
                <w:bCs/>
                <w:color w:val="auto"/>
                <w:sz w:val="16"/>
                <w:szCs w:val="16"/>
              </w:rPr>
              <w:t>1,558,586</w:t>
            </w:r>
          </w:p>
        </w:tc>
        <w:tc>
          <w:tcPr>
            <w:tcW w:w="85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5079A5AA" w14:textId="77777777" w:rsidR="00E23053" w:rsidRPr="00E23053" w:rsidRDefault="00E23053" w:rsidP="00E23053">
            <w:pPr>
              <w:spacing w:before="0" w:after="0"/>
              <w:jc w:val="right"/>
              <w:rPr>
                <w:b/>
                <w:bCs/>
                <w:color w:val="auto"/>
                <w:sz w:val="16"/>
                <w:szCs w:val="16"/>
              </w:rPr>
            </w:pPr>
            <w:r w:rsidRPr="00E23053">
              <w:rPr>
                <w:b/>
                <w:bCs/>
                <w:color w:val="auto"/>
                <w:sz w:val="16"/>
                <w:szCs w:val="16"/>
              </w:rPr>
              <w:t>1,646,984</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65D54352" w14:textId="77777777" w:rsidR="00E23053" w:rsidRPr="00E23053" w:rsidRDefault="00E23053" w:rsidP="00E23053">
            <w:pPr>
              <w:spacing w:before="0" w:after="0"/>
              <w:jc w:val="right"/>
              <w:rPr>
                <w:b/>
                <w:bCs/>
                <w:color w:val="auto"/>
                <w:sz w:val="16"/>
                <w:szCs w:val="16"/>
              </w:rPr>
            </w:pPr>
            <w:r w:rsidRPr="00E23053">
              <w:rPr>
                <w:b/>
                <w:bCs/>
                <w:color w:val="auto"/>
                <w:sz w:val="16"/>
                <w:szCs w:val="16"/>
              </w:rPr>
              <w:t>1,652,129</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41849574" w14:textId="77777777" w:rsidR="00E23053" w:rsidRPr="00E23053" w:rsidRDefault="00E23053" w:rsidP="00E23053">
            <w:pPr>
              <w:spacing w:before="0" w:after="0"/>
              <w:jc w:val="right"/>
              <w:rPr>
                <w:b/>
                <w:bCs/>
                <w:color w:val="auto"/>
                <w:sz w:val="16"/>
                <w:szCs w:val="16"/>
              </w:rPr>
            </w:pPr>
            <w:r w:rsidRPr="00E23053">
              <w:rPr>
                <w:b/>
                <w:bCs/>
                <w:color w:val="auto"/>
                <w:sz w:val="16"/>
                <w:szCs w:val="16"/>
              </w:rPr>
              <w:t>1,658,107</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166655DD" w14:textId="77777777" w:rsidR="00E23053" w:rsidRPr="00E23053" w:rsidRDefault="00E23053" w:rsidP="00E23053">
            <w:pPr>
              <w:spacing w:before="0" w:after="0"/>
              <w:jc w:val="right"/>
              <w:rPr>
                <w:b/>
                <w:bCs/>
                <w:color w:val="auto"/>
                <w:sz w:val="16"/>
                <w:szCs w:val="16"/>
              </w:rPr>
            </w:pPr>
            <w:r w:rsidRPr="00E23053">
              <w:rPr>
                <w:b/>
                <w:bCs/>
                <w:color w:val="auto"/>
                <w:sz w:val="16"/>
                <w:szCs w:val="16"/>
              </w:rPr>
              <w:t>1,661,232</w:t>
            </w:r>
          </w:p>
        </w:tc>
      </w:tr>
      <w:tr w:rsidR="00E23053" w:rsidRPr="00E23053" w14:paraId="329C5D32" w14:textId="77777777" w:rsidTr="00E23053">
        <w:trPr>
          <w:trHeight w:val="300"/>
          <w:jc w:val="center"/>
        </w:trPr>
        <w:tc>
          <w:tcPr>
            <w:tcW w:w="5602" w:type="dxa"/>
            <w:gridSpan w:val="4"/>
            <w:tcBorders>
              <w:top w:val="nil"/>
              <w:left w:val="nil"/>
              <w:bottom w:val="nil"/>
              <w:right w:val="nil"/>
            </w:tcBorders>
            <w:shd w:val="clear" w:color="auto" w:fill="auto"/>
            <w:noWrap/>
            <w:tcMar>
              <w:left w:w="57" w:type="dxa"/>
              <w:right w:w="57" w:type="dxa"/>
            </w:tcMar>
            <w:vAlign w:val="bottom"/>
            <w:hideMark/>
          </w:tcPr>
          <w:p w14:paraId="58FC9155" w14:textId="77777777" w:rsidR="00E23053" w:rsidRPr="00E23053" w:rsidRDefault="00E23053" w:rsidP="00E23053">
            <w:pPr>
              <w:spacing w:before="0" w:after="0"/>
              <w:rPr>
                <w:b/>
                <w:bCs/>
                <w:color w:val="auto"/>
                <w:sz w:val="16"/>
                <w:szCs w:val="16"/>
              </w:rPr>
            </w:pPr>
            <w:r w:rsidRPr="00E23053">
              <w:rPr>
                <w:b/>
                <w:bCs/>
                <w:color w:val="auto"/>
                <w:sz w:val="16"/>
                <w:szCs w:val="16"/>
              </w:rPr>
              <w:t xml:space="preserve">Program 1.5: Preventive Health and Chronic Disease Support </w:t>
            </w:r>
            <w:r w:rsidRPr="00E23053">
              <w:rPr>
                <w:b/>
                <w:bCs/>
                <w:color w:val="auto"/>
                <w:sz w:val="16"/>
                <w:szCs w:val="16"/>
                <w:vertAlign w:val="superscript"/>
              </w:rPr>
              <w:t>(a)</w:t>
            </w:r>
          </w:p>
        </w:tc>
        <w:tc>
          <w:tcPr>
            <w:tcW w:w="859" w:type="dxa"/>
            <w:tcBorders>
              <w:top w:val="nil"/>
              <w:left w:val="nil"/>
              <w:bottom w:val="nil"/>
              <w:right w:val="nil"/>
            </w:tcBorders>
            <w:shd w:val="clear" w:color="auto" w:fill="auto"/>
            <w:noWrap/>
            <w:tcMar>
              <w:left w:w="57" w:type="dxa"/>
              <w:right w:w="57" w:type="dxa"/>
            </w:tcMar>
            <w:vAlign w:val="bottom"/>
            <w:hideMark/>
          </w:tcPr>
          <w:p w14:paraId="6C606163" w14:textId="77777777" w:rsidR="00E23053" w:rsidRPr="00E23053" w:rsidRDefault="00E23053" w:rsidP="00E23053">
            <w:pPr>
              <w:spacing w:before="0" w:after="0"/>
              <w:rPr>
                <w:b/>
                <w:bCs/>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4885084D"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7A5C4BB3"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33B01E3B" w14:textId="77777777" w:rsidR="00E23053" w:rsidRPr="00E23053" w:rsidRDefault="00E23053" w:rsidP="00E23053">
            <w:pPr>
              <w:spacing w:before="0" w:after="0"/>
              <w:ind w:leftChars="75" w:left="135"/>
              <w:rPr>
                <w:color w:val="auto"/>
                <w:sz w:val="16"/>
                <w:szCs w:val="16"/>
              </w:rPr>
            </w:pPr>
            <w:r w:rsidRPr="00E23053">
              <w:rPr>
                <w:color w:val="auto"/>
                <w:sz w:val="16"/>
                <w:szCs w:val="16"/>
              </w:rPr>
              <w:t>Administered expenses</w:t>
            </w:r>
          </w:p>
        </w:tc>
        <w:tc>
          <w:tcPr>
            <w:tcW w:w="882" w:type="dxa"/>
            <w:tcBorders>
              <w:top w:val="nil"/>
              <w:left w:val="nil"/>
              <w:bottom w:val="nil"/>
              <w:right w:val="nil"/>
            </w:tcBorders>
            <w:shd w:val="clear" w:color="auto" w:fill="auto"/>
            <w:noWrap/>
            <w:tcMar>
              <w:left w:w="57" w:type="dxa"/>
              <w:right w:w="57" w:type="dxa"/>
            </w:tcMar>
            <w:vAlign w:val="bottom"/>
            <w:hideMark/>
          </w:tcPr>
          <w:p w14:paraId="068499D3"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280DE5B5"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3832111E"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73C786DC"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488D9364"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34C28204"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41D11334" w14:textId="77777777" w:rsidR="00E23053" w:rsidRPr="00E23053" w:rsidRDefault="00E23053" w:rsidP="00E23053">
            <w:pPr>
              <w:spacing w:before="0" w:after="0"/>
              <w:ind w:leftChars="150" w:left="270"/>
              <w:rPr>
                <w:color w:val="auto"/>
                <w:sz w:val="16"/>
                <w:szCs w:val="16"/>
              </w:rPr>
            </w:pPr>
            <w:r w:rsidRPr="00E23053">
              <w:rPr>
                <w:color w:val="auto"/>
                <w:sz w:val="16"/>
                <w:szCs w:val="16"/>
              </w:rPr>
              <w:t>Ordinary annual services</w:t>
            </w:r>
            <w:r w:rsidRPr="00E23053">
              <w:rPr>
                <w:color w:val="auto"/>
                <w:sz w:val="14"/>
                <w:szCs w:val="14"/>
                <w:vertAlign w:val="superscript"/>
              </w:rPr>
              <w:t xml:space="preserve"> </w:t>
            </w:r>
            <w:r w:rsidRPr="00E23053">
              <w:rPr>
                <w:color w:val="auto"/>
                <w:sz w:val="16"/>
                <w:szCs w:val="16"/>
                <w:vertAlign w:val="superscript"/>
              </w:rPr>
              <w:t>(b)</w:t>
            </w:r>
          </w:p>
        </w:tc>
        <w:tc>
          <w:tcPr>
            <w:tcW w:w="882" w:type="dxa"/>
            <w:tcBorders>
              <w:top w:val="nil"/>
              <w:left w:val="nil"/>
              <w:bottom w:val="nil"/>
              <w:right w:val="nil"/>
            </w:tcBorders>
            <w:shd w:val="clear" w:color="auto" w:fill="auto"/>
            <w:noWrap/>
            <w:tcMar>
              <w:left w:w="57" w:type="dxa"/>
              <w:right w:w="57" w:type="dxa"/>
            </w:tcMar>
            <w:vAlign w:val="bottom"/>
            <w:hideMark/>
          </w:tcPr>
          <w:p w14:paraId="0CDA916D" w14:textId="77777777" w:rsidR="00E23053" w:rsidRPr="00E23053" w:rsidRDefault="00E23053" w:rsidP="00E23053">
            <w:pPr>
              <w:spacing w:before="0" w:after="0"/>
              <w:jc w:val="right"/>
              <w:rPr>
                <w:color w:val="auto"/>
                <w:sz w:val="16"/>
                <w:szCs w:val="16"/>
              </w:rPr>
            </w:pPr>
            <w:r w:rsidRPr="00E23053">
              <w:rPr>
                <w:color w:val="auto"/>
                <w:sz w:val="16"/>
                <w:szCs w:val="16"/>
              </w:rPr>
              <w:t>504,568</w:t>
            </w:r>
          </w:p>
        </w:tc>
        <w:tc>
          <w:tcPr>
            <w:tcW w:w="859" w:type="dxa"/>
            <w:tcBorders>
              <w:top w:val="nil"/>
              <w:left w:val="nil"/>
              <w:bottom w:val="nil"/>
              <w:right w:val="nil"/>
            </w:tcBorders>
            <w:shd w:val="clear" w:color="000000" w:fill="D9D9D9"/>
            <w:noWrap/>
            <w:tcMar>
              <w:left w:w="57" w:type="dxa"/>
              <w:right w:w="57" w:type="dxa"/>
            </w:tcMar>
            <w:vAlign w:val="bottom"/>
            <w:hideMark/>
          </w:tcPr>
          <w:p w14:paraId="3809CCC7" w14:textId="77777777" w:rsidR="00E23053" w:rsidRPr="00E23053" w:rsidRDefault="00E23053" w:rsidP="00E23053">
            <w:pPr>
              <w:spacing w:before="0" w:after="0"/>
              <w:jc w:val="right"/>
              <w:rPr>
                <w:color w:val="auto"/>
                <w:sz w:val="16"/>
                <w:szCs w:val="16"/>
              </w:rPr>
            </w:pPr>
            <w:r w:rsidRPr="00E23053">
              <w:rPr>
                <w:color w:val="auto"/>
                <w:sz w:val="16"/>
                <w:szCs w:val="16"/>
              </w:rPr>
              <w:t>513,837</w:t>
            </w:r>
          </w:p>
        </w:tc>
        <w:tc>
          <w:tcPr>
            <w:tcW w:w="859" w:type="dxa"/>
            <w:tcBorders>
              <w:top w:val="nil"/>
              <w:left w:val="nil"/>
              <w:bottom w:val="nil"/>
              <w:right w:val="nil"/>
            </w:tcBorders>
            <w:shd w:val="clear" w:color="auto" w:fill="auto"/>
            <w:noWrap/>
            <w:tcMar>
              <w:left w:w="57" w:type="dxa"/>
              <w:right w:w="57" w:type="dxa"/>
            </w:tcMar>
            <w:vAlign w:val="bottom"/>
            <w:hideMark/>
          </w:tcPr>
          <w:p w14:paraId="6B01C163" w14:textId="77777777" w:rsidR="00E23053" w:rsidRPr="00E23053" w:rsidRDefault="00E23053" w:rsidP="00E23053">
            <w:pPr>
              <w:spacing w:before="0" w:after="0"/>
              <w:jc w:val="right"/>
              <w:rPr>
                <w:color w:val="auto"/>
                <w:sz w:val="16"/>
                <w:szCs w:val="16"/>
              </w:rPr>
            </w:pPr>
            <w:r w:rsidRPr="00E23053">
              <w:rPr>
                <w:color w:val="auto"/>
                <w:sz w:val="16"/>
                <w:szCs w:val="16"/>
              </w:rPr>
              <w:t>511,675</w:t>
            </w:r>
          </w:p>
        </w:tc>
        <w:tc>
          <w:tcPr>
            <w:tcW w:w="859" w:type="dxa"/>
            <w:tcBorders>
              <w:top w:val="nil"/>
              <w:left w:val="nil"/>
              <w:bottom w:val="nil"/>
              <w:right w:val="nil"/>
            </w:tcBorders>
            <w:shd w:val="clear" w:color="auto" w:fill="auto"/>
            <w:noWrap/>
            <w:tcMar>
              <w:left w:w="57" w:type="dxa"/>
              <w:right w:w="57" w:type="dxa"/>
            </w:tcMar>
            <w:vAlign w:val="bottom"/>
            <w:hideMark/>
          </w:tcPr>
          <w:p w14:paraId="3D64DDAA" w14:textId="77777777" w:rsidR="00E23053" w:rsidRPr="00E23053" w:rsidRDefault="00E23053" w:rsidP="00E23053">
            <w:pPr>
              <w:spacing w:before="0" w:after="0"/>
              <w:jc w:val="right"/>
              <w:rPr>
                <w:color w:val="auto"/>
                <w:sz w:val="16"/>
                <w:szCs w:val="16"/>
              </w:rPr>
            </w:pPr>
            <w:r w:rsidRPr="00E23053">
              <w:rPr>
                <w:color w:val="auto"/>
                <w:sz w:val="16"/>
                <w:szCs w:val="16"/>
              </w:rPr>
              <w:t>469,799</w:t>
            </w:r>
          </w:p>
        </w:tc>
        <w:tc>
          <w:tcPr>
            <w:tcW w:w="859" w:type="dxa"/>
            <w:tcBorders>
              <w:top w:val="nil"/>
              <w:left w:val="nil"/>
              <w:bottom w:val="nil"/>
              <w:right w:val="nil"/>
            </w:tcBorders>
            <w:shd w:val="clear" w:color="auto" w:fill="auto"/>
            <w:noWrap/>
            <w:tcMar>
              <w:left w:w="57" w:type="dxa"/>
              <w:right w:w="57" w:type="dxa"/>
            </w:tcMar>
            <w:vAlign w:val="bottom"/>
            <w:hideMark/>
          </w:tcPr>
          <w:p w14:paraId="61988F68" w14:textId="77777777" w:rsidR="00E23053" w:rsidRPr="00E23053" w:rsidRDefault="00E23053" w:rsidP="00E23053">
            <w:pPr>
              <w:spacing w:before="0" w:after="0"/>
              <w:jc w:val="right"/>
              <w:rPr>
                <w:color w:val="auto"/>
                <w:sz w:val="16"/>
                <w:szCs w:val="16"/>
              </w:rPr>
            </w:pPr>
            <w:r w:rsidRPr="00E23053">
              <w:rPr>
                <w:color w:val="auto"/>
                <w:sz w:val="16"/>
                <w:szCs w:val="16"/>
              </w:rPr>
              <w:t>441,664</w:t>
            </w:r>
          </w:p>
        </w:tc>
      </w:tr>
      <w:tr w:rsidR="00E23053" w:rsidRPr="00E23053" w14:paraId="4EC5AC6E"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2502A93F" w14:textId="77777777" w:rsidR="00E23053" w:rsidRPr="00E23053" w:rsidRDefault="00E23053" w:rsidP="00E23053">
            <w:pPr>
              <w:spacing w:before="0" w:after="0"/>
              <w:ind w:leftChars="75" w:left="135"/>
              <w:rPr>
                <w:color w:val="auto"/>
                <w:sz w:val="16"/>
                <w:szCs w:val="16"/>
              </w:rPr>
            </w:pPr>
            <w:r w:rsidRPr="00E23053">
              <w:rPr>
                <w:color w:val="auto"/>
                <w:sz w:val="16"/>
                <w:szCs w:val="16"/>
              </w:rPr>
              <w:t>Departmental expenses</w:t>
            </w:r>
          </w:p>
        </w:tc>
        <w:tc>
          <w:tcPr>
            <w:tcW w:w="882" w:type="dxa"/>
            <w:tcBorders>
              <w:top w:val="nil"/>
              <w:left w:val="nil"/>
              <w:bottom w:val="nil"/>
              <w:right w:val="nil"/>
            </w:tcBorders>
            <w:shd w:val="clear" w:color="auto" w:fill="auto"/>
            <w:noWrap/>
            <w:tcMar>
              <w:left w:w="57" w:type="dxa"/>
              <w:right w:w="57" w:type="dxa"/>
            </w:tcMar>
            <w:vAlign w:val="bottom"/>
            <w:hideMark/>
          </w:tcPr>
          <w:p w14:paraId="7223AEE6"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5DF9A5AA"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4D554B31"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5C3267DF"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14C7C462"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1B849156"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1074E715" w14:textId="77777777" w:rsidR="00E23053" w:rsidRPr="00E23053" w:rsidRDefault="00E23053" w:rsidP="00E23053">
            <w:pPr>
              <w:spacing w:before="0" w:after="0"/>
              <w:ind w:leftChars="150" w:left="270"/>
              <w:rPr>
                <w:color w:val="auto"/>
                <w:sz w:val="16"/>
                <w:szCs w:val="16"/>
              </w:rPr>
            </w:pPr>
            <w:r w:rsidRPr="00E23053">
              <w:rPr>
                <w:color w:val="auto"/>
                <w:sz w:val="16"/>
                <w:szCs w:val="16"/>
              </w:rPr>
              <w:t>Departmental appropriation</w:t>
            </w:r>
            <w:r w:rsidRPr="00E23053">
              <w:rPr>
                <w:color w:val="auto"/>
                <w:sz w:val="16"/>
                <w:szCs w:val="16"/>
                <w:vertAlign w:val="superscript"/>
              </w:rPr>
              <w:t xml:space="preserve"> (c)</w:t>
            </w:r>
          </w:p>
        </w:tc>
        <w:tc>
          <w:tcPr>
            <w:tcW w:w="882" w:type="dxa"/>
            <w:tcBorders>
              <w:top w:val="nil"/>
              <w:left w:val="nil"/>
              <w:bottom w:val="nil"/>
              <w:right w:val="nil"/>
            </w:tcBorders>
            <w:shd w:val="clear" w:color="auto" w:fill="auto"/>
            <w:noWrap/>
            <w:tcMar>
              <w:left w:w="57" w:type="dxa"/>
              <w:right w:w="57" w:type="dxa"/>
            </w:tcMar>
            <w:vAlign w:val="bottom"/>
            <w:hideMark/>
          </w:tcPr>
          <w:p w14:paraId="6FD1D26A" w14:textId="77777777" w:rsidR="00E23053" w:rsidRPr="00E23053" w:rsidRDefault="00E23053" w:rsidP="00E23053">
            <w:pPr>
              <w:spacing w:before="0" w:after="0"/>
              <w:jc w:val="right"/>
              <w:rPr>
                <w:color w:val="auto"/>
                <w:sz w:val="16"/>
                <w:szCs w:val="16"/>
              </w:rPr>
            </w:pPr>
            <w:r w:rsidRPr="00E23053">
              <w:rPr>
                <w:color w:val="auto"/>
                <w:sz w:val="16"/>
                <w:szCs w:val="16"/>
              </w:rPr>
              <w:t>36,713</w:t>
            </w:r>
          </w:p>
        </w:tc>
        <w:tc>
          <w:tcPr>
            <w:tcW w:w="859" w:type="dxa"/>
            <w:tcBorders>
              <w:top w:val="nil"/>
              <w:left w:val="nil"/>
              <w:bottom w:val="nil"/>
              <w:right w:val="nil"/>
            </w:tcBorders>
            <w:shd w:val="clear" w:color="000000" w:fill="D9D9D9"/>
            <w:noWrap/>
            <w:tcMar>
              <w:left w:w="57" w:type="dxa"/>
              <w:right w:w="57" w:type="dxa"/>
            </w:tcMar>
            <w:vAlign w:val="bottom"/>
            <w:hideMark/>
          </w:tcPr>
          <w:p w14:paraId="5F8218C7" w14:textId="77777777" w:rsidR="00E23053" w:rsidRPr="00E23053" w:rsidRDefault="00E23053" w:rsidP="00E23053">
            <w:pPr>
              <w:spacing w:before="0" w:after="0"/>
              <w:jc w:val="right"/>
              <w:rPr>
                <w:color w:val="auto"/>
                <w:sz w:val="16"/>
                <w:szCs w:val="16"/>
              </w:rPr>
            </w:pPr>
            <w:r w:rsidRPr="00E23053">
              <w:rPr>
                <w:color w:val="auto"/>
                <w:sz w:val="16"/>
                <w:szCs w:val="16"/>
              </w:rPr>
              <w:t>36,864</w:t>
            </w:r>
          </w:p>
        </w:tc>
        <w:tc>
          <w:tcPr>
            <w:tcW w:w="859" w:type="dxa"/>
            <w:tcBorders>
              <w:top w:val="nil"/>
              <w:left w:val="nil"/>
              <w:bottom w:val="nil"/>
              <w:right w:val="nil"/>
            </w:tcBorders>
            <w:shd w:val="clear" w:color="auto" w:fill="auto"/>
            <w:noWrap/>
            <w:tcMar>
              <w:left w:w="57" w:type="dxa"/>
              <w:right w:w="57" w:type="dxa"/>
            </w:tcMar>
            <w:vAlign w:val="bottom"/>
            <w:hideMark/>
          </w:tcPr>
          <w:p w14:paraId="1CFD7644" w14:textId="77777777" w:rsidR="00E23053" w:rsidRPr="00E23053" w:rsidRDefault="00E23053" w:rsidP="00E23053">
            <w:pPr>
              <w:spacing w:before="0" w:after="0"/>
              <w:jc w:val="right"/>
              <w:rPr>
                <w:color w:val="auto"/>
                <w:sz w:val="16"/>
                <w:szCs w:val="16"/>
              </w:rPr>
            </w:pPr>
            <w:r w:rsidRPr="00E23053">
              <w:rPr>
                <w:color w:val="auto"/>
                <w:sz w:val="16"/>
                <w:szCs w:val="16"/>
              </w:rPr>
              <w:t>36,190</w:t>
            </w:r>
          </w:p>
        </w:tc>
        <w:tc>
          <w:tcPr>
            <w:tcW w:w="859" w:type="dxa"/>
            <w:tcBorders>
              <w:top w:val="nil"/>
              <w:left w:val="nil"/>
              <w:bottom w:val="nil"/>
              <w:right w:val="nil"/>
            </w:tcBorders>
            <w:shd w:val="clear" w:color="auto" w:fill="auto"/>
            <w:noWrap/>
            <w:tcMar>
              <w:left w:w="57" w:type="dxa"/>
              <w:right w:w="57" w:type="dxa"/>
            </w:tcMar>
            <w:vAlign w:val="bottom"/>
            <w:hideMark/>
          </w:tcPr>
          <w:p w14:paraId="42AEDEBA" w14:textId="77777777" w:rsidR="00E23053" w:rsidRPr="00E23053" w:rsidRDefault="00E23053" w:rsidP="00E23053">
            <w:pPr>
              <w:spacing w:before="0" w:after="0"/>
              <w:jc w:val="right"/>
              <w:rPr>
                <w:color w:val="auto"/>
                <w:sz w:val="16"/>
                <w:szCs w:val="16"/>
              </w:rPr>
            </w:pPr>
            <w:r w:rsidRPr="00E23053">
              <w:rPr>
                <w:color w:val="auto"/>
                <w:sz w:val="16"/>
                <w:szCs w:val="16"/>
              </w:rPr>
              <w:t>35,984</w:t>
            </w:r>
          </w:p>
        </w:tc>
        <w:tc>
          <w:tcPr>
            <w:tcW w:w="859" w:type="dxa"/>
            <w:tcBorders>
              <w:top w:val="nil"/>
              <w:left w:val="nil"/>
              <w:bottom w:val="nil"/>
              <w:right w:val="nil"/>
            </w:tcBorders>
            <w:shd w:val="clear" w:color="auto" w:fill="auto"/>
            <w:noWrap/>
            <w:tcMar>
              <w:left w:w="57" w:type="dxa"/>
              <w:right w:w="57" w:type="dxa"/>
            </w:tcMar>
            <w:vAlign w:val="bottom"/>
            <w:hideMark/>
          </w:tcPr>
          <w:p w14:paraId="49A35F1C" w14:textId="77777777" w:rsidR="00E23053" w:rsidRPr="00E23053" w:rsidRDefault="00E23053" w:rsidP="00E23053">
            <w:pPr>
              <w:spacing w:before="0" w:after="0"/>
              <w:jc w:val="right"/>
              <w:rPr>
                <w:color w:val="auto"/>
                <w:sz w:val="16"/>
                <w:szCs w:val="16"/>
              </w:rPr>
            </w:pPr>
            <w:r w:rsidRPr="00E23053">
              <w:rPr>
                <w:color w:val="auto"/>
                <w:sz w:val="16"/>
                <w:szCs w:val="16"/>
              </w:rPr>
              <w:t>36,039</w:t>
            </w:r>
          </w:p>
        </w:tc>
      </w:tr>
      <w:tr w:rsidR="00E23053" w:rsidRPr="00E23053" w14:paraId="1AA4168C" w14:textId="77777777" w:rsidTr="002674F9">
        <w:trPr>
          <w:trHeight w:val="454"/>
          <w:jc w:val="center"/>
        </w:trPr>
        <w:tc>
          <w:tcPr>
            <w:tcW w:w="3002" w:type="dxa"/>
            <w:tcBorders>
              <w:top w:val="nil"/>
              <w:left w:val="nil"/>
              <w:bottom w:val="nil"/>
              <w:right w:val="nil"/>
            </w:tcBorders>
            <w:shd w:val="clear" w:color="auto" w:fill="auto"/>
            <w:vAlign w:val="bottom"/>
            <w:hideMark/>
          </w:tcPr>
          <w:p w14:paraId="47C853C1" w14:textId="77777777" w:rsidR="00E23053" w:rsidRPr="00E23053" w:rsidRDefault="00E23053" w:rsidP="00E23053">
            <w:pPr>
              <w:spacing w:before="0" w:after="0"/>
              <w:ind w:leftChars="150" w:left="270"/>
              <w:rPr>
                <w:color w:val="auto"/>
                <w:sz w:val="16"/>
                <w:szCs w:val="16"/>
              </w:rPr>
            </w:pPr>
            <w:r w:rsidRPr="00E23053">
              <w:rPr>
                <w:color w:val="auto"/>
                <w:sz w:val="16"/>
                <w:szCs w:val="16"/>
              </w:rPr>
              <w:t xml:space="preserve">Expenses not requiring appropriation in the Budget year </w:t>
            </w:r>
            <w:r w:rsidRPr="00E23053">
              <w:rPr>
                <w:color w:val="auto"/>
                <w:sz w:val="16"/>
                <w:szCs w:val="16"/>
                <w:vertAlign w:val="superscript"/>
              </w:rPr>
              <w:t>(d)</w:t>
            </w:r>
          </w:p>
        </w:tc>
        <w:tc>
          <w:tcPr>
            <w:tcW w:w="882" w:type="dxa"/>
            <w:tcBorders>
              <w:top w:val="nil"/>
              <w:left w:val="nil"/>
              <w:bottom w:val="nil"/>
              <w:right w:val="nil"/>
            </w:tcBorders>
            <w:shd w:val="clear" w:color="auto" w:fill="auto"/>
            <w:noWrap/>
            <w:tcMar>
              <w:left w:w="57" w:type="dxa"/>
              <w:right w:w="57" w:type="dxa"/>
            </w:tcMar>
            <w:vAlign w:val="bottom"/>
            <w:hideMark/>
          </w:tcPr>
          <w:p w14:paraId="6B41DFD6" w14:textId="77777777" w:rsidR="00E23053" w:rsidRPr="00E23053" w:rsidRDefault="00E23053" w:rsidP="00E23053">
            <w:pPr>
              <w:spacing w:before="0" w:after="0"/>
              <w:jc w:val="right"/>
              <w:rPr>
                <w:color w:val="auto"/>
                <w:sz w:val="16"/>
                <w:szCs w:val="16"/>
              </w:rPr>
            </w:pPr>
            <w:r w:rsidRPr="00E23053">
              <w:rPr>
                <w:color w:val="auto"/>
                <w:sz w:val="16"/>
                <w:szCs w:val="16"/>
              </w:rPr>
              <w:t>2,950</w:t>
            </w:r>
          </w:p>
        </w:tc>
        <w:tc>
          <w:tcPr>
            <w:tcW w:w="859" w:type="dxa"/>
            <w:tcBorders>
              <w:top w:val="nil"/>
              <w:left w:val="nil"/>
              <w:bottom w:val="nil"/>
              <w:right w:val="nil"/>
            </w:tcBorders>
            <w:shd w:val="clear" w:color="000000" w:fill="D9D9D9"/>
            <w:noWrap/>
            <w:tcMar>
              <w:left w:w="57" w:type="dxa"/>
              <w:right w:w="57" w:type="dxa"/>
            </w:tcMar>
            <w:vAlign w:val="bottom"/>
            <w:hideMark/>
          </w:tcPr>
          <w:p w14:paraId="593514F1" w14:textId="77777777" w:rsidR="00E23053" w:rsidRPr="00E23053" w:rsidRDefault="00E23053" w:rsidP="00E23053">
            <w:pPr>
              <w:spacing w:before="0" w:after="0"/>
              <w:jc w:val="right"/>
              <w:rPr>
                <w:color w:val="auto"/>
                <w:sz w:val="16"/>
                <w:szCs w:val="16"/>
              </w:rPr>
            </w:pPr>
            <w:r w:rsidRPr="00E23053">
              <w:rPr>
                <w:color w:val="auto"/>
                <w:sz w:val="16"/>
                <w:szCs w:val="16"/>
              </w:rPr>
              <w:t>4,413</w:t>
            </w:r>
          </w:p>
        </w:tc>
        <w:tc>
          <w:tcPr>
            <w:tcW w:w="859" w:type="dxa"/>
            <w:tcBorders>
              <w:top w:val="nil"/>
              <w:left w:val="nil"/>
              <w:bottom w:val="nil"/>
              <w:right w:val="nil"/>
            </w:tcBorders>
            <w:shd w:val="clear" w:color="auto" w:fill="auto"/>
            <w:noWrap/>
            <w:tcMar>
              <w:left w:w="57" w:type="dxa"/>
              <w:right w:w="57" w:type="dxa"/>
            </w:tcMar>
            <w:vAlign w:val="bottom"/>
            <w:hideMark/>
          </w:tcPr>
          <w:p w14:paraId="647159A9" w14:textId="77777777" w:rsidR="00E23053" w:rsidRPr="00E23053" w:rsidRDefault="00E23053" w:rsidP="00E23053">
            <w:pPr>
              <w:spacing w:before="0" w:after="0"/>
              <w:jc w:val="right"/>
              <w:rPr>
                <w:color w:val="auto"/>
                <w:sz w:val="16"/>
                <w:szCs w:val="16"/>
              </w:rPr>
            </w:pPr>
            <w:r w:rsidRPr="00E23053">
              <w:rPr>
                <w:color w:val="auto"/>
                <w:sz w:val="16"/>
                <w:szCs w:val="16"/>
              </w:rPr>
              <w:t>4,044</w:t>
            </w:r>
          </w:p>
        </w:tc>
        <w:tc>
          <w:tcPr>
            <w:tcW w:w="859" w:type="dxa"/>
            <w:tcBorders>
              <w:top w:val="nil"/>
              <w:left w:val="nil"/>
              <w:bottom w:val="nil"/>
              <w:right w:val="nil"/>
            </w:tcBorders>
            <w:shd w:val="clear" w:color="auto" w:fill="auto"/>
            <w:noWrap/>
            <w:tcMar>
              <w:left w:w="57" w:type="dxa"/>
              <w:right w:w="57" w:type="dxa"/>
            </w:tcMar>
            <w:vAlign w:val="bottom"/>
            <w:hideMark/>
          </w:tcPr>
          <w:p w14:paraId="6B8988C0" w14:textId="77777777" w:rsidR="00E23053" w:rsidRPr="00E23053" w:rsidRDefault="00E23053" w:rsidP="00E23053">
            <w:pPr>
              <w:spacing w:before="0" w:after="0"/>
              <w:jc w:val="right"/>
              <w:rPr>
                <w:color w:val="auto"/>
                <w:sz w:val="16"/>
                <w:szCs w:val="16"/>
              </w:rPr>
            </w:pPr>
            <w:r w:rsidRPr="00E23053">
              <w:rPr>
                <w:color w:val="auto"/>
                <w:sz w:val="16"/>
                <w:szCs w:val="16"/>
              </w:rPr>
              <w:t>3,821</w:t>
            </w:r>
          </w:p>
        </w:tc>
        <w:tc>
          <w:tcPr>
            <w:tcW w:w="859" w:type="dxa"/>
            <w:tcBorders>
              <w:top w:val="nil"/>
              <w:left w:val="nil"/>
              <w:bottom w:val="nil"/>
              <w:right w:val="nil"/>
            </w:tcBorders>
            <w:shd w:val="clear" w:color="auto" w:fill="auto"/>
            <w:noWrap/>
            <w:tcMar>
              <w:left w:w="57" w:type="dxa"/>
              <w:right w:w="57" w:type="dxa"/>
            </w:tcMar>
            <w:vAlign w:val="bottom"/>
            <w:hideMark/>
          </w:tcPr>
          <w:p w14:paraId="16501E38" w14:textId="77777777" w:rsidR="00E23053" w:rsidRPr="00E23053" w:rsidRDefault="00E23053" w:rsidP="00E23053">
            <w:pPr>
              <w:spacing w:before="0" w:after="0"/>
              <w:jc w:val="right"/>
              <w:rPr>
                <w:color w:val="auto"/>
                <w:sz w:val="16"/>
                <w:szCs w:val="16"/>
              </w:rPr>
            </w:pPr>
            <w:r w:rsidRPr="00E23053">
              <w:rPr>
                <w:color w:val="auto"/>
                <w:sz w:val="16"/>
                <w:szCs w:val="16"/>
              </w:rPr>
              <w:t>3,383</w:t>
            </w:r>
          </w:p>
        </w:tc>
      </w:tr>
      <w:tr w:rsidR="00E23053" w:rsidRPr="00E23053" w14:paraId="788556A9"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2401C849" w14:textId="77777777" w:rsidR="00E23053" w:rsidRPr="00E23053" w:rsidRDefault="00E23053" w:rsidP="00E23053">
            <w:pPr>
              <w:spacing w:before="0" w:after="0"/>
              <w:ind w:leftChars="75" w:left="135"/>
              <w:rPr>
                <w:b/>
                <w:bCs/>
                <w:color w:val="auto"/>
                <w:sz w:val="16"/>
                <w:szCs w:val="16"/>
              </w:rPr>
            </w:pPr>
            <w:r w:rsidRPr="00E23053">
              <w:rPr>
                <w:b/>
                <w:bCs/>
                <w:color w:val="auto"/>
                <w:sz w:val="16"/>
                <w:szCs w:val="16"/>
              </w:rPr>
              <w:t>Total for Program 1.5</w:t>
            </w:r>
          </w:p>
        </w:tc>
        <w:tc>
          <w:tcPr>
            <w:tcW w:w="882"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736D60AC" w14:textId="77777777" w:rsidR="00E23053" w:rsidRPr="00E23053" w:rsidRDefault="00E23053" w:rsidP="00E23053">
            <w:pPr>
              <w:spacing w:before="0" w:after="0"/>
              <w:jc w:val="right"/>
              <w:rPr>
                <w:b/>
                <w:bCs/>
                <w:color w:val="auto"/>
                <w:sz w:val="16"/>
                <w:szCs w:val="16"/>
              </w:rPr>
            </w:pPr>
            <w:r w:rsidRPr="00E23053">
              <w:rPr>
                <w:b/>
                <w:bCs/>
                <w:color w:val="auto"/>
                <w:sz w:val="16"/>
                <w:szCs w:val="16"/>
              </w:rPr>
              <w:t>544,231</w:t>
            </w:r>
          </w:p>
        </w:tc>
        <w:tc>
          <w:tcPr>
            <w:tcW w:w="85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4622A39D" w14:textId="77777777" w:rsidR="00E23053" w:rsidRPr="00E23053" w:rsidRDefault="00E23053" w:rsidP="00E23053">
            <w:pPr>
              <w:spacing w:before="0" w:after="0"/>
              <w:jc w:val="right"/>
              <w:rPr>
                <w:b/>
                <w:bCs/>
                <w:color w:val="auto"/>
                <w:sz w:val="16"/>
                <w:szCs w:val="16"/>
              </w:rPr>
            </w:pPr>
            <w:r w:rsidRPr="00E23053">
              <w:rPr>
                <w:b/>
                <w:bCs/>
                <w:color w:val="auto"/>
                <w:sz w:val="16"/>
                <w:szCs w:val="16"/>
              </w:rPr>
              <w:t>555,114</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39EBA510" w14:textId="77777777" w:rsidR="00E23053" w:rsidRPr="00E23053" w:rsidRDefault="00E23053" w:rsidP="00E23053">
            <w:pPr>
              <w:spacing w:before="0" w:after="0"/>
              <w:jc w:val="right"/>
              <w:rPr>
                <w:b/>
                <w:bCs/>
                <w:color w:val="auto"/>
                <w:sz w:val="16"/>
                <w:szCs w:val="16"/>
              </w:rPr>
            </w:pPr>
            <w:r w:rsidRPr="00E23053">
              <w:rPr>
                <w:b/>
                <w:bCs/>
                <w:color w:val="auto"/>
                <w:sz w:val="16"/>
                <w:szCs w:val="16"/>
              </w:rPr>
              <w:t>551,909</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2028274A" w14:textId="77777777" w:rsidR="00E23053" w:rsidRPr="00E23053" w:rsidRDefault="00E23053" w:rsidP="00E23053">
            <w:pPr>
              <w:spacing w:before="0" w:after="0"/>
              <w:jc w:val="right"/>
              <w:rPr>
                <w:b/>
                <w:bCs/>
                <w:color w:val="auto"/>
                <w:sz w:val="16"/>
                <w:szCs w:val="16"/>
              </w:rPr>
            </w:pPr>
            <w:r w:rsidRPr="00E23053">
              <w:rPr>
                <w:b/>
                <w:bCs/>
                <w:color w:val="auto"/>
                <w:sz w:val="16"/>
                <w:szCs w:val="16"/>
              </w:rPr>
              <w:t>509,604</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3F77F882" w14:textId="77777777" w:rsidR="00E23053" w:rsidRPr="00E23053" w:rsidRDefault="00E23053" w:rsidP="00E23053">
            <w:pPr>
              <w:spacing w:before="0" w:after="0"/>
              <w:jc w:val="right"/>
              <w:rPr>
                <w:b/>
                <w:bCs/>
                <w:color w:val="auto"/>
                <w:sz w:val="16"/>
                <w:szCs w:val="16"/>
              </w:rPr>
            </w:pPr>
            <w:r w:rsidRPr="00E23053">
              <w:rPr>
                <w:b/>
                <w:bCs/>
                <w:color w:val="auto"/>
                <w:sz w:val="16"/>
                <w:szCs w:val="16"/>
              </w:rPr>
              <w:t>481,086</w:t>
            </w:r>
          </w:p>
        </w:tc>
      </w:tr>
      <w:tr w:rsidR="00E23053" w:rsidRPr="00E23053" w14:paraId="608E0EFD" w14:textId="77777777" w:rsidTr="00E23053">
        <w:trPr>
          <w:trHeight w:val="300"/>
          <w:jc w:val="center"/>
        </w:trPr>
        <w:tc>
          <w:tcPr>
            <w:tcW w:w="7320" w:type="dxa"/>
            <w:gridSpan w:val="6"/>
            <w:tcBorders>
              <w:top w:val="nil"/>
              <w:left w:val="nil"/>
              <w:bottom w:val="nil"/>
              <w:right w:val="nil"/>
            </w:tcBorders>
            <w:shd w:val="clear" w:color="auto" w:fill="auto"/>
            <w:tcMar>
              <w:left w:w="57" w:type="dxa"/>
              <w:right w:w="57" w:type="dxa"/>
            </w:tcMar>
            <w:vAlign w:val="bottom"/>
            <w:hideMark/>
          </w:tcPr>
          <w:p w14:paraId="2E5A7D84" w14:textId="77777777" w:rsidR="00E23053" w:rsidRPr="00E23053" w:rsidRDefault="00E23053" w:rsidP="00E23053">
            <w:pPr>
              <w:spacing w:before="0" w:after="0"/>
              <w:rPr>
                <w:b/>
                <w:bCs/>
                <w:color w:val="auto"/>
                <w:sz w:val="16"/>
                <w:szCs w:val="16"/>
              </w:rPr>
            </w:pPr>
            <w:r w:rsidRPr="00E23053">
              <w:rPr>
                <w:b/>
                <w:bCs/>
                <w:color w:val="auto"/>
                <w:sz w:val="16"/>
                <w:szCs w:val="16"/>
              </w:rPr>
              <w:t>Program 1.6: Primary Health Care Quality and Coordination</w:t>
            </w:r>
          </w:p>
        </w:tc>
      </w:tr>
      <w:tr w:rsidR="00E23053" w:rsidRPr="00E23053" w14:paraId="6ED988C0"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44E1D82D" w14:textId="77777777" w:rsidR="00E23053" w:rsidRPr="00E23053" w:rsidRDefault="00E23053" w:rsidP="00E23053">
            <w:pPr>
              <w:spacing w:before="0" w:after="0"/>
              <w:ind w:leftChars="75" w:left="135"/>
              <w:rPr>
                <w:color w:val="auto"/>
                <w:sz w:val="16"/>
                <w:szCs w:val="16"/>
              </w:rPr>
            </w:pPr>
            <w:r w:rsidRPr="00E23053">
              <w:rPr>
                <w:color w:val="auto"/>
                <w:sz w:val="16"/>
                <w:szCs w:val="16"/>
              </w:rPr>
              <w:t>Administered expenses</w:t>
            </w:r>
          </w:p>
        </w:tc>
        <w:tc>
          <w:tcPr>
            <w:tcW w:w="882" w:type="dxa"/>
            <w:tcBorders>
              <w:top w:val="nil"/>
              <w:left w:val="nil"/>
              <w:bottom w:val="nil"/>
              <w:right w:val="nil"/>
            </w:tcBorders>
            <w:shd w:val="clear" w:color="auto" w:fill="auto"/>
            <w:noWrap/>
            <w:tcMar>
              <w:left w:w="57" w:type="dxa"/>
              <w:right w:w="57" w:type="dxa"/>
            </w:tcMar>
            <w:vAlign w:val="bottom"/>
            <w:hideMark/>
          </w:tcPr>
          <w:p w14:paraId="272F0F24"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536494EB"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54B1E817"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4821A9B3"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4E780EB8"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77F7E070"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2A601AC6" w14:textId="77777777" w:rsidR="00E23053" w:rsidRPr="00E23053" w:rsidRDefault="00E23053" w:rsidP="00E23053">
            <w:pPr>
              <w:spacing w:before="0" w:after="0"/>
              <w:ind w:leftChars="150" w:left="270"/>
              <w:rPr>
                <w:color w:val="auto"/>
                <w:sz w:val="16"/>
                <w:szCs w:val="16"/>
              </w:rPr>
            </w:pPr>
            <w:r w:rsidRPr="00E23053">
              <w:rPr>
                <w:color w:val="auto"/>
                <w:sz w:val="16"/>
                <w:szCs w:val="16"/>
              </w:rPr>
              <w:t>Ordinary annual services</w:t>
            </w:r>
            <w:r w:rsidRPr="00E23053">
              <w:rPr>
                <w:color w:val="auto"/>
                <w:sz w:val="16"/>
                <w:szCs w:val="16"/>
                <w:vertAlign w:val="superscript"/>
              </w:rPr>
              <w:t xml:space="preserve"> (b)</w:t>
            </w:r>
          </w:p>
        </w:tc>
        <w:tc>
          <w:tcPr>
            <w:tcW w:w="882" w:type="dxa"/>
            <w:tcBorders>
              <w:top w:val="nil"/>
              <w:left w:val="nil"/>
              <w:bottom w:val="nil"/>
              <w:right w:val="nil"/>
            </w:tcBorders>
            <w:shd w:val="clear" w:color="auto" w:fill="auto"/>
            <w:noWrap/>
            <w:tcMar>
              <w:left w:w="57" w:type="dxa"/>
              <w:right w:w="57" w:type="dxa"/>
            </w:tcMar>
            <w:vAlign w:val="bottom"/>
            <w:hideMark/>
          </w:tcPr>
          <w:p w14:paraId="43EFDC7F" w14:textId="77777777" w:rsidR="00E23053" w:rsidRPr="00E23053" w:rsidRDefault="00E23053" w:rsidP="00E23053">
            <w:pPr>
              <w:spacing w:before="0" w:after="0"/>
              <w:jc w:val="right"/>
              <w:rPr>
                <w:color w:val="auto"/>
                <w:sz w:val="16"/>
                <w:szCs w:val="16"/>
              </w:rPr>
            </w:pPr>
            <w:r w:rsidRPr="00E23053">
              <w:rPr>
                <w:color w:val="auto"/>
                <w:sz w:val="16"/>
                <w:szCs w:val="16"/>
              </w:rPr>
              <w:t>1,185,714</w:t>
            </w:r>
          </w:p>
        </w:tc>
        <w:tc>
          <w:tcPr>
            <w:tcW w:w="859" w:type="dxa"/>
            <w:tcBorders>
              <w:top w:val="nil"/>
              <w:left w:val="nil"/>
              <w:bottom w:val="nil"/>
              <w:right w:val="nil"/>
            </w:tcBorders>
            <w:shd w:val="clear" w:color="000000" w:fill="D9D9D9"/>
            <w:noWrap/>
            <w:tcMar>
              <w:left w:w="57" w:type="dxa"/>
              <w:right w:w="57" w:type="dxa"/>
            </w:tcMar>
            <w:vAlign w:val="bottom"/>
            <w:hideMark/>
          </w:tcPr>
          <w:p w14:paraId="63EAC150" w14:textId="77777777" w:rsidR="00E23053" w:rsidRPr="00E23053" w:rsidRDefault="00E23053" w:rsidP="00E23053">
            <w:pPr>
              <w:spacing w:before="0" w:after="0"/>
              <w:jc w:val="right"/>
              <w:rPr>
                <w:color w:val="auto"/>
                <w:sz w:val="16"/>
                <w:szCs w:val="16"/>
              </w:rPr>
            </w:pPr>
            <w:r w:rsidRPr="00E23053">
              <w:rPr>
                <w:color w:val="auto"/>
                <w:sz w:val="16"/>
                <w:szCs w:val="16"/>
              </w:rPr>
              <w:t>689,656</w:t>
            </w:r>
          </w:p>
        </w:tc>
        <w:tc>
          <w:tcPr>
            <w:tcW w:w="859" w:type="dxa"/>
            <w:tcBorders>
              <w:top w:val="nil"/>
              <w:left w:val="nil"/>
              <w:bottom w:val="nil"/>
              <w:right w:val="nil"/>
            </w:tcBorders>
            <w:shd w:val="clear" w:color="auto" w:fill="auto"/>
            <w:noWrap/>
            <w:tcMar>
              <w:left w:w="57" w:type="dxa"/>
              <w:right w:w="57" w:type="dxa"/>
            </w:tcMar>
            <w:vAlign w:val="bottom"/>
            <w:hideMark/>
          </w:tcPr>
          <w:p w14:paraId="4006F759" w14:textId="77777777" w:rsidR="00E23053" w:rsidRPr="00E23053" w:rsidRDefault="00E23053" w:rsidP="00E23053">
            <w:pPr>
              <w:spacing w:before="0" w:after="0"/>
              <w:jc w:val="right"/>
              <w:rPr>
                <w:color w:val="auto"/>
                <w:sz w:val="16"/>
                <w:szCs w:val="16"/>
              </w:rPr>
            </w:pPr>
            <w:r w:rsidRPr="00E23053">
              <w:rPr>
                <w:color w:val="auto"/>
                <w:sz w:val="16"/>
                <w:szCs w:val="16"/>
              </w:rPr>
              <w:t>450,858</w:t>
            </w:r>
          </w:p>
        </w:tc>
        <w:tc>
          <w:tcPr>
            <w:tcW w:w="859" w:type="dxa"/>
            <w:tcBorders>
              <w:top w:val="nil"/>
              <w:left w:val="nil"/>
              <w:bottom w:val="nil"/>
              <w:right w:val="nil"/>
            </w:tcBorders>
            <w:shd w:val="clear" w:color="auto" w:fill="auto"/>
            <w:noWrap/>
            <w:tcMar>
              <w:left w:w="57" w:type="dxa"/>
              <w:right w:w="57" w:type="dxa"/>
            </w:tcMar>
            <w:vAlign w:val="bottom"/>
            <w:hideMark/>
          </w:tcPr>
          <w:p w14:paraId="664BF0A4" w14:textId="77777777" w:rsidR="00E23053" w:rsidRPr="00E23053" w:rsidRDefault="00E23053" w:rsidP="00E23053">
            <w:pPr>
              <w:spacing w:before="0" w:after="0"/>
              <w:jc w:val="right"/>
              <w:rPr>
                <w:color w:val="auto"/>
                <w:sz w:val="16"/>
                <w:szCs w:val="16"/>
              </w:rPr>
            </w:pPr>
            <w:r w:rsidRPr="00E23053">
              <w:rPr>
                <w:color w:val="auto"/>
                <w:sz w:val="16"/>
                <w:szCs w:val="16"/>
              </w:rPr>
              <w:t>432,101</w:t>
            </w:r>
          </w:p>
        </w:tc>
        <w:tc>
          <w:tcPr>
            <w:tcW w:w="859" w:type="dxa"/>
            <w:tcBorders>
              <w:top w:val="nil"/>
              <w:left w:val="nil"/>
              <w:bottom w:val="nil"/>
              <w:right w:val="nil"/>
            </w:tcBorders>
            <w:shd w:val="clear" w:color="auto" w:fill="auto"/>
            <w:noWrap/>
            <w:tcMar>
              <w:left w:w="57" w:type="dxa"/>
              <w:right w:w="57" w:type="dxa"/>
            </w:tcMar>
            <w:vAlign w:val="bottom"/>
            <w:hideMark/>
          </w:tcPr>
          <w:p w14:paraId="0A5B9F38" w14:textId="77777777" w:rsidR="00E23053" w:rsidRPr="00E23053" w:rsidRDefault="00E23053" w:rsidP="00E23053">
            <w:pPr>
              <w:spacing w:before="0" w:after="0"/>
              <w:jc w:val="right"/>
              <w:rPr>
                <w:color w:val="auto"/>
                <w:sz w:val="16"/>
                <w:szCs w:val="16"/>
              </w:rPr>
            </w:pPr>
            <w:r w:rsidRPr="00E23053">
              <w:rPr>
                <w:color w:val="auto"/>
                <w:sz w:val="16"/>
                <w:szCs w:val="16"/>
              </w:rPr>
              <w:t>430,251</w:t>
            </w:r>
          </w:p>
        </w:tc>
      </w:tr>
      <w:tr w:rsidR="00E23053" w:rsidRPr="00E23053" w14:paraId="056AB225"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7B6A1242" w14:textId="77777777" w:rsidR="00E23053" w:rsidRPr="00E23053" w:rsidRDefault="00E23053" w:rsidP="00E23053">
            <w:pPr>
              <w:spacing w:before="0" w:after="0"/>
              <w:ind w:leftChars="75" w:left="135"/>
              <w:rPr>
                <w:color w:val="auto"/>
                <w:sz w:val="16"/>
                <w:szCs w:val="16"/>
              </w:rPr>
            </w:pPr>
            <w:r w:rsidRPr="00E23053">
              <w:rPr>
                <w:color w:val="auto"/>
                <w:sz w:val="16"/>
                <w:szCs w:val="16"/>
              </w:rPr>
              <w:t>Departmental expenses</w:t>
            </w:r>
          </w:p>
        </w:tc>
        <w:tc>
          <w:tcPr>
            <w:tcW w:w="882" w:type="dxa"/>
            <w:tcBorders>
              <w:top w:val="nil"/>
              <w:left w:val="nil"/>
              <w:bottom w:val="nil"/>
              <w:right w:val="nil"/>
            </w:tcBorders>
            <w:shd w:val="clear" w:color="auto" w:fill="auto"/>
            <w:noWrap/>
            <w:tcMar>
              <w:left w:w="57" w:type="dxa"/>
              <w:right w:w="57" w:type="dxa"/>
            </w:tcMar>
            <w:vAlign w:val="bottom"/>
            <w:hideMark/>
          </w:tcPr>
          <w:p w14:paraId="2F4B6BA2"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7B6CF0DA"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1D60D495"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26C8157F"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64ED79E8"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1F872206"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6940E864" w14:textId="77777777" w:rsidR="00E23053" w:rsidRPr="00E23053" w:rsidRDefault="00E23053" w:rsidP="00E23053">
            <w:pPr>
              <w:spacing w:before="0" w:after="0"/>
              <w:ind w:leftChars="150" w:left="270"/>
              <w:rPr>
                <w:color w:val="auto"/>
                <w:sz w:val="16"/>
                <w:szCs w:val="16"/>
              </w:rPr>
            </w:pPr>
            <w:r w:rsidRPr="00E23053">
              <w:rPr>
                <w:color w:val="auto"/>
                <w:sz w:val="16"/>
                <w:szCs w:val="16"/>
              </w:rPr>
              <w:t>Departmental appropriation</w:t>
            </w:r>
            <w:r w:rsidRPr="00E23053">
              <w:rPr>
                <w:color w:val="auto"/>
                <w:sz w:val="16"/>
                <w:szCs w:val="16"/>
                <w:vertAlign w:val="superscript"/>
              </w:rPr>
              <w:t xml:space="preserve"> (c)</w:t>
            </w:r>
          </w:p>
        </w:tc>
        <w:tc>
          <w:tcPr>
            <w:tcW w:w="882" w:type="dxa"/>
            <w:tcBorders>
              <w:top w:val="nil"/>
              <w:left w:val="nil"/>
              <w:bottom w:val="nil"/>
              <w:right w:val="nil"/>
            </w:tcBorders>
            <w:shd w:val="clear" w:color="auto" w:fill="auto"/>
            <w:noWrap/>
            <w:tcMar>
              <w:left w:w="57" w:type="dxa"/>
              <w:right w:w="57" w:type="dxa"/>
            </w:tcMar>
            <w:vAlign w:val="bottom"/>
            <w:hideMark/>
          </w:tcPr>
          <w:p w14:paraId="7A2031F2" w14:textId="77777777" w:rsidR="00E23053" w:rsidRPr="00E23053" w:rsidRDefault="00E23053" w:rsidP="00E23053">
            <w:pPr>
              <w:spacing w:before="0" w:after="0"/>
              <w:jc w:val="right"/>
              <w:rPr>
                <w:color w:val="auto"/>
                <w:sz w:val="16"/>
                <w:szCs w:val="16"/>
              </w:rPr>
            </w:pPr>
            <w:r w:rsidRPr="00E23053">
              <w:rPr>
                <w:color w:val="auto"/>
                <w:sz w:val="16"/>
                <w:szCs w:val="16"/>
              </w:rPr>
              <w:t>41,312</w:t>
            </w:r>
          </w:p>
        </w:tc>
        <w:tc>
          <w:tcPr>
            <w:tcW w:w="859" w:type="dxa"/>
            <w:tcBorders>
              <w:top w:val="nil"/>
              <w:left w:val="nil"/>
              <w:bottom w:val="nil"/>
              <w:right w:val="nil"/>
            </w:tcBorders>
            <w:shd w:val="clear" w:color="000000" w:fill="D9D9D9"/>
            <w:noWrap/>
            <w:tcMar>
              <w:left w:w="57" w:type="dxa"/>
              <w:right w:w="57" w:type="dxa"/>
            </w:tcMar>
            <w:vAlign w:val="bottom"/>
            <w:hideMark/>
          </w:tcPr>
          <w:p w14:paraId="40290727" w14:textId="77777777" w:rsidR="00E23053" w:rsidRPr="00E23053" w:rsidRDefault="00E23053" w:rsidP="00E23053">
            <w:pPr>
              <w:spacing w:before="0" w:after="0"/>
              <w:jc w:val="right"/>
              <w:rPr>
                <w:color w:val="auto"/>
                <w:sz w:val="16"/>
                <w:szCs w:val="16"/>
              </w:rPr>
            </w:pPr>
            <w:r w:rsidRPr="00E23053">
              <w:rPr>
                <w:color w:val="auto"/>
                <w:sz w:val="16"/>
                <w:szCs w:val="16"/>
              </w:rPr>
              <w:t>34,030</w:t>
            </w:r>
          </w:p>
        </w:tc>
        <w:tc>
          <w:tcPr>
            <w:tcW w:w="859" w:type="dxa"/>
            <w:tcBorders>
              <w:top w:val="nil"/>
              <w:left w:val="nil"/>
              <w:bottom w:val="nil"/>
              <w:right w:val="nil"/>
            </w:tcBorders>
            <w:shd w:val="clear" w:color="auto" w:fill="auto"/>
            <w:noWrap/>
            <w:tcMar>
              <w:left w:w="57" w:type="dxa"/>
              <w:right w:w="57" w:type="dxa"/>
            </w:tcMar>
            <w:vAlign w:val="bottom"/>
            <w:hideMark/>
          </w:tcPr>
          <w:p w14:paraId="01042EED" w14:textId="77777777" w:rsidR="00E23053" w:rsidRPr="00E23053" w:rsidRDefault="00E23053" w:rsidP="00E23053">
            <w:pPr>
              <w:spacing w:before="0" w:after="0"/>
              <w:jc w:val="right"/>
              <w:rPr>
                <w:color w:val="auto"/>
                <w:sz w:val="16"/>
                <w:szCs w:val="16"/>
              </w:rPr>
            </w:pPr>
            <w:r w:rsidRPr="00E23053">
              <w:rPr>
                <w:color w:val="auto"/>
                <w:sz w:val="16"/>
                <w:szCs w:val="16"/>
              </w:rPr>
              <w:t>32,700</w:t>
            </w:r>
          </w:p>
        </w:tc>
        <w:tc>
          <w:tcPr>
            <w:tcW w:w="859" w:type="dxa"/>
            <w:tcBorders>
              <w:top w:val="nil"/>
              <w:left w:val="nil"/>
              <w:bottom w:val="nil"/>
              <w:right w:val="nil"/>
            </w:tcBorders>
            <w:shd w:val="clear" w:color="auto" w:fill="auto"/>
            <w:noWrap/>
            <w:tcMar>
              <w:left w:w="57" w:type="dxa"/>
              <w:right w:w="57" w:type="dxa"/>
            </w:tcMar>
            <w:vAlign w:val="bottom"/>
            <w:hideMark/>
          </w:tcPr>
          <w:p w14:paraId="1888DFB7" w14:textId="77777777" w:rsidR="00E23053" w:rsidRPr="00E23053" w:rsidRDefault="00E23053" w:rsidP="00E23053">
            <w:pPr>
              <w:spacing w:before="0" w:after="0"/>
              <w:jc w:val="right"/>
              <w:rPr>
                <w:color w:val="auto"/>
                <w:sz w:val="16"/>
                <w:szCs w:val="16"/>
              </w:rPr>
            </w:pPr>
            <w:r w:rsidRPr="00E23053">
              <w:rPr>
                <w:color w:val="auto"/>
                <w:sz w:val="16"/>
                <w:szCs w:val="16"/>
              </w:rPr>
              <w:t>32,550</w:t>
            </w:r>
          </w:p>
        </w:tc>
        <w:tc>
          <w:tcPr>
            <w:tcW w:w="859" w:type="dxa"/>
            <w:tcBorders>
              <w:top w:val="nil"/>
              <w:left w:val="nil"/>
              <w:bottom w:val="nil"/>
              <w:right w:val="nil"/>
            </w:tcBorders>
            <w:shd w:val="clear" w:color="auto" w:fill="auto"/>
            <w:noWrap/>
            <w:tcMar>
              <w:left w:w="57" w:type="dxa"/>
              <w:right w:w="57" w:type="dxa"/>
            </w:tcMar>
            <w:vAlign w:val="bottom"/>
            <w:hideMark/>
          </w:tcPr>
          <w:p w14:paraId="55FB2A00" w14:textId="77777777" w:rsidR="00E23053" w:rsidRPr="00E23053" w:rsidRDefault="00E23053" w:rsidP="00E23053">
            <w:pPr>
              <w:spacing w:before="0" w:after="0"/>
              <w:jc w:val="right"/>
              <w:rPr>
                <w:color w:val="auto"/>
                <w:sz w:val="16"/>
                <w:szCs w:val="16"/>
              </w:rPr>
            </w:pPr>
            <w:r w:rsidRPr="00E23053">
              <w:rPr>
                <w:color w:val="auto"/>
                <w:sz w:val="16"/>
                <w:szCs w:val="16"/>
              </w:rPr>
              <w:t>32,709</w:t>
            </w:r>
          </w:p>
        </w:tc>
      </w:tr>
      <w:tr w:rsidR="00E23053" w:rsidRPr="00E23053" w14:paraId="2F1FA91F" w14:textId="77777777" w:rsidTr="002674F9">
        <w:trPr>
          <w:trHeight w:val="454"/>
          <w:jc w:val="center"/>
        </w:trPr>
        <w:tc>
          <w:tcPr>
            <w:tcW w:w="3002" w:type="dxa"/>
            <w:tcBorders>
              <w:top w:val="nil"/>
              <w:left w:val="nil"/>
              <w:bottom w:val="nil"/>
              <w:right w:val="nil"/>
            </w:tcBorders>
            <w:shd w:val="clear" w:color="auto" w:fill="auto"/>
            <w:vAlign w:val="bottom"/>
            <w:hideMark/>
          </w:tcPr>
          <w:p w14:paraId="1E30FE13" w14:textId="77777777" w:rsidR="00E23053" w:rsidRPr="00E23053" w:rsidRDefault="00E23053" w:rsidP="00E23053">
            <w:pPr>
              <w:spacing w:before="0" w:after="0"/>
              <w:ind w:leftChars="150" w:left="270"/>
              <w:rPr>
                <w:color w:val="auto"/>
                <w:sz w:val="16"/>
                <w:szCs w:val="16"/>
              </w:rPr>
            </w:pPr>
            <w:r w:rsidRPr="00E23053">
              <w:rPr>
                <w:color w:val="auto"/>
                <w:sz w:val="16"/>
                <w:szCs w:val="16"/>
              </w:rPr>
              <w:t xml:space="preserve">Expenses not requiring appropriation in the Budget year </w:t>
            </w:r>
            <w:r w:rsidRPr="00E23053">
              <w:rPr>
                <w:color w:val="auto"/>
                <w:sz w:val="16"/>
                <w:szCs w:val="16"/>
                <w:vertAlign w:val="superscript"/>
              </w:rPr>
              <w:t>(d)</w:t>
            </w:r>
          </w:p>
        </w:tc>
        <w:tc>
          <w:tcPr>
            <w:tcW w:w="882" w:type="dxa"/>
            <w:tcBorders>
              <w:top w:val="nil"/>
              <w:left w:val="nil"/>
              <w:bottom w:val="nil"/>
              <w:right w:val="nil"/>
            </w:tcBorders>
            <w:shd w:val="clear" w:color="auto" w:fill="auto"/>
            <w:noWrap/>
            <w:tcMar>
              <w:left w:w="57" w:type="dxa"/>
              <w:right w:w="57" w:type="dxa"/>
            </w:tcMar>
            <w:vAlign w:val="bottom"/>
            <w:hideMark/>
          </w:tcPr>
          <w:p w14:paraId="588FD3BA" w14:textId="77777777" w:rsidR="00E23053" w:rsidRPr="00E23053" w:rsidRDefault="00E23053" w:rsidP="00E23053">
            <w:pPr>
              <w:spacing w:before="0" w:after="0"/>
              <w:jc w:val="right"/>
              <w:rPr>
                <w:color w:val="auto"/>
                <w:sz w:val="16"/>
                <w:szCs w:val="16"/>
              </w:rPr>
            </w:pPr>
            <w:r w:rsidRPr="00E23053">
              <w:rPr>
                <w:color w:val="auto"/>
                <w:sz w:val="16"/>
                <w:szCs w:val="16"/>
              </w:rPr>
              <w:t>3,050</w:t>
            </w:r>
          </w:p>
        </w:tc>
        <w:tc>
          <w:tcPr>
            <w:tcW w:w="859" w:type="dxa"/>
            <w:tcBorders>
              <w:top w:val="nil"/>
              <w:left w:val="nil"/>
              <w:bottom w:val="nil"/>
              <w:right w:val="nil"/>
            </w:tcBorders>
            <w:shd w:val="clear" w:color="000000" w:fill="D9D9D9"/>
            <w:noWrap/>
            <w:tcMar>
              <w:left w:w="57" w:type="dxa"/>
              <w:right w:w="57" w:type="dxa"/>
            </w:tcMar>
            <w:vAlign w:val="bottom"/>
            <w:hideMark/>
          </w:tcPr>
          <w:p w14:paraId="20BA6296" w14:textId="77777777" w:rsidR="00E23053" w:rsidRPr="00E23053" w:rsidRDefault="00E23053" w:rsidP="00E23053">
            <w:pPr>
              <w:spacing w:before="0" w:after="0"/>
              <w:jc w:val="right"/>
              <w:rPr>
                <w:color w:val="auto"/>
                <w:sz w:val="16"/>
                <w:szCs w:val="16"/>
              </w:rPr>
            </w:pPr>
            <w:r w:rsidRPr="00E23053">
              <w:rPr>
                <w:color w:val="auto"/>
                <w:sz w:val="16"/>
                <w:szCs w:val="16"/>
              </w:rPr>
              <w:t>4,567</w:t>
            </w:r>
          </w:p>
        </w:tc>
        <w:tc>
          <w:tcPr>
            <w:tcW w:w="859" w:type="dxa"/>
            <w:tcBorders>
              <w:top w:val="nil"/>
              <w:left w:val="nil"/>
              <w:bottom w:val="nil"/>
              <w:right w:val="nil"/>
            </w:tcBorders>
            <w:shd w:val="clear" w:color="auto" w:fill="auto"/>
            <w:noWrap/>
            <w:tcMar>
              <w:left w:w="57" w:type="dxa"/>
              <w:right w:w="57" w:type="dxa"/>
            </w:tcMar>
            <w:vAlign w:val="bottom"/>
            <w:hideMark/>
          </w:tcPr>
          <w:p w14:paraId="2964CA11" w14:textId="77777777" w:rsidR="00E23053" w:rsidRPr="00E23053" w:rsidRDefault="00E23053" w:rsidP="00E23053">
            <w:pPr>
              <w:spacing w:before="0" w:after="0"/>
              <w:jc w:val="right"/>
              <w:rPr>
                <w:color w:val="auto"/>
                <w:sz w:val="16"/>
                <w:szCs w:val="16"/>
              </w:rPr>
            </w:pPr>
            <w:r w:rsidRPr="00E23053">
              <w:rPr>
                <w:color w:val="auto"/>
                <w:sz w:val="16"/>
                <w:szCs w:val="16"/>
              </w:rPr>
              <w:t>4,185</w:t>
            </w:r>
          </w:p>
        </w:tc>
        <w:tc>
          <w:tcPr>
            <w:tcW w:w="859" w:type="dxa"/>
            <w:tcBorders>
              <w:top w:val="nil"/>
              <w:left w:val="nil"/>
              <w:bottom w:val="nil"/>
              <w:right w:val="nil"/>
            </w:tcBorders>
            <w:shd w:val="clear" w:color="auto" w:fill="auto"/>
            <w:noWrap/>
            <w:tcMar>
              <w:left w:w="57" w:type="dxa"/>
              <w:right w:w="57" w:type="dxa"/>
            </w:tcMar>
            <w:vAlign w:val="bottom"/>
            <w:hideMark/>
          </w:tcPr>
          <w:p w14:paraId="1AA8C326" w14:textId="77777777" w:rsidR="00E23053" w:rsidRPr="00E23053" w:rsidRDefault="00E23053" w:rsidP="00E23053">
            <w:pPr>
              <w:spacing w:before="0" w:after="0"/>
              <w:jc w:val="right"/>
              <w:rPr>
                <w:color w:val="auto"/>
                <w:sz w:val="16"/>
                <w:szCs w:val="16"/>
              </w:rPr>
            </w:pPr>
            <w:r w:rsidRPr="00E23053">
              <w:rPr>
                <w:color w:val="auto"/>
                <w:sz w:val="16"/>
                <w:szCs w:val="16"/>
              </w:rPr>
              <w:t>3,954</w:t>
            </w:r>
          </w:p>
        </w:tc>
        <w:tc>
          <w:tcPr>
            <w:tcW w:w="859" w:type="dxa"/>
            <w:tcBorders>
              <w:top w:val="nil"/>
              <w:left w:val="nil"/>
              <w:bottom w:val="nil"/>
              <w:right w:val="nil"/>
            </w:tcBorders>
            <w:shd w:val="clear" w:color="auto" w:fill="auto"/>
            <w:noWrap/>
            <w:tcMar>
              <w:left w:w="57" w:type="dxa"/>
              <w:right w:w="57" w:type="dxa"/>
            </w:tcMar>
            <w:vAlign w:val="bottom"/>
            <w:hideMark/>
          </w:tcPr>
          <w:p w14:paraId="57533B88" w14:textId="77777777" w:rsidR="00E23053" w:rsidRPr="00E23053" w:rsidRDefault="00E23053" w:rsidP="00E23053">
            <w:pPr>
              <w:spacing w:before="0" w:after="0"/>
              <w:jc w:val="right"/>
              <w:rPr>
                <w:color w:val="auto"/>
                <w:sz w:val="16"/>
                <w:szCs w:val="16"/>
              </w:rPr>
            </w:pPr>
            <w:r w:rsidRPr="00E23053">
              <w:rPr>
                <w:color w:val="auto"/>
                <w:sz w:val="16"/>
                <w:szCs w:val="16"/>
              </w:rPr>
              <w:t>3,500</w:t>
            </w:r>
          </w:p>
        </w:tc>
      </w:tr>
      <w:tr w:rsidR="00E23053" w:rsidRPr="00E23053" w14:paraId="7427AAF7"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6CA7E67F" w14:textId="77777777" w:rsidR="00E23053" w:rsidRPr="00E23053" w:rsidRDefault="00E23053" w:rsidP="00E23053">
            <w:pPr>
              <w:spacing w:before="0" w:after="0"/>
              <w:ind w:leftChars="75" w:left="135"/>
              <w:rPr>
                <w:b/>
                <w:bCs/>
                <w:color w:val="auto"/>
                <w:sz w:val="16"/>
                <w:szCs w:val="16"/>
              </w:rPr>
            </w:pPr>
            <w:r w:rsidRPr="00E23053">
              <w:rPr>
                <w:b/>
                <w:bCs/>
                <w:color w:val="auto"/>
                <w:sz w:val="16"/>
                <w:szCs w:val="16"/>
              </w:rPr>
              <w:t>Total for Program 1.6</w:t>
            </w:r>
          </w:p>
        </w:tc>
        <w:tc>
          <w:tcPr>
            <w:tcW w:w="882"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004286FC" w14:textId="77777777" w:rsidR="00E23053" w:rsidRPr="00E23053" w:rsidRDefault="00E23053" w:rsidP="00E23053">
            <w:pPr>
              <w:spacing w:before="0" w:after="0"/>
              <w:jc w:val="right"/>
              <w:rPr>
                <w:b/>
                <w:bCs/>
                <w:color w:val="auto"/>
                <w:sz w:val="16"/>
                <w:szCs w:val="16"/>
              </w:rPr>
            </w:pPr>
            <w:r w:rsidRPr="00E23053">
              <w:rPr>
                <w:b/>
                <w:bCs/>
                <w:color w:val="auto"/>
                <w:sz w:val="16"/>
                <w:szCs w:val="16"/>
              </w:rPr>
              <w:t>1,230,076</w:t>
            </w:r>
          </w:p>
        </w:tc>
        <w:tc>
          <w:tcPr>
            <w:tcW w:w="85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134113F1" w14:textId="77777777" w:rsidR="00E23053" w:rsidRPr="00E23053" w:rsidRDefault="00E23053" w:rsidP="00E23053">
            <w:pPr>
              <w:spacing w:before="0" w:after="0"/>
              <w:jc w:val="right"/>
              <w:rPr>
                <w:b/>
                <w:bCs/>
                <w:color w:val="auto"/>
                <w:sz w:val="16"/>
                <w:szCs w:val="16"/>
              </w:rPr>
            </w:pPr>
            <w:r w:rsidRPr="00E23053">
              <w:rPr>
                <w:b/>
                <w:bCs/>
                <w:color w:val="auto"/>
                <w:sz w:val="16"/>
                <w:szCs w:val="16"/>
              </w:rPr>
              <w:t>728,253</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42A6C657" w14:textId="77777777" w:rsidR="00E23053" w:rsidRPr="00E23053" w:rsidRDefault="00E23053" w:rsidP="00E23053">
            <w:pPr>
              <w:spacing w:before="0" w:after="0"/>
              <w:jc w:val="right"/>
              <w:rPr>
                <w:b/>
                <w:bCs/>
                <w:color w:val="auto"/>
                <w:sz w:val="16"/>
                <w:szCs w:val="16"/>
              </w:rPr>
            </w:pPr>
            <w:r w:rsidRPr="00E23053">
              <w:rPr>
                <w:b/>
                <w:bCs/>
                <w:color w:val="auto"/>
                <w:sz w:val="16"/>
                <w:szCs w:val="16"/>
              </w:rPr>
              <w:t>487,743</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1313CBE2" w14:textId="77777777" w:rsidR="00E23053" w:rsidRPr="00E23053" w:rsidRDefault="00E23053" w:rsidP="00E23053">
            <w:pPr>
              <w:spacing w:before="0" w:after="0"/>
              <w:jc w:val="right"/>
              <w:rPr>
                <w:b/>
                <w:bCs/>
                <w:color w:val="auto"/>
                <w:sz w:val="16"/>
                <w:szCs w:val="16"/>
              </w:rPr>
            </w:pPr>
            <w:r w:rsidRPr="00E23053">
              <w:rPr>
                <w:b/>
                <w:bCs/>
                <w:color w:val="auto"/>
                <w:sz w:val="16"/>
                <w:szCs w:val="16"/>
              </w:rPr>
              <w:t>468,605</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798165B4" w14:textId="77777777" w:rsidR="00E23053" w:rsidRPr="00E23053" w:rsidRDefault="00E23053" w:rsidP="00E23053">
            <w:pPr>
              <w:spacing w:before="0" w:after="0"/>
              <w:jc w:val="right"/>
              <w:rPr>
                <w:b/>
                <w:bCs/>
                <w:color w:val="auto"/>
                <w:sz w:val="16"/>
                <w:szCs w:val="16"/>
              </w:rPr>
            </w:pPr>
            <w:r w:rsidRPr="00E23053">
              <w:rPr>
                <w:b/>
                <w:bCs/>
                <w:color w:val="auto"/>
                <w:sz w:val="16"/>
                <w:szCs w:val="16"/>
              </w:rPr>
              <w:t>466,460</w:t>
            </w:r>
          </w:p>
        </w:tc>
      </w:tr>
      <w:tr w:rsidR="00E23053" w:rsidRPr="00E23053" w14:paraId="38B3C7BF" w14:textId="77777777" w:rsidTr="00E23053">
        <w:trPr>
          <w:trHeight w:val="300"/>
          <w:jc w:val="center"/>
        </w:trPr>
        <w:tc>
          <w:tcPr>
            <w:tcW w:w="7320" w:type="dxa"/>
            <w:gridSpan w:val="6"/>
            <w:tcBorders>
              <w:top w:val="nil"/>
              <w:left w:val="nil"/>
              <w:bottom w:val="nil"/>
              <w:right w:val="nil"/>
            </w:tcBorders>
            <w:shd w:val="clear" w:color="auto" w:fill="auto"/>
            <w:tcMar>
              <w:left w:w="57" w:type="dxa"/>
              <w:right w:w="57" w:type="dxa"/>
            </w:tcMar>
            <w:vAlign w:val="bottom"/>
            <w:hideMark/>
          </w:tcPr>
          <w:p w14:paraId="30D6BA3F" w14:textId="77777777" w:rsidR="00E23053" w:rsidRPr="00E23053" w:rsidRDefault="00E23053" w:rsidP="00E23053">
            <w:pPr>
              <w:spacing w:before="0" w:after="0"/>
              <w:rPr>
                <w:b/>
                <w:bCs/>
                <w:color w:val="auto"/>
                <w:sz w:val="16"/>
                <w:szCs w:val="16"/>
              </w:rPr>
            </w:pPr>
            <w:r w:rsidRPr="00E23053">
              <w:rPr>
                <w:b/>
                <w:bCs/>
                <w:color w:val="auto"/>
                <w:sz w:val="16"/>
                <w:szCs w:val="16"/>
              </w:rPr>
              <w:t>Program 1.7: Primary Care Practice Incentives and Medical Indemnity</w:t>
            </w:r>
          </w:p>
        </w:tc>
      </w:tr>
      <w:tr w:rsidR="00E23053" w:rsidRPr="00E23053" w14:paraId="7DF2D5F4"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6402C174" w14:textId="77777777" w:rsidR="00E23053" w:rsidRPr="00E23053" w:rsidRDefault="00E23053" w:rsidP="00E23053">
            <w:pPr>
              <w:spacing w:before="0" w:after="0"/>
              <w:ind w:leftChars="75" w:left="135"/>
              <w:rPr>
                <w:color w:val="auto"/>
                <w:sz w:val="16"/>
                <w:szCs w:val="16"/>
              </w:rPr>
            </w:pPr>
            <w:r w:rsidRPr="00E23053">
              <w:rPr>
                <w:color w:val="auto"/>
                <w:sz w:val="16"/>
                <w:szCs w:val="16"/>
              </w:rPr>
              <w:t>Administered expenses</w:t>
            </w:r>
          </w:p>
        </w:tc>
        <w:tc>
          <w:tcPr>
            <w:tcW w:w="882" w:type="dxa"/>
            <w:tcBorders>
              <w:top w:val="nil"/>
              <w:left w:val="nil"/>
              <w:bottom w:val="nil"/>
              <w:right w:val="nil"/>
            </w:tcBorders>
            <w:shd w:val="clear" w:color="auto" w:fill="auto"/>
            <w:noWrap/>
            <w:tcMar>
              <w:left w:w="57" w:type="dxa"/>
              <w:right w:w="57" w:type="dxa"/>
            </w:tcMar>
            <w:vAlign w:val="bottom"/>
            <w:hideMark/>
          </w:tcPr>
          <w:p w14:paraId="58C45B87"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7FF82274"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6D4EC93A"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028AB77A"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1EAD6B1C"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5E29A215"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6806FF1A" w14:textId="77777777" w:rsidR="00E23053" w:rsidRPr="00E23053" w:rsidRDefault="00E23053" w:rsidP="00E23053">
            <w:pPr>
              <w:spacing w:before="0" w:after="0"/>
              <w:ind w:leftChars="150" w:left="270"/>
              <w:rPr>
                <w:color w:val="auto"/>
                <w:sz w:val="16"/>
                <w:szCs w:val="16"/>
              </w:rPr>
            </w:pPr>
            <w:r w:rsidRPr="00E23053">
              <w:rPr>
                <w:color w:val="auto"/>
                <w:sz w:val="16"/>
                <w:szCs w:val="16"/>
              </w:rPr>
              <w:t>Ordinary annual services</w:t>
            </w:r>
            <w:r w:rsidRPr="00E23053">
              <w:rPr>
                <w:color w:val="auto"/>
                <w:sz w:val="16"/>
                <w:szCs w:val="16"/>
                <w:vertAlign w:val="superscript"/>
              </w:rPr>
              <w:t xml:space="preserve"> (b)</w:t>
            </w:r>
          </w:p>
        </w:tc>
        <w:tc>
          <w:tcPr>
            <w:tcW w:w="882" w:type="dxa"/>
            <w:tcBorders>
              <w:top w:val="nil"/>
              <w:left w:val="nil"/>
              <w:bottom w:val="nil"/>
              <w:right w:val="nil"/>
            </w:tcBorders>
            <w:shd w:val="clear" w:color="auto" w:fill="auto"/>
            <w:noWrap/>
            <w:tcMar>
              <w:left w:w="57" w:type="dxa"/>
              <w:right w:w="57" w:type="dxa"/>
            </w:tcMar>
            <w:vAlign w:val="bottom"/>
            <w:hideMark/>
          </w:tcPr>
          <w:p w14:paraId="6F75863F" w14:textId="77777777" w:rsidR="00E23053" w:rsidRPr="00E23053" w:rsidRDefault="00E23053" w:rsidP="00E23053">
            <w:pPr>
              <w:spacing w:before="0" w:after="0"/>
              <w:jc w:val="right"/>
              <w:rPr>
                <w:color w:val="auto"/>
                <w:sz w:val="16"/>
                <w:szCs w:val="16"/>
              </w:rPr>
            </w:pPr>
            <w:r w:rsidRPr="00E23053">
              <w:rPr>
                <w:color w:val="auto"/>
                <w:sz w:val="16"/>
                <w:szCs w:val="16"/>
              </w:rPr>
              <w:t>664,481</w:t>
            </w:r>
          </w:p>
        </w:tc>
        <w:tc>
          <w:tcPr>
            <w:tcW w:w="859" w:type="dxa"/>
            <w:tcBorders>
              <w:top w:val="nil"/>
              <w:left w:val="nil"/>
              <w:bottom w:val="nil"/>
              <w:right w:val="nil"/>
            </w:tcBorders>
            <w:shd w:val="clear" w:color="000000" w:fill="D9D9D9"/>
            <w:noWrap/>
            <w:tcMar>
              <w:left w:w="57" w:type="dxa"/>
              <w:right w:w="57" w:type="dxa"/>
            </w:tcMar>
            <w:vAlign w:val="bottom"/>
            <w:hideMark/>
          </w:tcPr>
          <w:p w14:paraId="0AAC1E1E" w14:textId="77777777" w:rsidR="00E23053" w:rsidRPr="00E23053" w:rsidRDefault="00E23053" w:rsidP="00E23053">
            <w:pPr>
              <w:spacing w:before="0" w:after="0"/>
              <w:jc w:val="right"/>
              <w:rPr>
                <w:color w:val="auto"/>
                <w:sz w:val="16"/>
                <w:szCs w:val="16"/>
              </w:rPr>
            </w:pPr>
            <w:r w:rsidRPr="00E23053">
              <w:rPr>
                <w:color w:val="auto"/>
                <w:sz w:val="16"/>
                <w:szCs w:val="16"/>
              </w:rPr>
              <w:t>606,263</w:t>
            </w:r>
          </w:p>
        </w:tc>
        <w:tc>
          <w:tcPr>
            <w:tcW w:w="859" w:type="dxa"/>
            <w:tcBorders>
              <w:top w:val="nil"/>
              <w:left w:val="nil"/>
              <w:bottom w:val="nil"/>
              <w:right w:val="nil"/>
            </w:tcBorders>
            <w:shd w:val="clear" w:color="auto" w:fill="auto"/>
            <w:noWrap/>
            <w:tcMar>
              <w:left w:w="57" w:type="dxa"/>
              <w:right w:w="57" w:type="dxa"/>
            </w:tcMar>
            <w:vAlign w:val="bottom"/>
            <w:hideMark/>
          </w:tcPr>
          <w:p w14:paraId="080C28DD" w14:textId="77777777" w:rsidR="00E23053" w:rsidRPr="00E23053" w:rsidRDefault="00E23053" w:rsidP="00E23053">
            <w:pPr>
              <w:spacing w:before="0" w:after="0"/>
              <w:jc w:val="right"/>
              <w:rPr>
                <w:color w:val="auto"/>
                <w:sz w:val="16"/>
                <w:szCs w:val="16"/>
              </w:rPr>
            </w:pPr>
            <w:r w:rsidRPr="00E23053">
              <w:rPr>
                <w:color w:val="auto"/>
                <w:sz w:val="16"/>
                <w:szCs w:val="16"/>
              </w:rPr>
              <w:t>410,916</w:t>
            </w:r>
          </w:p>
        </w:tc>
        <w:tc>
          <w:tcPr>
            <w:tcW w:w="859" w:type="dxa"/>
            <w:tcBorders>
              <w:top w:val="nil"/>
              <w:left w:val="nil"/>
              <w:bottom w:val="nil"/>
              <w:right w:val="nil"/>
            </w:tcBorders>
            <w:shd w:val="clear" w:color="auto" w:fill="auto"/>
            <w:noWrap/>
            <w:tcMar>
              <w:left w:w="57" w:type="dxa"/>
              <w:right w:w="57" w:type="dxa"/>
            </w:tcMar>
            <w:vAlign w:val="bottom"/>
            <w:hideMark/>
          </w:tcPr>
          <w:p w14:paraId="55885018" w14:textId="77777777" w:rsidR="00E23053" w:rsidRPr="00E23053" w:rsidRDefault="00E23053" w:rsidP="00E23053">
            <w:pPr>
              <w:spacing w:before="0" w:after="0"/>
              <w:jc w:val="right"/>
              <w:rPr>
                <w:color w:val="auto"/>
                <w:sz w:val="16"/>
                <w:szCs w:val="16"/>
              </w:rPr>
            </w:pPr>
            <w:r w:rsidRPr="00E23053">
              <w:rPr>
                <w:color w:val="auto"/>
                <w:sz w:val="16"/>
                <w:szCs w:val="16"/>
              </w:rPr>
              <w:t>407,989</w:t>
            </w:r>
          </w:p>
        </w:tc>
        <w:tc>
          <w:tcPr>
            <w:tcW w:w="859" w:type="dxa"/>
            <w:tcBorders>
              <w:top w:val="nil"/>
              <w:left w:val="nil"/>
              <w:bottom w:val="nil"/>
              <w:right w:val="nil"/>
            </w:tcBorders>
            <w:shd w:val="clear" w:color="auto" w:fill="auto"/>
            <w:noWrap/>
            <w:tcMar>
              <w:left w:w="57" w:type="dxa"/>
              <w:right w:w="57" w:type="dxa"/>
            </w:tcMar>
            <w:vAlign w:val="bottom"/>
            <w:hideMark/>
          </w:tcPr>
          <w:p w14:paraId="69759031" w14:textId="77777777" w:rsidR="00E23053" w:rsidRPr="00E23053" w:rsidRDefault="00E23053" w:rsidP="00E23053">
            <w:pPr>
              <w:spacing w:before="0" w:after="0"/>
              <w:jc w:val="right"/>
              <w:rPr>
                <w:color w:val="auto"/>
                <w:sz w:val="16"/>
                <w:szCs w:val="16"/>
              </w:rPr>
            </w:pPr>
            <w:r w:rsidRPr="00E23053">
              <w:rPr>
                <w:color w:val="auto"/>
                <w:sz w:val="16"/>
                <w:szCs w:val="16"/>
              </w:rPr>
              <w:t>407,725</w:t>
            </w:r>
          </w:p>
        </w:tc>
      </w:tr>
      <w:tr w:rsidR="00E23053" w:rsidRPr="00E23053" w14:paraId="7B1E964C"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7E3BEA40" w14:textId="77777777" w:rsidR="00E23053" w:rsidRPr="00E23053" w:rsidRDefault="00E23053" w:rsidP="00E23053">
            <w:pPr>
              <w:spacing w:before="0" w:after="0"/>
              <w:ind w:leftChars="150" w:left="270"/>
              <w:rPr>
                <w:color w:val="auto"/>
                <w:sz w:val="16"/>
                <w:szCs w:val="16"/>
              </w:rPr>
            </w:pPr>
            <w:r w:rsidRPr="00E23053">
              <w:rPr>
                <w:color w:val="auto"/>
                <w:sz w:val="16"/>
                <w:szCs w:val="16"/>
              </w:rPr>
              <w:t>Special appropriations</w:t>
            </w:r>
          </w:p>
        </w:tc>
        <w:tc>
          <w:tcPr>
            <w:tcW w:w="882" w:type="dxa"/>
            <w:tcBorders>
              <w:top w:val="nil"/>
              <w:left w:val="nil"/>
              <w:bottom w:val="nil"/>
              <w:right w:val="nil"/>
            </w:tcBorders>
            <w:shd w:val="clear" w:color="auto" w:fill="auto"/>
            <w:noWrap/>
            <w:tcMar>
              <w:left w:w="57" w:type="dxa"/>
              <w:right w:w="57" w:type="dxa"/>
            </w:tcMar>
            <w:vAlign w:val="bottom"/>
            <w:hideMark/>
          </w:tcPr>
          <w:p w14:paraId="5B96854C" w14:textId="77777777" w:rsidR="00E23053" w:rsidRPr="00E23053" w:rsidRDefault="00E23053" w:rsidP="00E23053">
            <w:pPr>
              <w:spacing w:before="0" w:after="0"/>
              <w:ind w:firstLineChars="200" w:firstLine="32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38848BC0"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4FF2281B"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17F9681B"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561B948C"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062F4342"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5F78E0D6" w14:textId="77777777" w:rsidR="00E23053" w:rsidRPr="00E23053" w:rsidRDefault="00E23053" w:rsidP="00E23053">
            <w:pPr>
              <w:spacing w:before="0" w:after="0"/>
              <w:ind w:leftChars="225" w:left="405"/>
              <w:rPr>
                <w:i/>
                <w:iCs/>
                <w:color w:val="auto"/>
                <w:sz w:val="16"/>
                <w:szCs w:val="16"/>
              </w:rPr>
            </w:pPr>
            <w:r w:rsidRPr="00E23053">
              <w:rPr>
                <w:i/>
                <w:iCs/>
                <w:color w:val="auto"/>
                <w:sz w:val="16"/>
                <w:szCs w:val="16"/>
              </w:rPr>
              <w:t xml:space="preserve">Medical Indemnity Act 2002 </w:t>
            </w:r>
          </w:p>
        </w:tc>
        <w:tc>
          <w:tcPr>
            <w:tcW w:w="882" w:type="dxa"/>
            <w:tcBorders>
              <w:top w:val="nil"/>
              <w:left w:val="nil"/>
              <w:bottom w:val="nil"/>
              <w:right w:val="nil"/>
            </w:tcBorders>
            <w:shd w:val="clear" w:color="auto" w:fill="auto"/>
            <w:noWrap/>
            <w:tcMar>
              <w:left w:w="57" w:type="dxa"/>
              <w:right w:w="57" w:type="dxa"/>
            </w:tcMar>
            <w:vAlign w:val="bottom"/>
            <w:hideMark/>
          </w:tcPr>
          <w:p w14:paraId="3B565C11" w14:textId="77777777" w:rsidR="00E23053" w:rsidRPr="00E23053" w:rsidRDefault="00E23053" w:rsidP="00E23053">
            <w:pPr>
              <w:spacing w:before="0" w:after="0"/>
              <w:jc w:val="right"/>
              <w:rPr>
                <w:color w:val="auto"/>
                <w:sz w:val="16"/>
                <w:szCs w:val="16"/>
              </w:rPr>
            </w:pPr>
            <w:r w:rsidRPr="00E23053">
              <w:rPr>
                <w:color w:val="auto"/>
                <w:sz w:val="16"/>
                <w:szCs w:val="16"/>
              </w:rPr>
              <w:t>97,027</w:t>
            </w:r>
          </w:p>
        </w:tc>
        <w:tc>
          <w:tcPr>
            <w:tcW w:w="859" w:type="dxa"/>
            <w:tcBorders>
              <w:top w:val="nil"/>
              <w:left w:val="nil"/>
              <w:bottom w:val="nil"/>
              <w:right w:val="nil"/>
            </w:tcBorders>
            <w:shd w:val="clear" w:color="000000" w:fill="D9D9D9"/>
            <w:noWrap/>
            <w:tcMar>
              <w:left w:w="57" w:type="dxa"/>
              <w:right w:w="57" w:type="dxa"/>
            </w:tcMar>
            <w:vAlign w:val="bottom"/>
            <w:hideMark/>
          </w:tcPr>
          <w:p w14:paraId="7B16C859" w14:textId="77777777" w:rsidR="00E23053" w:rsidRPr="00E23053" w:rsidRDefault="00E23053" w:rsidP="00E23053">
            <w:pPr>
              <w:spacing w:before="0" w:after="0"/>
              <w:jc w:val="right"/>
              <w:rPr>
                <w:color w:val="auto"/>
                <w:sz w:val="16"/>
                <w:szCs w:val="16"/>
              </w:rPr>
            </w:pPr>
            <w:r w:rsidRPr="00E23053">
              <w:rPr>
                <w:color w:val="auto"/>
                <w:sz w:val="16"/>
                <w:szCs w:val="16"/>
              </w:rPr>
              <w:t>102,328</w:t>
            </w:r>
          </w:p>
        </w:tc>
        <w:tc>
          <w:tcPr>
            <w:tcW w:w="859" w:type="dxa"/>
            <w:tcBorders>
              <w:top w:val="nil"/>
              <w:left w:val="nil"/>
              <w:bottom w:val="nil"/>
              <w:right w:val="nil"/>
            </w:tcBorders>
            <w:shd w:val="clear" w:color="auto" w:fill="auto"/>
            <w:noWrap/>
            <w:tcMar>
              <w:left w:w="57" w:type="dxa"/>
              <w:right w:w="57" w:type="dxa"/>
            </w:tcMar>
            <w:vAlign w:val="bottom"/>
            <w:hideMark/>
          </w:tcPr>
          <w:p w14:paraId="3410E5CF" w14:textId="77777777" w:rsidR="00E23053" w:rsidRPr="00E23053" w:rsidRDefault="00E23053" w:rsidP="00E23053">
            <w:pPr>
              <w:spacing w:before="0" w:after="0"/>
              <w:jc w:val="right"/>
              <w:rPr>
                <w:color w:val="auto"/>
                <w:sz w:val="16"/>
                <w:szCs w:val="16"/>
              </w:rPr>
            </w:pPr>
            <w:r w:rsidRPr="00E23053">
              <w:rPr>
                <w:color w:val="auto"/>
                <w:sz w:val="16"/>
                <w:szCs w:val="16"/>
              </w:rPr>
              <w:t>107,964</w:t>
            </w:r>
          </w:p>
        </w:tc>
        <w:tc>
          <w:tcPr>
            <w:tcW w:w="859" w:type="dxa"/>
            <w:tcBorders>
              <w:top w:val="nil"/>
              <w:left w:val="nil"/>
              <w:bottom w:val="nil"/>
              <w:right w:val="nil"/>
            </w:tcBorders>
            <w:shd w:val="clear" w:color="auto" w:fill="auto"/>
            <w:noWrap/>
            <w:tcMar>
              <w:left w:w="57" w:type="dxa"/>
              <w:right w:w="57" w:type="dxa"/>
            </w:tcMar>
            <w:vAlign w:val="bottom"/>
            <w:hideMark/>
          </w:tcPr>
          <w:p w14:paraId="074D0A33" w14:textId="77777777" w:rsidR="00E23053" w:rsidRPr="00E23053" w:rsidRDefault="00E23053" w:rsidP="00E23053">
            <w:pPr>
              <w:spacing w:before="0" w:after="0"/>
              <w:jc w:val="right"/>
              <w:rPr>
                <w:color w:val="auto"/>
                <w:sz w:val="16"/>
                <w:szCs w:val="16"/>
              </w:rPr>
            </w:pPr>
            <w:r w:rsidRPr="00E23053">
              <w:rPr>
                <w:color w:val="auto"/>
                <w:sz w:val="16"/>
                <w:szCs w:val="16"/>
              </w:rPr>
              <w:t>114,164</w:t>
            </w:r>
          </w:p>
        </w:tc>
        <w:tc>
          <w:tcPr>
            <w:tcW w:w="859" w:type="dxa"/>
            <w:tcBorders>
              <w:top w:val="nil"/>
              <w:left w:val="nil"/>
              <w:bottom w:val="nil"/>
              <w:right w:val="nil"/>
            </w:tcBorders>
            <w:shd w:val="clear" w:color="auto" w:fill="auto"/>
            <w:noWrap/>
            <w:tcMar>
              <w:left w:w="57" w:type="dxa"/>
              <w:right w:w="57" w:type="dxa"/>
            </w:tcMar>
            <w:vAlign w:val="bottom"/>
            <w:hideMark/>
          </w:tcPr>
          <w:p w14:paraId="318CEB65" w14:textId="77777777" w:rsidR="00E23053" w:rsidRPr="00E23053" w:rsidRDefault="00E23053" w:rsidP="00E23053">
            <w:pPr>
              <w:spacing w:before="0" w:after="0"/>
              <w:jc w:val="right"/>
              <w:rPr>
                <w:color w:val="auto"/>
                <w:sz w:val="16"/>
                <w:szCs w:val="16"/>
              </w:rPr>
            </w:pPr>
            <w:r w:rsidRPr="00E23053">
              <w:rPr>
                <w:color w:val="auto"/>
                <w:sz w:val="16"/>
                <w:szCs w:val="16"/>
              </w:rPr>
              <w:t>120,764</w:t>
            </w:r>
          </w:p>
        </w:tc>
      </w:tr>
      <w:tr w:rsidR="00E23053" w:rsidRPr="00E23053" w14:paraId="053ACC8E" w14:textId="77777777" w:rsidTr="002674F9">
        <w:trPr>
          <w:trHeight w:val="624"/>
          <w:jc w:val="center"/>
        </w:trPr>
        <w:tc>
          <w:tcPr>
            <w:tcW w:w="3002" w:type="dxa"/>
            <w:tcBorders>
              <w:top w:val="nil"/>
              <w:left w:val="nil"/>
              <w:bottom w:val="nil"/>
              <w:right w:val="nil"/>
            </w:tcBorders>
            <w:shd w:val="clear" w:color="auto" w:fill="auto"/>
            <w:vAlign w:val="bottom"/>
            <w:hideMark/>
          </w:tcPr>
          <w:p w14:paraId="5E33EBFA" w14:textId="77777777" w:rsidR="00E23053" w:rsidRPr="00E23053" w:rsidRDefault="00E23053" w:rsidP="00E23053">
            <w:pPr>
              <w:spacing w:before="0" w:after="0"/>
              <w:ind w:leftChars="225" w:left="405"/>
              <w:rPr>
                <w:i/>
                <w:iCs/>
                <w:color w:val="auto"/>
                <w:sz w:val="16"/>
                <w:szCs w:val="16"/>
              </w:rPr>
            </w:pPr>
            <w:r w:rsidRPr="00E23053">
              <w:rPr>
                <w:i/>
                <w:iCs/>
                <w:color w:val="auto"/>
                <w:sz w:val="16"/>
                <w:szCs w:val="16"/>
              </w:rPr>
              <w:t>Midwife Professional Indemnity (Commonwealth Contribution) Scheme Act 2010</w:t>
            </w:r>
          </w:p>
        </w:tc>
        <w:tc>
          <w:tcPr>
            <w:tcW w:w="882" w:type="dxa"/>
            <w:tcBorders>
              <w:top w:val="nil"/>
              <w:left w:val="nil"/>
              <w:bottom w:val="nil"/>
              <w:right w:val="nil"/>
            </w:tcBorders>
            <w:shd w:val="clear" w:color="auto" w:fill="auto"/>
            <w:noWrap/>
            <w:tcMar>
              <w:left w:w="57" w:type="dxa"/>
              <w:right w:w="57" w:type="dxa"/>
            </w:tcMar>
            <w:vAlign w:val="bottom"/>
            <w:hideMark/>
          </w:tcPr>
          <w:p w14:paraId="08F0CE15" w14:textId="77777777" w:rsidR="00E23053" w:rsidRPr="00E23053" w:rsidRDefault="00E23053" w:rsidP="00E23053">
            <w:pPr>
              <w:spacing w:before="0" w:after="0"/>
              <w:jc w:val="right"/>
              <w:rPr>
                <w:color w:val="auto"/>
                <w:sz w:val="16"/>
                <w:szCs w:val="16"/>
              </w:rPr>
            </w:pPr>
            <w:r w:rsidRPr="00E23053">
              <w:rPr>
                <w:color w:val="auto"/>
                <w:sz w:val="16"/>
                <w:szCs w:val="16"/>
              </w:rPr>
              <w:t>3,287</w:t>
            </w:r>
          </w:p>
        </w:tc>
        <w:tc>
          <w:tcPr>
            <w:tcW w:w="859" w:type="dxa"/>
            <w:tcBorders>
              <w:top w:val="nil"/>
              <w:left w:val="nil"/>
              <w:bottom w:val="nil"/>
              <w:right w:val="nil"/>
            </w:tcBorders>
            <w:shd w:val="clear" w:color="000000" w:fill="D9D9D9"/>
            <w:noWrap/>
            <w:tcMar>
              <w:left w:w="57" w:type="dxa"/>
              <w:right w:w="57" w:type="dxa"/>
            </w:tcMar>
            <w:vAlign w:val="bottom"/>
            <w:hideMark/>
          </w:tcPr>
          <w:p w14:paraId="191EC390" w14:textId="77777777" w:rsidR="00E23053" w:rsidRPr="00E23053" w:rsidRDefault="00E23053" w:rsidP="00E23053">
            <w:pPr>
              <w:spacing w:before="0" w:after="0"/>
              <w:jc w:val="right"/>
              <w:rPr>
                <w:color w:val="auto"/>
                <w:sz w:val="16"/>
                <w:szCs w:val="16"/>
              </w:rPr>
            </w:pPr>
            <w:r w:rsidRPr="00E23053">
              <w:rPr>
                <w:color w:val="auto"/>
                <w:sz w:val="16"/>
                <w:szCs w:val="16"/>
              </w:rPr>
              <w:t>3,735</w:t>
            </w:r>
          </w:p>
        </w:tc>
        <w:tc>
          <w:tcPr>
            <w:tcW w:w="859" w:type="dxa"/>
            <w:tcBorders>
              <w:top w:val="nil"/>
              <w:left w:val="nil"/>
              <w:bottom w:val="nil"/>
              <w:right w:val="nil"/>
            </w:tcBorders>
            <w:shd w:val="clear" w:color="auto" w:fill="auto"/>
            <w:noWrap/>
            <w:tcMar>
              <w:left w:w="57" w:type="dxa"/>
              <w:right w:w="57" w:type="dxa"/>
            </w:tcMar>
            <w:vAlign w:val="bottom"/>
            <w:hideMark/>
          </w:tcPr>
          <w:p w14:paraId="4C412D2D" w14:textId="77777777" w:rsidR="00E23053" w:rsidRPr="00E23053" w:rsidRDefault="00E23053" w:rsidP="00E23053">
            <w:pPr>
              <w:spacing w:before="0" w:after="0"/>
              <w:jc w:val="right"/>
              <w:rPr>
                <w:color w:val="auto"/>
                <w:sz w:val="16"/>
                <w:szCs w:val="16"/>
              </w:rPr>
            </w:pPr>
            <w:r w:rsidRPr="00E23053">
              <w:rPr>
                <w:color w:val="auto"/>
                <w:sz w:val="16"/>
                <w:szCs w:val="16"/>
              </w:rPr>
              <w:t>4,214</w:t>
            </w:r>
          </w:p>
        </w:tc>
        <w:tc>
          <w:tcPr>
            <w:tcW w:w="859" w:type="dxa"/>
            <w:tcBorders>
              <w:top w:val="nil"/>
              <w:left w:val="nil"/>
              <w:bottom w:val="nil"/>
              <w:right w:val="nil"/>
            </w:tcBorders>
            <w:shd w:val="clear" w:color="auto" w:fill="auto"/>
            <w:noWrap/>
            <w:tcMar>
              <w:left w:w="57" w:type="dxa"/>
              <w:right w:w="57" w:type="dxa"/>
            </w:tcMar>
            <w:vAlign w:val="bottom"/>
            <w:hideMark/>
          </w:tcPr>
          <w:p w14:paraId="7B6EE439" w14:textId="77777777" w:rsidR="00E23053" w:rsidRPr="00E23053" w:rsidRDefault="00E23053" w:rsidP="00E23053">
            <w:pPr>
              <w:spacing w:before="0" w:after="0"/>
              <w:jc w:val="right"/>
              <w:rPr>
                <w:color w:val="auto"/>
                <w:sz w:val="16"/>
                <w:szCs w:val="16"/>
              </w:rPr>
            </w:pPr>
            <w:r w:rsidRPr="00E23053">
              <w:rPr>
                <w:color w:val="auto"/>
                <w:sz w:val="16"/>
                <w:szCs w:val="16"/>
              </w:rPr>
              <w:t>4,733</w:t>
            </w:r>
          </w:p>
        </w:tc>
        <w:tc>
          <w:tcPr>
            <w:tcW w:w="859" w:type="dxa"/>
            <w:tcBorders>
              <w:top w:val="nil"/>
              <w:left w:val="nil"/>
              <w:bottom w:val="nil"/>
              <w:right w:val="nil"/>
            </w:tcBorders>
            <w:shd w:val="clear" w:color="auto" w:fill="auto"/>
            <w:noWrap/>
            <w:tcMar>
              <w:left w:w="57" w:type="dxa"/>
              <w:right w:w="57" w:type="dxa"/>
            </w:tcMar>
            <w:vAlign w:val="bottom"/>
            <w:hideMark/>
          </w:tcPr>
          <w:p w14:paraId="6836467B" w14:textId="77777777" w:rsidR="00E23053" w:rsidRPr="00E23053" w:rsidRDefault="00E23053" w:rsidP="00E23053">
            <w:pPr>
              <w:spacing w:before="0" w:after="0"/>
              <w:jc w:val="right"/>
              <w:rPr>
                <w:color w:val="auto"/>
                <w:sz w:val="16"/>
                <w:szCs w:val="16"/>
              </w:rPr>
            </w:pPr>
            <w:r w:rsidRPr="00E23053">
              <w:rPr>
                <w:color w:val="auto"/>
                <w:sz w:val="16"/>
                <w:szCs w:val="16"/>
              </w:rPr>
              <w:t>5,293</w:t>
            </w:r>
          </w:p>
        </w:tc>
      </w:tr>
      <w:tr w:rsidR="00E23053" w:rsidRPr="00E23053" w14:paraId="531517CA"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3BC61E55" w14:textId="77777777" w:rsidR="00E23053" w:rsidRPr="00E23053" w:rsidRDefault="00E23053" w:rsidP="00E23053">
            <w:pPr>
              <w:spacing w:before="0" w:after="0"/>
              <w:ind w:leftChars="75" w:left="135"/>
              <w:rPr>
                <w:color w:val="auto"/>
                <w:sz w:val="16"/>
                <w:szCs w:val="16"/>
              </w:rPr>
            </w:pPr>
            <w:r w:rsidRPr="00E23053">
              <w:rPr>
                <w:color w:val="auto"/>
                <w:sz w:val="16"/>
                <w:szCs w:val="16"/>
              </w:rPr>
              <w:t>Departmental expenses</w:t>
            </w:r>
          </w:p>
        </w:tc>
        <w:tc>
          <w:tcPr>
            <w:tcW w:w="882" w:type="dxa"/>
            <w:tcBorders>
              <w:top w:val="nil"/>
              <w:left w:val="nil"/>
              <w:bottom w:val="nil"/>
              <w:right w:val="nil"/>
            </w:tcBorders>
            <w:shd w:val="clear" w:color="auto" w:fill="auto"/>
            <w:noWrap/>
            <w:tcMar>
              <w:left w:w="57" w:type="dxa"/>
              <w:right w:w="57" w:type="dxa"/>
            </w:tcMar>
            <w:vAlign w:val="bottom"/>
            <w:hideMark/>
          </w:tcPr>
          <w:p w14:paraId="3A8665F1" w14:textId="77777777" w:rsidR="00E23053" w:rsidRPr="00E23053" w:rsidRDefault="00E23053" w:rsidP="00E23053">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tcMar>
              <w:left w:w="57" w:type="dxa"/>
              <w:right w:w="57" w:type="dxa"/>
            </w:tcMar>
            <w:vAlign w:val="bottom"/>
            <w:hideMark/>
          </w:tcPr>
          <w:p w14:paraId="510197D4" w14:textId="77777777" w:rsidR="00E23053" w:rsidRPr="00E23053" w:rsidRDefault="00E23053" w:rsidP="00E23053">
            <w:pPr>
              <w:spacing w:before="0" w:after="0"/>
              <w:jc w:val="right"/>
              <w:rPr>
                <w:color w:val="auto"/>
                <w:sz w:val="16"/>
                <w:szCs w:val="16"/>
              </w:rPr>
            </w:pPr>
            <w:r w:rsidRPr="00E23053">
              <w:rPr>
                <w:color w:val="auto"/>
                <w:sz w:val="16"/>
                <w:szCs w:val="16"/>
              </w:rPr>
              <w:t> </w:t>
            </w:r>
          </w:p>
        </w:tc>
        <w:tc>
          <w:tcPr>
            <w:tcW w:w="859" w:type="dxa"/>
            <w:tcBorders>
              <w:top w:val="nil"/>
              <w:left w:val="nil"/>
              <w:bottom w:val="nil"/>
              <w:right w:val="nil"/>
            </w:tcBorders>
            <w:shd w:val="clear" w:color="auto" w:fill="auto"/>
            <w:noWrap/>
            <w:tcMar>
              <w:left w:w="57" w:type="dxa"/>
              <w:right w:w="57" w:type="dxa"/>
            </w:tcMar>
            <w:vAlign w:val="bottom"/>
            <w:hideMark/>
          </w:tcPr>
          <w:p w14:paraId="452A9295" w14:textId="77777777" w:rsidR="00E23053" w:rsidRPr="00E23053" w:rsidRDefault="00E23053" w:rsidP="00E23053">
            <w:pPr>
              <w:spacing w:before="0" w:after="0"/>
              <w:jc w:val="right"/>
              <w:rPr>
                <w:color w:val="auto"/>
                <w:sz w:val="16"/>
                <w:szCs w:val="16"/>
              </w:rPr>
            </w:pPr>
          </w:p>
        </w:tc>
        <w:tc>
          <w:tcPr>
            <w:tcW w:w="859" w:type="dxa"/>
            <w:tcBorders>
              <w:top w:val="nil"/>
              <w:left w:val="nil"/>
              <w:bottom w:val="nil"/>
              <w:right w:val="nil"/>
            </w:tcBorders>
            <w:shd w:val="clear" w:color="auto" w:fill="auto"/>
            <w:noWrap/>
            <w:tcMar>
              <w:left w:w="57" w:type="dxa"/>
              <w:right w:w="57" w:type="dxa"/>
            </w:tcMar>
            <w:vAlign w:val="bottom"/>
            <w:hideMark/>
          </w:tcPr>
          <w:p w14:paraId="0D462D8E" w14:textId="77777777" w:rsidR="00E23053" w:rsidRPr="00E23053" w:rsidRDefault="00E23053" w:rsidP="00E23053">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left w:w="57" w:type="dxa"/>
              <w:right w:w="57" w:type="dxa"/>
            </w:tcMar>
            <w:vAlign w:val="bottom"/>
            <w:hideMark/>
          </w:tcPr>
          <w:p w14:paraId="584E68BE" w14:textId="77777777" w:rsidR="00E23053" w:rsidRPr="00E23053" w:rsidRDefault="00E23053" w:rsidP="00E23053">
            <w:pPr>
              <w:spacing w:before="0" w:after="0"/>
              <w:jc w:val="right"/>
              <w:rPr>
                <w:rFonts w:ascii="Times New Roman" w:hAnsi="Times New Roman" w:cs="Times New Roman"/>
                <w:color w:val="auto"/>
                <w:sz w:val="20"/>
                <w:szCs w:val="20"/>
              </w:rPr>
            </w:pPr>
          </w:p>
        </w:tc>
      </w:tr>
      <w:tr w:rsidR="00E23053" w:rsidRPr="00E23053" w14:paraId="587FB678" w14:textId="77777777" w:rsidTr="00E23053">
        <w:trPr>
          <w:trHeight w:val="225"/>
          <w:jc w:val="center"/>
        </w:trPr>
        <w:tc>
          <w:tcPr>
            <w:tcW w:w="3002" w:type="dxa"/>
            <w:tcBorders>
              <w:top w:val="nil"/>
              <w:left w:val="nil"/>
              <w:bottom w:val="nil"/>
              <w:right w:val="nil"/>
            </w:tcBorders>
            <w:shd w:val="clear" w:color="auto" w:fill="auto"/>
            <w:noWrap/>
            <w:vAlign w:val="bottom"/>
            <w:hideMark/>
          </w:tcPr>
          <w:p w14:paraId="6B3E8742" w14:textId="77777777" w:rsidR="00E23053" w:rsidRPr="00E23053" w:rsidRDefault="00E23053" w:rsidP="00E23053">
            <w:pPr>
              <w:spacing w:before="0" w:after="0"/>
              <w:ind w:leftChars="150" w:left="270"/>
              <w:rPr>
                <w:color w:val="auto"/>
                <w:sz w:val="16"/>
                <w:szCs w:val="16"/>
              </w:rPr>
            </w:pPr>
            <w:r w:rsidRPr="00E23053">
              <w:rPr>
                <w:color w:val="auto"/>
                <w:sz w:val="16"/>
                <w:szCs w:val="16"/>
              </w:rPr>
              <w:t>Departmental appropriation</w:t>
            </w:r>
            <w:r w:rsidRPr="00E23053">
              <w:rPr>
                <w:color w:val="auto"/>
                <w:sz w:val="16"/>
                <w:szCs w:val="16"/>
                <w:vertAlign w:val="superscript"/>
              </w:rPr>
              <w:t xml:space="preserve"> (c)</w:t>
            </w:r>
          </w:p>
        </w:tc>
        <w:tc>
          <w:tcPr>
            <w:tcW w:w="882" w:type="dxa"/>
            <w:tcBorders>
              <w:top w:val="nil"/>
              <w:left w:val="nil"/>
              <w:bottom w:val="nil"/>
              <w:right w:val="nil"/>
            </w:tcBorders>
            <w:shd w:val="clear" w:color="auto" w:fill="auto"/>
            <w:noWrap/>
            <w:tcMar>
              <w:left w:w="57" w:type="dxa"/>
              <w:right w:w="57" w:type="dxa"/>
            </w:tcMar>
            <w:vAlign w:val="bottom"/>
            <w:hideMark/>
          </w:tcPr>
          <w:p w14:paraId="58D7D7E0" w14:textId="77777777" w:rsidR="00E23053" w:rsidRPr="00E23053" w:rsidRDefault="00E23053" w:rsidP="00E23053">
            <w:pPr>
              <w:spacing w:before="0" w:after="0"/>
              <w:jc w:val="right"/>
              <w:rPr>
                <w:color w:val="auto"/>
                <w:sz w:val="16"/>
                <w:szCs w:val="16"/>
              </w:rPr>
            </w:pPr>
            <w:r w:rsidRPr="00E23053">
              <w:rPr>
                <w:color w:val="auto"/>
                <w:sz w:val="16"/>
                <w:szCs w:val="16"/>
              </w:rPr>
              <w:t>6,399</w:t>
            </w:r>
          </w:p>
        </w:tc>
        <w:tc>
          <w:tcPr>
            <w:tcW w:w="859" w:type="dxa"/>
            <w:tcBorders>
              <w:top w:val="nil"/>
              <w:left w:val="nil"/>
              <w:bottom w:val="nil"/>
              <w:right w:val="nil"/>
            </w:tcBorders>
            <w:shd w:val="clear" w:color="000000" w:fill="D9D9D9"/>
            <w:noWrap/>
            <w:tcMar>
              <w:left w:w="57" w:type="dxa"/>
              <w:right w:w="57" w:type="dxa"/>
            </w:tcMar>
            <w:vAlign w:val="bottom"/>
            <w:hideMark/>
          </w:tcPr>
          <w:p w14:paraId="6B81919A" w14:textId="77777777" w:rsidR="00E23053" w:rsidRPr="00E23053" w:rsidRDefault="00E23053" w:rsidP="00E23053">
            <w:pPr>
              <w:spacing w:before="0" w:after="0"/>
              <w:jc w:val="right"/>
              <w:rPr>
                <w:color w:val="auto"/>
                <w:sz w:val="16"/>
                <w:szCs w:val="16"/>
              </w:rPr>
            </w:pPr>
            <w:r w:rsidRPr="00E23053">
              <w:rPr>
                <w:color w:val="auto"/>
                <w:sz w:val="16"/>
                <w:szCs w:val="16"/>
              </w:rPr>
              <w:t>6,104</w:t>
            </w:r>
          </w:p>
        </w:tc>
        <w:tc>
          <w:tcPr>
            <w:tcW w:w="859" w:type="dxa"/>
            <w:tcBorders>
              <w:top w:val="nil"/>
              <w:left w:val="nil"/>
              <w:bottom w:val="nil"/>
              <w:right w:val="nil"/>
            </w:tcBorders>
            <w:shd w:val="clear" w:color="auto" w:fill="auto"/>
            <w:noWrap/>
            <w:tcMar>
              <w:left w:w="57" w:type="dxa"/>
              <w:right w:w="57" w:type="dxa"/>
            </w:tcMar>
            <w:vAlign w:val="bottom"/>
            <w:hideMark/>
          </w:tcPr>
          <w:p w14:paraId="64BBA9FE" w14:textId="77777777" w:rsidR="00E23053" w:rsidRPr="00E23053" w:rsidRDefault="00E23053" w:rsidP="00E23053">
            <w:pPr>
              <w:spacing w:before="0" w:after="0"/>
              <w:jc w:val="right"/>
              <w:rPr>
                <w:color w:val="auto"/>
                <w:sz w:val="16"/>
                <w:szCs w:val="16"/>
              </w:rPr>
            </w:pPr>
            <w:r w:rsidRPr="00E23053">
              <w:rPr>
                <w:color w:val="auto"/>
                <w:sz w:val="16"/>
                <w:szCs w:val="16"/>
              </w:rPr>
              <w:t>5,809</w:t>
            </w:r>
          </w:p>
        </w:tc>
        <w:tc>
          <w:tcPr>
            <w:tcW w:w="859" w:type="dxa"/>
            <w:tcBorders>
              <w:top w:val="nil"/>
              <w:left w:val="nil"/>
              <w:bottom w:val="nil"/>
              <w:right w:val="nil"/>
            </w:tcBorders>
            <w:shd w:val="clear" w:color="auto" w:fill="auto"/>
            <w:noWrap/>
            <w:tcMar>
              <w:left w:w="57" w:type="dxa"/>
              <w:right w:w="57" w:type="dxa"/>
            </w:tcMar>
            <w:vAlign w:val="bottom"/>
            <w:hideMark/>
          </w:tcPr>
          <w:p w14:paraId="0E756897" w14:textId="77777777" w:rsidR="00E23053" w:rsidRPr="00E23053" w:rsidRDefault="00E23053" w:rsidP="00E23053">
            <w:pPr>
              <w:spacing w:before="0" w:after="0"/>
              <w:jc w:val="right"/>
              <w:rPr>
                <w:color w:val="auto"/>
                <w:sz w:val="16"/>
                <w:szCs w:val="16"/>
              </w:rPr>
            </w:pPr>
            <w:r w:rsidRPr="00E23053">
              <w:rPr>
                <w:color w:val="auto"/>
                <w:sz w:val="16"/>
                <w:szCs w:val="16"/>
              </w:rPr>
              <w:t>5,831</w:t>
            </w:r>
          </w:p>
        </w:tc>
        <w:tc>
          <w:tcPr>
            <w:tcW w:w="859" w:type="dxa"/>
            <w:tcBorders>
              <w:top w:val="nil"/>
              <w:left w:val="nil"/>
              <w:bottom w:val="nil"/>
              <w:right w:val="nil"/>
            </w:tcBorders>
            <w:shd w:val="clear" w:color="auto" w:fill="auto"/>
            <w:noWrap/>
            <w:tcMar>
              <w:left w:w="57" w:type="dxa"/>
              <w:right w:w="57" w:type="dxa"/>
            </w:tcMar>
            <w:vAlign w:val="bottom"/>
            <w:hideMark/>
          </w:tcPr>
          <w:p w14:paraId="493A313C" w14:textId="77777777" w:rsidR="00E23053" w:rsidRPr="00E23053" w:rsidRDefault="00E23053" w:rsidP="00E23053">
            <w:pPr>
              <w:spacing w:before="0" w:after="0"/>
              <w:jc w:val="right"/>
              <w:rPr>
                <w:color w:val="auto"/>
                <w:sz w:val="16"/>
                <w:szCs w:val="16"/>
              </w:rPr>
            </w:pPr>
            <w:r w:rsidRPr="00E23053">
              <w:rPr>
                <w:color w:val="auto"/>
                <w:sz w:val="16"/>
                <w:szCs w:val="16"/>
              </w:rPr>
              <w:t>5,850</w:t>
            </w:r>
          </w:p>
        </w:tc>
      </w:tr>
      <w:tr w:rsidR="00E23053" w:rsidRPr="00E23053" w14:paraId="3549BF7A" w14:textId="77777777" w:rsidTr="002674F9">
        <w:trPr>
          <w:trHeight w:val="454"/>
          <w:jc w:val="center"/>
        </w:trPr>
        <w:tc>
          <w:tcPr>
            <w:tcW w:w="3002" w:type="dxa"/>
            <w:tcBorders>
              <w:top w:val="nil"/>
              <w:left w:val="nil"/>
              <w:bottom w:val="nil"/>
              <w:right w:val="nil"/>
            </w:tcBorders>
            <w:shd w:val="clear" w:color="auto" w:fill="auto"/>
            <w:vAlign w:val="bottom"/>
            <w:hideMark/>
          </w:tcPr>
          <w:p w14:paraId="3687F41C" w14:textId="77777777" w:rsidR="00E23053" w:rsidRPr="00E23053" w:rsidRDefault="00E23053" w:rsidP="00E23053">
            <w:pPr>
              <w:spacing w:before="0" w:after="0"/>
              <w:ind w:leftChars="150" w:left="270"/>
              <w:rPr>
                <w:color w:val="auto"/>
                <w:sz w:val="16"/>
                <w:szCs w:val="16"/>
              </w:rPr>
            </w:pPr>
            <w:r w:rsidRPr="00E23053">
              <w:rPr>
                <w:color w:val="auto"/>
                <w:sz w:val="16"/>
                <w:szCs w:val="16"/>
              </w:rPr>
              <w:t xml:space="preserve">Expenses not requiring appropriation in the Budget year </w:t>
            </w:r>
            <w:r w:rsidRPr="00E23053">
              <w:rPr>
                <w:color w:val="auto"/>
                <w:sz w:val="16"/>
                <w:szCs w:val="16"/>
                <w:vertAlign w:val="superscript"/>
              </w:rPr>
              <w:t>(d)</w:t>
            </w:r>
          </w:p>
        </w:tc>
        <w:tc>
          <w:tcPr>
            <w:tcW w:w="882" w:type="dxa"/>
            <w:tcBorders>
              <w:top w:val="nil"/>
              <w:left w:val="nil"/>
              <w:bottom w:val="nil"/>
              <w:right w:val="nil"/>
            </w:tcBorders>
            <w:shd w:val="clear" w:color="auto" w:fill="auto"/>
            <w:noWrap/>
            <w:tcMar>
              <w:left w:w="57" w:type="dxa"/>
              <w:right w:w="57" w:type="dxa"/>
            </w:tcMar>
            <w:vAlign w:val="bottom"/>
            <w:hideMark/>
          </w:tcPr>
          <w:p w14:paraId="18AC99D6" w14:textId="77777777" w:rsidR="00E23053" w:rsidRPr="00E23053" w:rsidRDefault="00E23053" w:rsidP="00E23053">
            <w:pPr>
              <w:spacing w:before="0" w:after="0"/>
              <w:jc w:val="right"/>
              <w:rPr>
                <w:color w:val="auto"/>
                <w:sz w:val="16"/>
                <w:szCs w:val="16"/>
              </w:rPr>
            </w:pPr>
            <w:r w:rsidRPr="00E23053">
              <w:rPr>
                <w:color w:val="auto"/>
                <w:sz w:val="16"/>
                <w:szCs w:val="16"/>
              </w:rPr>
              <w:t>372</w:t>
            </w:r>
          </w:p>
        </w:tc>
        <w:tc>
          <w:tcPr>
            <w:tcW w:w="859" w:type="dxa"/>
            <w:tcBorders>
              <w:top w:val="nil"/>
              <w:left w:val="nil"/>
              <w:bottom w:val="nil"/>
              <w:right w:val="nil"/>
            </w:tcBorders>
            <w:shd w:val="clear" w:color="000000" w:fill="D9D9D9"/>
            <w:noWrap/>
            <w:tcMar>
              <w:left w:w="57" w:type="dxa"/>
              <w:right w:w="57" w:type="dxa"/>
            </w:tcMar>
            <w:vAlign w:val="bottom"/>
            <w:hideMark/>
          </w:tcPr>
          <w:p w14:paraId="30965B0B" w14:textId="77777777" w:rsidR="00E23053" w:rsidRPr="00E23053" w:rsidRDefault="00E23053" w:rsidP="00E23053">
            <w:pPr>
              <w:spacing w:before="0" w:after="0"/>
              <w:jc w:val="right"/>
              <w:rPr>
                <w:color w:val="auto"/>
                <w:sz w:val="16"/>
                <w:szCs w:val="16"/>
              </w:rPr>
            </w:pPr>
            <w:r w:rsidRPr="00E23053">
              <w:rPr>
                <w:color w:val="auto"/>
                <w:sz w:val="16"/>
                <w:szCs w:val="16"/>
              </w:rPr>
              <w:t>557</w:t>
            </w:r>
          </w:p>
        </w:tc>
        <w:tc>
          <w:tcPr>
            <w:tcW w:w="859" w:type="dxa"/>
            <w:tcBorders>
              <w:top w:val="nil"/>
              <w:left w:val="nil"/>
              <w:bottom w:val="nil"/>
              <w:right w:val="nil"/>
            </w:tcBorders>
            <w:shd w:val="clear" w:color="auto" w:fill="auto"/>
            <w:noWrap/>
            <w:tcMar>
              <w:left w:w="57" w:type="dxa"/>
              <w:right w:w="57" w:type="dxa"/>
            </w:tcMar>
            <w:vAlign w:val="bottom"/>
            <w:hideMark/>
          </w:tcPr>
          <w:p w14:paraId="132F8699" w14:textId="77777777" w:rsidR="00E23053" w:rsidRPr="00E23053" w:rsidRDefault="00E23053" w:rsidP="00E23053">
            <w:pPr>
              <w:spacing w:before="0" w:after="0"/>
              <w:jc w:val="right"/>
              <w:rPr>
                <w:color w:val="auto"/>
                <w:sz w:val="16"/>
                <w:szCs w:val="16"/>
              </w:rPr>
            </w:pPr>
            <w:r w:rsidRPr="00E23053">
              <w:rPr>
                <w:color w:val="auto"/>
                <w:sz w:val="16"/>
                <w:szCs w:val="16"/>
              </w:rPr>
              <w:t>511</w:t>
            </w:r>
          </w:p>
        </w:tc>
        <w:tc>
          <w:tcPr>
            <w:tcW w:w="859" w:type="dxa"/>
            <w:tcBorders>
              <w:top w:val="nil"/>
              <w:left w:val="nil"/>
              <w:bottom w:val="nil"/>
              <w:right w:val="nil"/>
            </w:tcBorders>
            <w:shd w:val="clear" w:color="auto" w:fill="auto"/>
            <w:noWrap/>
            <w:tcMar>
              <w:left w:w="57" w:type="dxa"/>
              <w:right w:w="57" w:type="dxa"/>
            </w:tcMar>
            <w:vAlign w:val="bottom"/>
            <w:hideMark/>
          </w:tcPr>
          <w:p w14:paraId="214B47A4" w14:textId="77777777" w:rsidR="00E23053" w:rsidRPr="00E23053" w:rsidRDefault="00E23053" w:rsidP="00E23053">
            <w:pPr>
              <w:spacing w:before="0" w:after="0"/>
              <w:jc w:val="right"/>
              <w:rPr>
                <w:color w:val="auto"/>
                <w:sz w:val="16"/>
                <w:szCs w:val="16"/>
              </w:rPr>
            </w:pPr>
            <w:r w:rsidRPr="00E23053">
              <w:rPr>
                <w:color w:val="auto"/>
                <w:sz w:val="16"/>
                <w:szCs w:val="16"/>
              </w:rPr>
              <w:t>482</w:t>
            </w:r>
          </w:p>
        </w:tc>
        <w:tc>
          <w:tcPr>
            <w:tcW w:w="859" w:type="dxa"/>
            <w:tcBorders>
              <w:top w:val="nil"/>
              <w:left w:val="nil"/>
              <w:bottom w:val="nil"/>
              <w:right w:val="nil"/>
            </w:tcBorders>
            <w:shd w:val="clear" w:color="auto" w:fill="auto"/>
            <w:noWrap/>
            <w:tcMar>
              <w:left w:w="57" w:type="dxa"/>
              <w:right w:w="57" w:type="dxa"/>
            </w:tcMar>
            <w:vAlign w:val="bottom"/>
            <w:hideMark/>
          </w:tcPr>
          <w:p w14:paraId="600830EC" w14:textId="77777777" w:rsidR="00E23053" w:rsidRPr="00E23053" w:rsidRDefault="00E23053" w:rsidP="00E23053">
            <w:pPr>
              <w:spacing w:before="0" w:after="0"/>
              <w:jc w:val="right"/>
              <w:rPr>
                <w:color w:val="auto"/>
                <w:sz w:val="16"/>
                <w:szCs w:val="16"/>
              </w:rPr>
            </w:pPr>
            <w:r w:rsidRPr="00E23053">
              <w:rPr>
                <w:color w:val="auto"/>
                <w:sz w:val="16"/>
                <w:szCs w:val="16"/>
              </w:rPr>
              <w:t>427</w:t>
            </w:r>
          </w:p>
        </w:tc>
      </w:tr>
      <w:tr w:rsidR="00E23053" w:rsidRPr="00E23053" w14:paraId="50B9C3EF" w14:textId="77777777" w:rsidTr="00E23053">
        <w:trPr>
          <w:trHeight w:val="300"/>
          <w:jc w:val="center"/>
        </w:trPr>
        <w:tc>
          <w:tcPr>
            <w:tcW w:w="3002" w:type="dxa"/>
            <w:tcBorders>
              <w:top w:val="nil"/>
              <w:left w:val="nil"/>
              <w:bottom w:val="nil"/>
              <w:right w:val="nil"/>
            </w:tcBorders>
            <w:shd w:val="clear" w:color="auto" w:fill="auto"/>
            <w:noWrap/>
            <w:vAlign w:val="bottom"/>
            <w:hideMark/>
          </w:tcPr>
          <w:p w14:paraId="69437AD1" w14:textId="77777777" w:rsidR="00E23053" w:rsidRPr="00E23053" w:rsidRDefault="00E23053" w:rsidP="00E23053">
            <w:pPr>
              <w:spacing w:before="0" w:after="0"/>
              <w:ind w:leftChars="75" w:left="135"/>
              <w:rPr>
                <w:b/>
                <w:bCs/>
                <w:color w:val="auto"/>
                <w:sz w:val="16"/>
                <w:szCs w:val="16"/>
              </w:rPr>
            </w:pPr>
            <w:r w:rsidRPr="00E23053">
              <w:rPr>
                <w:b/>
                <w:bCs/>
                <w:color w:val="auto"/>
                <w:sz w:val="16"/>
                <w:szCs w:val="16"/>
              </w:rPr>
              <w:t>Total for Program 1.7</w:t>
            </w:r>
          </w:p>
        </w:tc>
        <w:tc>
          <w:tcPr>
            <w:tcW w:w="882"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5CCB9969" w14:textId="77777777" w:rsidR="00E23053" w:rsidRPr="00E23053" w:rsidRDefault="00E23053" w:rsidP="00E23053">
            <w:pPr>
              <w:spacing w:before="0" w:after="0"/>
              <w:jc w:val="right"/>
              <w:rPr>
                <w:b/>
                <w:bCs/>
                <w:color w:val="auto"/>
                <w:sz w:val="16"/>
                <w:szCs w:val="16"/>
              </w:rPr>
            </w:pPr>
            <w:r w:rsidRPr="00E23053">
              <w:rPr>
                <w:b/>
                <w:bCs/>
                <w:color w:val="auto"/>
                <w:sz w:val="16"/>
                <w:szCs w:val="16"/>
              </w:rPr>
              <w:t>771,566</w:t>
            </w:r>
          </w:p>
        </w:tc>
        <w:tc>
          <w:tcPr>
            <w:tcW w:w="85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09C94A28" w14:textId="77777777" w:rsidR="00E23053" w:rsidRPr="00E23053" w:rsidRDefault="00E23053" w:rsidP="00E23053">
            <w:pPr>
              <w:spacing w:before="0" w:after="0"/>
              <w:jc w:val="right"/>
              <w:rPr>
                <w:b/>
                <w:bCs/>
                <w:color w:val="auto"/>
                <w:sz w:val="16"/>
                <w:szCs w:val="16"/>
              </w:rPr>
            </w:pPr>
            <w:r w:rsidRPr="00E23053">
              <w:rPr>
                <w:b/>
                <w:bCs/>
                <w:color w:val="auto"/>
                <w:sz w:val="16"/>
                <w:szCs w:val="16"/>
              </w:rPr>
              <w:t>718,987</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0A2EA16C" w14:textId="77777777" w:rsidR="00E23053" w:rsidRPr="00E23053" w:rsidRDefault="00E23053" w:rsidP="00E23053">
            <w:pPr>
              <w:spacing w:before="0" w:after="0"/>
              <w:jc w:val="right"/>
              <w:rPr>
                <w:b/>
                <w:bCs/>
                <w:color w:val="auto"/>
                <w:sz w:val="16"/>
                <w:szCs w:val="16"/>
              </w:rPr>
            </w:pPr>
            <w:r w:rsidRPr="00E23053">
              <w:rPr>
                <w:b/>
                <w:bCs/>
                <w:color w:val="auto"/>
                <w:sz w:val="16"/>
                <w:szCs w:val="16"/>
              </w:rPr>
              <w:t>529,414</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39F36B40" w14:textId="77777777" w:rsidR="00E23053" w:rsidRPr="00E23053" w:rsidRDefault="00E23053" w:rsidP="00E23053">
            <w:pPr>
              <w:spacing w:before="0" w:after="0"/>
              <w:jc w:val="right"/>
              <w:rPr>
                <w:b/>
                <w:bCs/>
                <w:color w:val="auto"/>
                <w:sz w:val="16"/>
                <w:szCs w:val="16"/>
              </w:rPr>
            </w:pPr>
            <w:r w:rsidRPr="00E23053">
              <w:rPr>
                <w:b/>
                <w:bCs/>
                <w:color w:val="auto"/>
                <w:sz w:val="16"/>
                <w:szCs w:val="16"/>
              </w:rPr>
              <w:t>533,199</w:t>
            </w:r>
          </w:p>
        </w:tc>
        <w:tc>
          <w:tcPr>
            <w:tcW w:w="85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4A6646DF" w14:textId="77777777" w:rsidR="00E23053" w:rsidRPr="00E23053" w:rsidRDefault="00E23053" w:rsidP="00E23053">
            <w:pPr>
              <w:spacing w:before="0" w:after="0"/>
              <w:jc w:val="right"/>
              <w:rPr>
                <w:b/>
                <w:bCs/>
                <w:color w:val="auto"/>
                <w:sz w:val="16"/>
                <w:szCs w:val="16"/>
              </w:rPr>
            </w:pPr>
            <w:r w:rsidRPr="00E23053">
              <w:rPr>
                <w:b/>
                <w:bCs/>
                <w:color w:val="auto"/>
                <w:sz w:val="16"/>
                <w:szCs w:val="16"/>
              </w:rPr>
              <w:t>540,059</w:t>
            </w:r>
          </w:p>
        </w:tc>
      </w:tr>
    </w:tbl>
    <w:p w14:paraId="55F33698" w14:textId="77777777" w:rsidR="0042092C" w:rsidRPr="00685583" w:rsidRDefault="004146AB" w:rsidP="004146AB">
      <w:pPr>
        <w:pStyle w:val="Tablenumberandreference"/>
        <w:keepNext/>
        <w:pageBreakBefore/>
        <w:spacing w:before="120"/>
        <w:rPr>
          <w:color w:val="auto"/>
        </w:rPr>
      </w:pPr>
      <w:r w:rsidRPr="00685583">
        <w:rPr>
          <w:color w:val="auto"/>
        </w:rPr>
        <w:lastRenderedPageBreak/>
        <w:t>Table 2.1.1: Budgeted Expenses for Outcome 1</w:t>
      </w:r>
      <w:r>
        <w:rPr>
          <w:color w:val="auto"/>
        </w:rPr>
        <w:t xml:space="preserve"> (continued)</w:t>
      </w:r>
    </w:p>
    <w:tbl>
      <w:tblPr>
        <w:tblW w:w="7320" w:type="dxa"/>
        <w:jc w:val="center"/>
        <w:tblLayout w:type="fixed"/>
        <w:tblLook w:val="04A0" w:firstRow="1" w:lastRow="0" w:firstColumn="1" w:lastColumn="0" w:noHBand="0" w:noVBand="1"/>
        <w:tblCaption w:val="Table 2.1.1: Budgeted Expenses for Outcome 1 (continued)"/>
        <w:tblDescription w:val="This table shows how much Health intends to spend on achieving Outcome 1 in 2021-22 and across the forward estimates, broken down by Program."/>
      </w:tblPr>
      <w:tblGrid>
        <w:gridCol w:w="2796"/>
        <w:gridCol w:w="918"/>
        <w:gridCol w:w="909"/>
        <w:gridCol w:w="899"/>
        <w:gridCol w:w="899"/>
        <w:gridCol w:w="899"/>
      </w:tblGrid>
      <w:tr w:rsidR="0042092C" w:rsidRPr="0042092C" w14:paraId="5B097D7C" w14:textId="77777777" w:rsidTr="0042092C">
        <w:trPr>
          <w:trHeight w:val="765"/>
          <w:jc w:val="center"/>
        </w:trPr>
        <w:tc>
          <w:tcPr>
            <w:tcW w:w="2796" w:type="dxa"/>
            <w:tcBorders>
              <w:top w:val="single" w:sz="4" w:space="0" w:color="auto"/>
              <w:left w:val="nil"/>
              <w:bottom w:val="nil"/>
              <w:right w:val="nil"/>
            </w:tcBorders>
            <w:shd w:val="clear" w:color="auto" w:fill="auto"/>
            <w:tcMar>
              <w:left w:w="57" w:type="dxa"/>
              <w:right w:w="57" w:type="dxa"/>
            </w:tcMar>
            <w:hideMark/>
          </w:tcPr>
          <w:p w14:paraId="6E8241AE" w14:textId="77777777" w:rsidR="0042092C" w:rsidRPr="0042092C" w:rsidRDefault="0042092C" w:rsidP="0042092C">
            <w:pPr>
              <w:spacing w:after="0"/>
              <w:jc w:val="right"/>
              <w:rPr>
                <w:b/>
                <w:bCs/>
                <w:color w:val="auto"/>
                <w:sz w:val="16"/>
                <w:szCs w:val="16"/>
              </w:rPr>
            </w:pPr>
            <w:r w:rsidRPr="0042092C">
              <w:rPr>
                <w:b/>
                <w:bCs/>
                <w:color w:val="auto"/>
                <w:sz w:val="16"/>
                <w:szCs w:val="16"/>
              </w:rPr>
              <w:t> </w:t>
            </w:r>
          </w:p>
        </w:tc>
        <w:tc>
          <w:tcPr>
            <w:tcW w:w="918" w:type="dxa"/>
            <w:tcBorders>
              <w:top w:val="single" w:sz="4" w:space="0" w:color="auto"/>
              <w:left w:val="nil"/>
              <w:bottom w:val="single" w:sz="4" w:space="0" w:color="auto"/>
              <w:right w:val="nil"/>
            </w:tcBorders>
            <w:shd w:val="clear" w:color="auto" w:fill="auto"/>
            <w:tcMar>
              <w:left w:w="57" w:type="dxa"/>
              <w:right w:w="57" w:type="dxa"/>
            </w:tcMar>
            <w:hideMark/>
          </w:tcPr>
          <w:p w14:paraId="161E8F99" w14:textId="77777777" w:rsidR="0042092C" w:rsidRPr="0042092C" w:rsidRDefault="0042092C" w:rsidP="0042092C">
            <w:pPr>
              <w:spacing w:after="0"/>
              <w:jc w:val="right"/>
              <w:rPr>
                <w:b/>
                <w:bCs/>
                <w:color w:val="auto"/>
                <w:sz w:val="16"/>
                <w:szCs w:val="16"/>
              </w:rPr>
            </w:pPr>
            <w:r w:rsidRPr="0042092C">
              <w:rPr>
                <w:b/>
                <w:bCs/>
                <w:color w:val="auto"/>
                <w:sz w:val="16"/>
                <w:szCs w:val="16"/>
              </w:rPr>
              <w:t>2021–22</w:t>
            </w:r>
            <w:r w:rsidRPr="0042092C">
              <w:rPr>
                <w:b/>
                <w:bCs/>
                <w:color w:val="auto"/>
                <w:sz w:val="16"/>
                <w:szCs w:val="16"/>
              </w:rPr>
              <w:br/>
              <w:t>Estimated actual</w:t>
            </w:r>
            <w:r w:rsidRPr="0042092C">
              <w:rPr>
                <w:b/>
                <w:bCs/>
                <w:color w:val="auto"/>
                <w:sz w:val="16"/>
                <w:szCs w:val="16"/>
              </w:rPr>
              <w:br/>
            </w:r>
            <w:r w:rsidRPr="0042092C">
              <w:rPr>
                <w:color w:val="auto"/>
                <w:sz w:val="16"/>
                <w:szCs w:val="16"/>
              </w:rPr>
              <w:t>$'000</w:t>
            </w:r>
          </w:p>
        </w:tc>
        <w:tc>
          <w:tcPr>
            <w:tcW w:w="909" w:type="dxa"/>
            <w:tcBorders>
              <w:top w:val="single" w:sz="4" w:space="0" w:color="auto"/>
              <w:left w:val="nil"/>
              <w:bottom w:val="single" w:sz="4" w:space="0" w:color="auto"/>
              <w:right w:val="nil"/>
            </w:tcBorders>
            <w:shd w:val="clear" w:color="000000" w:fill="D9D9D9"/>
            <w:tcMar>
              <w:left w:w="57" w:type="dxa"/>
              <w:right w:w="57" w:type="dxa"/>
            </w:tcMar>
            <w:hideMark/>
          </w:tcPr>
          <w:p w14:paraId="2D779CE7" w14:textId="77777777" w:rsidR="0042092C" w:rsidRPr="0042092C" w:rsidRDefault="0042092C" w:rsidP="0042092C">
            <w:pPr>
              <w:spacing w:after="0"/>
              <w:jc w:val="right"/>
              <w:rPr>
                <w:b/>
                <w:bCs/>
                <w:color w:val="auto"/>
                <w:sz w:val="16"/>
                <w:szCs w:val="16"/>
              </w:rPr>
            </w:pPr>
            <w:r w:rsidRPr="0042092C">
              <w:rPr>
                <w:b/>
                <w:bCs/>
                <w:color w:val="auto"/>
                <w:sz w:val="16"/>
                <w:szCs w:val="16"/>
              </w:rPr>
              <w:t>2022–23 Budget</w:t>
            </w:r>
            <w:r w:rsidRPr="0042092C">
              <w:rPr>
                <w:b/>
                <w:bCs/>
                <w:color w:val="auto"/>
                <w:sz w:val="16"/>
                <w:szCs w:val="16"/>
              </w:rPr>
              <w:br/>
            </w:r>
            <w:r w:rsidRPr="0042092C">
              <w:rPr>
                <w:b/>
                <w:bCs/>
                <w:color w:val="auto"/>
                <w:sz w:val="16"/>
                <w:szCs w:val="16"/>
              </w:rPr>
              <w:br/>
            </w:r>
            <w:r w:rsidRPr="0042092C">
              <w:rPr>
                <w:color w:val="auto"/>
                <w:sz w:val="16"/>
                <w:szCs w:val="16"/>
              </w:rPr>
              <w:t>$'000</w:t>
            </w:r>
          </w:p>
        </w:tc>
        <w:tc>
          <w:tcPr>
            <w:tcW w:w="899" w:type="dxa"/>
            <w:tcBorders>
              <w:top w:val="single" w:sz="4" w:space="0" w:color="auto"/>
              <w:left w:val="nil"/>
              <w:bottom w:val="single" w:sz="4" w:space="0" w:color="auto"/>
              <w:right w:val="nil"/>
            </w:tcBorders>
            <w:shd w:val="clear" w:color="auto" w:fill="auto"/>
            <w:tcMar>
              <w:left w:w="57" w:type="dxa"/>
              <w:right w:w="57" w:type="dxa"/>
            </w:tcMar>
            <w:hideMark/>
          </w:tcPr>
          <w:p w14:paraId="60CB05DC" w14:textId="77777777" w:rsidR="0042092C" w:rsidRPr="0042092C" w:rsidRDefault="0042092C" w:rsidP="0042092C">
            <w:pPr>
              <w:spacing w:after="0"/>
              <w:jc w:val="right"/>
              <w:rPr>
                <w:b/>
                <w:bCs/>
                <w:color w:val="auto"/>
                <w:sz w:val="16"/>
                <w:szCs w:val="16"/>
              </w:rPr>
            </w:pPr>
            <w:r w:rsidRPr="0042092C">
              <w:rPr>
                <w:b/>
                <w:bCs/>
                <w:color w:val="auto"/>
                <w:sz w:val="16"/>
                <w:szCs w:val="16"/>
              </w:rPr>
              <w:t>2023–24 Forward estimate</w:t>
            </w:r>
            <w:r w:rsidRPr="0042092C">
              <w:rPr>
                <w:b/>
                <w:bCs/>
                <w:color w:val="auto"/>
                <w:sz w:val="16"/>
                <w:szCs w:val="16"/>
              </w:rPr>
              <w:br/>
            </w:r>
            <w:r w:rsidRPr="0042092C">
              <w:rPr>
                <w:color w:val="auto"/>
                <w:sz w:val="16"/>
                <w:szCs w:val="16"/>
              </w:rPr>
              <w:t>$'000</w:t>
            </w:r>
          </w:p>
        </w:tc>
        <w:tc>
          <w:tcPr>
            <w:tcW w:w="899" w:type="dxa"/>
            <w:tcBorders>
              <w:top w:val="single" w:sz="4" w:space="0" w:color="auto"/>
              <w:left w:val="nil"/>
              <w:bottom w:val="single" w:sz="4" w:space="0" w:color="auto"/>
              <w:right w:val="nil"/>
            </w:tcBorders>
            <w:shd w:val="clear" w:color="auto" w:fill="auto"/>
            <w:tcMar>
              <w:left w:w="57" w:type="dxa"/>
              <w:right w:w="57" w:type="dxa"/>
            </w:tcMar>
            <w:hideMark/>
          </w:tcPr>
          <w:p w14:paraId="67ACAEBF" w14:textId="77777777" w:rsidR="0042092C" w:rsidRPr="0042092C" w:rsidRDefault="0042092C" w:rsidP="0042092C">
            <w:pPr>
              <w:spacing w:after="0"/>
              <w:jc w:val="right"/>
              <w:rPr>
                <w:b/>
                <w:bCs/>
                <w:color w:val="auto"/>
                <w:sz w:val="16"/>
                <w:szCs w:val="16"/>
              </w:rPr>
            </w:pPr>
            <w:r w:rsidRPr="0042092C">
              <w:rPr>
                <w:b/>
                <w:bCs/>
                <w:color w:val="auto"/>
                <w:sz w:val="16"/>
                <w:szCs w:val="16"/>
              </w:rPr>
              <w:t>2024–25 Forward estimate</w:t>
            </w:r>
            <w:r w:rsidRPr="0042092C">
              <w:rPr>
                <w:b/>
                <w:bCs/>
                <w:color w:val="auto"/>
                <w:sz w:val="16"/>
                <w:szCs w:val="16"/>
              </w:rPr>
              <w:br/>
            </w:r>
            <w:r w:rsidRPr="0042092C">
              <w:rPr>
                <w:color w:val="auto"/>
                <w:sz w:val="16"/>
                <w:szCs w:val="16"/>
              </w:rPr>
              <w:t>$'000</w:t>
            </w:r>
          </w:p>
        </w:tc>
        <w:tc>
          <w:tcPr>
            <w:tcW w:w="899" w:type="dxa"/>
            <w:tcBorders>
              <w:top w:val="single" w:sz="4" w:space="0" w:color="auto"/>
              <w:left w:val="nil"/>
              <w:bottom w:val="single" w:sz="4" w:space="0" w:color="auto"/>
              <w:right w:val="nil"/>
            </w:tcBorders>
            <w:shd w:val="clear" w:color="auto" w:fill="auto"/>
            <w:tcMar>
              <w:left w:w="57" w:type="dxa"/>
              <w:right w:w="57" w:type="dxa"/>
            </w:tcMar>
            <w:hideMark/>
          </w:tcPr>
          <w:p w14:paraId="66B8CFD1" w14:textId="77777777" w:rsidR="0042092C" w:rsidRPr="0042092C" w:rsidRDefault="0042092C" w:rsidP="0042092C">
            <w:pPr>
              <w:spacing w:after="0"/>
              <w:jc w:val="right"/>
              <w:rPr>
                <w:b/>
                <w:bCs/>
                <w:color w:val="auto"/>
                <w:sz w:val="16"/>
                <w:szCs w:val="16"/>
              </w:rPr>
            </w:pPr>
            <w:r w:rsidRPr="0042092C">
              <w:rPr>
                <w:b/>
                <w:bCs/>
                <w:color w:val="auto"/>
                <w:sz w:val="16"/>
                <w:szCs w:val="16"/>
              </w:rPr>
              <w:t>2025–26 Forward estimate</w:t>
            </w:r>
            <w:r w:rsidRPr="0042092C">
              <w:rPr>
                <w:b/>
                <w:bCs/>
                <w:color w:val="auto"/>
                <w:sz w:val="16"/>
                <w:szCs w:val="16"/>
              </w:rPr>
              <w:br/>
            </w:r>
            <w:r w:rsidRPr="0042092C">
              <w:rPr>
                <w:color w:val="auto"/>
                <w:sz w:val="16"/>
                <w:szCs w:val="16"/>
              </w:rPr>
              <w:t>$'000</w:t>
            </w:r>
          </w:p>
        </w:tc>
      </w:tr>
      <w:tr w:rsidR="0042092C" w:rsidRPr="0042092C" w14:paraId="60283FEF" w14:textId="77777777" w:rsidTr="0042092C">
        <w:trPr>
          <w:trHeight w:val="300"/>
          <w:jc w:val="center"/>
        </w:trPr>
        <w:tc>
          <w:tcPr>
            <w:tcW w:w="7320" w:type="dxa"/>
            <w:gridSpan w:val="6"/>
            <w:tcBorders>
              <w:top w:val="nil"/>
              <w:left w:val="nil"/>
              <w:bottom w:val="nil"/>
              <w:right w:val="nil"/>
            </w:tcBorders>
            <w:shd w:val="clear" w:color="auto" w:fill="auto"/>
            <w:vAlign w:val="bottom"/>
            <w:hideMark/>
          </w:tcPr>
          <w:p w14:paraId="161FE1DB" w14:textId="77777777" w:rsidR="0042092C" w:rsidRPr="0042092C" w:rsidRDefault="0042092C" w:rsidP="0042092C">
            <w:pPr>
              <w:spacing w:before="0" w:after="0"/>
              <w:rPr>
                <w:b/>
                <w:bCs/>
                <w:color w:val="auto"/>
                <w:sz w:val="16"/>
                <w:szCs w:val="16"/>
              </w:rPr>
            </w:pPr>
            <w:r w:rsidRPr="0042092C">
              <w:rPr>
                <w:b/>
                <w:bCs/>
                <w:color w:val="auto"/>
                <w:sz w:val="16"/>
                <w:szCs w:val="16"/>
              </w:rPr>
              <w:t xml:space="preserve">Program 1.8: Health Protection, Emergency Response and Regulation </w:t>
            </w:r>
            <w:r w:rsidRPr="0042092C">
              <w:rPr>
                <w:b/>
                <w:bCs/>
                <w:color w:val="auto"/>
                <w:sz w:val="16"/>
                <w:szCs w:val="16"/>
                <w:vertAlign w:val="superscript"/>
              </w:rPr>
              <w:t>(a)</w:t>
            </w:r>
          </w:p>
        </w:tc>
      </w:tr>
      <w:tr w:rsidR="0042092C" w:rsidRPr="0042092C" w14:paraId="6137F3BF"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0329A891" w14:textId="77777777" w:rsidR="0042092C" w:rsidRPr="0042092C" w:rsidRDefault="0042092C" w:rsidP="0042092C">
            <w:pPr>
              <w:spacing w:before="0" w:after="0"/>
              <w:ind w:leftChars="75" w:left="135"/>
              <w:rPr>
                <w:color w:val="auto"/>
                <w:sz w:val="16"/>
                <w:szCs w:val="16"/>
              </w:rPr>
            </w:pPr>
            <w:r w:rsidRPr="0042092C">
              <w:rPr>
                <w:color w:val="auto"/>
                <w:sz w:val="16"/>
                <w:szCs w:val="16"/>
              </w:rPr>
              <w:t>Administered expenses</w:t>
            </w:r>
          </w:p>
        </w:tc>
        <w:tc>
          <w:tcPr>
            <w:tcW w:w="918" w:type="dxa"/>
            <w:tcBorders>
              <w:top w:val="nil"/>
              <w:left w:val="nil"/>
              <w:bottom w:val="nil"/>
              <w:right w:val="nil"/>
            </w:tcBorders>
            <w:shd w:val="clear" w:color="auto" w:fill="auto"/>
            <w:noWrap/>
            <w:tcMar>
              <w:left w:w="57" w:type="dxa"/>
              <w:right w:w="57" w:type="dxa"/>
            </w:tcMar>
            <w:vAlign w:val="bottom"/>
            <w:hideMark/>
          </w:tcPr>
          <w:p w14:paraId="70347600" w14:textId="77777777" w:rsidR="0042092C" w:rsidRPr="0042092C" w:rsidRDefault="0042092C" w:rsidP="0042092C">
            <w:pPr>
              <w:spacing w:before="0" w:after="0"/>
              <w:ind w:firstLineChars="100" w:firstLine="16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279FC81A"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37CC5FCB"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3683BA20"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76882D1F"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77CD2E29"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3A8EDF66" w14:textId="77777777" w:rsidR="0042092C" w:rsidRPr="0042092C" w:rsidRDefault="0042092C" w:rsidP="0042092C">
            <w:pPr>
              <w:spacing w:before="0" w:after="0"/>
              <w:ind w:leftChars="150" w:left="270"/>
              <w:rPr>
                <w:color w:val="auto"/>
                <w:sz w:val="16"/>
                <w:szCs w:val="16"/>
              </w:rPr>
            </w:pPr>
            <w:r w:rsidRPr="0042092C">
              <w:rPr>
                <w:color w:val="auto"/>
                <w:sz w:val="16"/>
                <w:szCs w:val="16"/>
              </w:rPr>
              <w:t xml:space="preserve">Ordinary annual services </w:t>
            </w:r>
            <w:r w:rsidRPr="0042092C">
              <w:rPr>
                <w:color w:val="auto"/>
                <w:sz w:val="16"/>
                <w:szCs w:val="16"/>
                <w:vertAlign w:val="superscript"/>
              </w:rPr>
              <w:t>(b)</w:t>
            </w:r>
          </w:p>
        </w:tc>
        <w:tc>
          <w:tcPr>
            <w:tcW w:w="918" w:type="dxa"/>
            <w:tcBorders>
              <w:top w:val="nil"/>
              <w:left w:val="nil"/>
              <w:bottom w:val="nil"/>
              <w:right w:val="nil"/>
            </w:tcBorders>
            <w:shd w:val="clear" w:color="auto" w:fill="auto"/>
            <w:noWrap/>
            <w:tcMar>
              <w:left w:w="57" w:type="dxa"/>
              <w:right w:w="57" w:type="dxa"/>
            </w:tcMar>
            <w:vAlign w:val="bottom"/>
            <w:hideMark/>
          </w:tcPr>
          <w:p w14:paraId="161D0CF2" w14:textId="77777777" w:rsidR="0042092C" w:rsidRPr="0042092C" w:rsidRDefault="0042092C" w:rsidP="0042092C">
            <w:pPr>
              <w:spacing w:before="0" w:after="0"/>
              <w:jc w:val="right"/>
              <w:rPr>
                <w:color w:val="auto"/>
                <w:sz w:val="16"/>
                <w:szCs w:val="16"/>
              </w:rPr>
            </w:pPr>
            <w:r w:rsidRPr="0042092C">
              <w:rPr>
                <w:color w:val="auto"/>
                <w:sz w:val="16"/>
                <w:szCs w:val="16"/>
              </w:rPr>
              <w:t>4,221,174</w:t>
            </w:r>
          </w:p>
        </w:tc>
        <w:tc>
          <w:tcPr>
            <w:tcW w:w="909" w:type="dxa"/>
            <w:tcBorders>
              <w:top w:val="nil"/>
              <w:left w:val="nil"/>
              <w:bottom w:val="nil"/>
              <w:right w:val="nil"/>
            </w:tcBorders>
            <w:shd w:val="clear" w:color="000000" w:fill="D9D9D9"/>
            <w:noWrap/>
            <w:tcMar>
              <w:left w:w="57" w:type="dxa"/>
              <w:right w:w="57" w:type="dxa"/>
            </w:tcMar>
            <w:vAlign w:val="bottom"/>
            <w:hideMark/>
          </w:tcPr>
          <w:p w14:paraId="73865EED" w14:textId="77777777" w:rsidR="0042092C" w:rsidRPr="0042092C" w:rsidRDefault="0042092C" w:rsidP="0042092C">
            <w:pPr>
              <w:spacing w:before="0" w:after="0"/>
              <w:jc w:val="right"/>
              <w:rPr>
                <w:color w:val="auto"/>
                <w:sz w:val="16"/>
                <w:szCs w:val="16"/>
              </w:rPr>
            </w:pPr>
            <w:r w:rsidRPr="0042092C">
              <w:rPr>
                <w:color w:val="auto"/>
                <w:sz w:val="16"/>
                <w:szCs w:val="16"/>
              </w:rPr>
              <w:t>4,103,582</w:t>
            </w:r>
          </w:p>
        </w:tc>
        <w:tc>
          <w:tcPr>
            <w:tcW w:w="899" w:type="dxa"/>
            <w:tcBorders>
              <w:top w:val="nil"/>
              <w:left w:val="nil"/>
              <w:bottom w:val="nil"/>
              <w:right w:val="nil"/>
            </w:tcBorders>
            <w:shd w:val="clear" w:color="auto" w:fill="auto"/>
            <w:noWrap/>
            <w:tcMar>
              <w:left w:w="57" w:type="dxa"/>
              <w:right w:w="57" w:type="dxa"/>
            </w:tcMar>
            <w:vAlign w:val="bottom"/>
            <w:hideMark/>
          </w:tcPr>
          <w:p w14:paraId="04F4A116" w14:textId="77777777" w:rsidR="0042092C" w:rsidRPr="0042092C" w:rsidRDefault="0042092C" w:rsidP="0042092C">
            <w:pPr>
              <w:spacing w:before="0" w:after="0"/>
              <w:jc w:val="right"/>
              <w:rPr>
                <w:color w:val="auto"/>
                <w:sz w:val="16"/>
                <w:szCs w:val="16"/>
              </w:rPr>
            </w:pPr>
            <w:r w:rsidRPr="0042092C">
              <w:rPr>
                <w:color w:val="auto"/>
                <w:sz w:val="16"/>
                <w:szCs w:val="16"/>
              </w:rPr>
              <w:t>683,173</w:t>
            </w:r>
          </w:p>
        </w:tc>
        <w:tc>
          <w:tcPr>
            <w:tcW w:w="899" w:type="dxa"/>
            <w:tcBorders>
              <w:top w:val="nil"/>
              <w:left w:val="nil"/>
              <w:bottom w:val="nil"/>
              <w:right w:val="nil"/>
            </w:tcBorders>
            <w:shd w:val="clear" w:color="auto" w:fill="auto"/>
            <w:noWrap/>
            <w:tcMar>
              <w:left w:w="57" w:type="dxa"/>
              <w:right w:w="57" w:type="dxa"/>
            </w:tcMar>
            <w:vAlign w:val="bottom"/>
            <w:hideMark/>
          </w:tcPr>
          <w:p w14:paraId="37D48D8D" w14:textId="77777777" w:rsidR="0042092C" w:rsidRPr="0042092C" w:rsidRDefault="0042092C" w:rsidP="0042092C">
            <w:pPr>
              <w:spacing w:before="0" w:after="0"/>
              <w:jc w:val="right"/>
              <w:rPr>
                <w:color w:val="auto"/>
                <w:sz w:val="16"/>
                <w:szCs w:val="16"/>
              </w:rPr>
            </w:pPr>
            <w:r w:rsidRPr="0042092C">
              <w:rPr>
                <w:color w:val="auto"/>
                <w:sz w:val="16"/>
                <w:szCs w:val="16"/>
              </w:rPr>
              <w:t>288,917</w:t>
            </w:r>
          </w:p>
        </w:tc>
        <w:tc>
          <w:tcPr>
            <w:tcW w:w="899" w:type="dxa"/>
            <w:tcBorders>
              <w:top w:val="nil"/>
              <w:left w:val="nil"/>
              <w:bottom w:val="nil"/>
              <w:right w:val="nil"/>
            </w:tcBorders>
            <w:shd w:val="clear" w:color="auto" w:fill="auto"/>
            <w:noWrap/>
            <w:tcMar>
              <w:left w:w="57" w:type="dxa"/>
              <w:right w:w="57" w:type="dxa"/>
            </w:tcMar>
            <w:vAlign w:val="bottom"/>
            <w:hideMark/>
          </w:tcPr>
          <w:p w14:paraId="70473BC7" w14:textId="77777777" w:rsidR="0042092C" w:rsidRPr="0042092C" w:rsidRDefault="0042092C" w:rsidP="0042092C">
            <w:pPr>
              <w:spacing w:before="0" w:after="0"/>
              <w:jc w:val="right"/>
              <w:rPr>
                <w:color w:val="auto"/>
                <w:sz w:val="16"/>
                <w:szCs w:val="16"/>
              </w:rPr>
            </w:pPr>
            <w:r w:rsidRPr="0042092C">
              <w:rPr>
                <w:color w:val="auto"/>
                <w:sz w:val="16"/>
                <w:szCs w:val="16"/>
              </w:rPr>
              <w:t>472,397</w:t>
            </w:r>
          </w:p>
        </w:tc>
      </w:tr>
      <w:tr w:rsidR="0042092C" w:rsidRPr="0042092C" w14:paraId="392B7ABA"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1570D841" w14:textId="77777777" w:rsidR="0042092C" w:rsidRPr="0042092C" w:rsidRDefault="0042092C" w:rsidP="0042092C">
            <w:pPr>
              <w:spacing w:before="0" w:after="0"/>
              <w:ind w:leftChars="150" w:left="270"/>
              <w:rPr>
                <w:color w:val="auto"/>
                <w:sz w:val="16"/>
                <w:szCs w:val="16"/>
              </w:rPr>
            </w:pPr>
            <w:proofErr w:type="spellStart"/>
            <w:r w:rsidRPr="0042092C">
              <w:rPr>
                <w:color w:val="auto"/>
                <w:sz w:val="16"/>
                <w:szCs w:val="16"/>
              </w:rPr>
              <w:t>Non cash</w:t>
            </w:r>
            <w:proofErr w:type="spellEnd"/>
            <w:r w:rsidRPr="0042092C">
              <w:rPr>
                <w:color w:val="auto"/>
                <w:sz w:val="16"/>
                <w:szCs w:val="16"/>
              </w:rPr>
              <w:t xml:space="preserve"> expenses </w:t>
            </w:r>
            <w:r w:rsidRPr="0042092C">
              <w:rPr>
                <w:color w:val="auto"/>
                <w:sz w:val="16"/>
                <w:szCs w:val="16"/>
                <w:vertAlign w:val="superscript"/>
              </w:rPr>
              <w:t>(e)</w:t>
            </w:r>
          </w:p>
        </w:tc>
        <w:tc>
          <w:tcPr>
            <w:tcW w:w="918" w:type="dxa"/>
            <w:tcBorders>
              <w:top w:val="nil"/>
              <w:left w:val="nil"/>
              <w:bottom w:val="nil"/>
              <w:right w:val="nil"/>
            </w:tcBorders>
            <w:shd w:val="clear" w:color="auto" w:fill="auto"/>
            <w:noWrap/>
            <w:tcMar>
              <w:left w:w="57" w:type="dxa"/>
              <w:right w:w="57" w:type="dxa"/>
            </w:tcMar>
            <w:vAlign w:val="bottom"/>
            <w:hideMark/>
          </w:tcPr>
          <w:p w14:paraId="2524E4BF" w14:textId="77777777" w:rsidR="0042092C" w:rsidRPr="0042092C" w:rsidRDefault="0042092C" w:rsidP="0042092C">
            <w:pPr>
              <w:spacing w:before="0" w:after="0"/>
              <w:jc w:val="right"/>
              <w:rPr>
                <w:color w:val="auto"/>
                <w:sz w:val="16"/>
                <w:szCs w:val="16"/>
              </w:rPr>
            </w:pPr>
            <w:r w:rsidRPr="0042092C">
              <w:rPr>
                <w:color w:val="auto"/>
                <w:sz w:val="16"/>
                <w:szCs w:val="16"/>
              </w:rPr>
              <w:t>1,532,138</w:t>
            </w:r>
          </w:p>
        </w:tc>
        <w:tc>
          <w:tcPr>
            <w:tcW w:w="909" w:type="dxa"/>
            <w:tcBorders>
              <w:top w:val="nil"/>
              <w:left w:val="nil"/>
              <w:bottom w:val="nil"/>
              <w:right w:val="nil"/>
            </w:tcBorders>
            <w:shd w:val="clear" w:color="000000" w:fill="D9D9D9"/>
            <w:noWrap/>
            <w:tcMar>
              <w:left w:w="57" w:type="dxa"/>
              <w:right w:w="57" w:type="dxa"/>
            </w:tcMar>
            <w:vAlign w:val="bottom"/>
            <w:hideMark/>
          </w:tcPr>
          <w:p w14:paraId="13683088" w14:textId="77777777" w:rsidR="0042092C" w:rsidRPr="0042092C" w:rsidRDefault="0042092C" w:rsidP="0042092C">
            <w:pPr>
              <w:spacing w:before="0" w:after="0"/>
              <w:jc w:val="right"/>
              <w:rPr>
                <w:color w:val="auto"/>
                <w:sz w:val="16"/>
                <w:szCs w:val="16"/>
              </w:rPr>
            </w:pPr>
            <w:r w:rsidRPr="0042092C">
              <w:rPr>
                <w:color w:val="auto"/>
                <w:sz w:val="16"/>
                <w:szCs w:val="16"/>
              </w:rPr>
              <w:t>5,113</w:t>
            </w:r>
          </w:p>
        </w:tc>
        <w:tc>
          <w:tcPr>
            <w:tcW w:w="899" w:type="dxa"/>
            <w:tcBorders>
              <w:top w:val="nil"/>
              <w:left w:val="nil"/>
              <w:bottom w:val="nil"/>
              <w:right w:val="nil"/>
            </w:tcBorders>
            <w:shd w:val="clear" w:color="auto" w:fill="auto"/>
            <w:noWrap/>
            <w:tcMar>
              <w:left w:w="57" w:type="dxa"/>
              <w:right w:w="57" w:type="dxa"/>
            </w:tcMar>
            <w:vAlign w:val="bottom"/>
            <w:hideMark/>
          </w:tcPr>
          <w:p w14:paraId="1F1A8D47" w14:textId="77777777" w:rsidR="0042092C" w:rsidRPr="0042092C" w:rsidRDefault="0042092C" w:rsidP="0042092C">
            <w:pPr>
              <w:spacing w:before="0" w:after="0"/>
              <w:jc w:val="right"/>
              <w:rPr>
                <w:color w:val="auto"/>
                <w:sz w:val="16"/>
                <w:szCs w:val="16"/>
              </w:rPr>
            </w:pPr>
            <w:r w:rsidRPr="0042092C">
              <w:rPr>
                <w:color w:val="auto"/>
                <w:sz w:val="16"/>
                <w:szCs w:val="16"/>
              </w:rPr>
              <w:t>18,240</w:t>
            </w:r>
          </w:p>
        </w:tc>
        <w:tc>
          <w:tcPr>
            <w:tcW w:w="899" w:type="dxa"/>
            <w:tcBorders>
              <w:top w:val="nil"/>
              <w:left w:val="nil"/>
              <w:bottom w:val="nil"/>
              <w:right w:val="nil"/>
            </w:tcBorders>
            <w:shd w:val="clear" w:color="auto" w:fill="auto"/>
            <w:noWrap/>
            <w:tcMar>
              <w:left w:w="57" w:type="dxa"/>
              <w:right w:w="57" w:type="dxa"/>
            </w:tcMar>
            <w:vAlign w:val="bottom"/>
            <w:hideMark/>
          </w:tcPr>
          <w:p w14:paraId="58AA954A" w14:textId="77777777" w:rsidR="0042092C" w:rsidRPr="0042092C" w:rsidRDefault="0042092C" w:rsidP="0042092C">
            <w:pPr>
              <w:spacing w:before="0" w:after="0"/>
              <w:jc w:val="right"/>
              <w:rPr>
                <w:color w:val="auto"/>
                <w:sz w:val="16"/>
                <w:szCs w:val="16"/>
              </w:rPr>
            </w:pPr>
            <w:r w:rsidRPr="0042092C">
              <w:rPr>
                <w:color w:val="auto"/>
                <w:sz w:val="16"/>
                <w:szCs w:val="16"/>
              </w:rPr>
              <w:t>17,963</w:t>
            </w:r>
          </w:p>
        </w:tc>
        <w:tc>
          <w:tcPr>
            <w:tcW w:w="899" w:type="dxa"/>
            <w:tcBorders>
              <w:top w:val="nil"/>
              <w:left w:val="nil"/>
              <w:bottom w:val="nil"/>
              <w:right w:val="nil"/>
            </w:tcBorders>
            <w:shd w:val="clear" w:color="auto" w:fill="auto"/>
            <w:noWrap/>
            <w:tcMar>
              <w:left w:w="57" w:type="dxa"/>
              <w:right w:w="57" w:type="dxa"/>
            </w:tcMar>
            <w:vAlign w:val="bottom"/>
            <w:hideMark/>
          </w:tcPr>
          <w:p w14:paraId="232E1013" w14:textId="77777777" w:rsidR="0042092C" w:rsidRPr="0042092C" w:rsidRDefault="0042092C" w:rsidP="0042092C">
            <w:pPr>
              <w:spacing w:before="0" w:after="0"/>
              <w:jc w:val="right"/>
              <w:rPr>
                <w:color w:val="auto"/>
                <w:sz w:val="16"/>
                <w:szCs w:val="16"/>
              </w:rPr>
            </w:pPr>
            <w:r w:rsidRPr="0042092C">
              <w:rPr>
                <w:color w:val="auto"/>
                <w:sz w:val="16"/>
                <w:szCs w:val="16"/>
              </w:rPr>
              <w:t>16,529</w:t>
            </w:r>
          </w:p>
        </w:tc>
      </w:tr>
      <w:tr w:rsidR="0042092C" w:rsidRPr="0042092C" w14:paraId="23BE3EA8"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540FF288" w14:textId="77777777" w:rsidR="0042092C" w:rsidRPr="0042092C" w:rsidRDefault="0042092C" w:rsidP="0042092C">
            <w:pPr>
              <w:spacing w:before="0" w:after="0"/>
              <w:ind w:leftChars="150" w:left="270"/>
              <w:rPr>
                <w:color w:val="auto"/>
                <w:sz w:val="16"/>
                <w:szCs w:val="16"/>
              </w:rPr>
            </w:pPr>
            <w:r w:rsidRPr="0042092C">
              <w:rPr>
                <w:color w:val="auto"/>
                <w:sz w:val="16"/>
                <w:szCs w:val="16"/>
              </w:rPr>
              <w:t>Special appropriations</w:t>
            </w:r>
          </w:p>
        </w:tc>
        <w:tc>
          <w:tcPr>
            <w:tcW w:w="918" w:type="dxa"/>
            <w:tcBorders>
              <w:top w:val="nil"/>
              <w:left w:val="nil"/>
              <w:bottom w:val="nil"/>
              <w:right w:val="nil"/>
            </w:tcBorders>
            <w:shd w:val="clear" w:color="auto" w:fill="auto"/>
            <w:noWrap/>
            <w:tcMar>
              <w:left w:w="57" w:type="dxa"/>
              <w:right w:w="57" w:type="dxa"/>
            </w:tcMar>
            <w:vAlign w:val="bottom"/>
            <w:hideMark/>
          </w:tcPr>
          <w:p w14:paraId="02D837C2" w14:textId="77777777" w:rsidR="0042092C" w:rsidRPr="0042092C" w:rsidRDefault="0042092C" w:rsidP="0042092C">
            <w:pPr>
              <w:spacing w:before="0" w:after="0"/>
              <w:ind w:firstLineChars="200" w:firstLine="32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3BDFB39E"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0FFA7957"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170DA6EB"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01C95493"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6C5872AA" w14:textId="77777777" w:rsidTr="0042092C">
        <w:trPr>
          <w:trHeight w:val="624"/>
          <w:jc w:val="center"/>
        </w:trPr>
        <w:tc>
          <w:tcPr>
            <w:tcW w:w="2796" w:type="dxa"/>
            <w:tcBorders>
              <w:top w:val="nil"/>
              <w:left w:val="nil"/>
              <w:bottom w:val="nil"/>
              <w:right w:val="nil"/>
            </w:tcBorders>
            <w:shd w:val="clear" w:color="auto" w:fill="auto"/>
            <w:vAlign w:val="bottom"/>
            <w:hideMark/>
          </w:tcPr>
          <w:p w14:paraId="54766FCD" w14:textId="77777777" w:rsidR="0042092C" w:rsidRPr="0042092C" w:rsidRDefault="0042092C" w:rsidP="0042092C">
            <w:pPr>
              <w:spacing w:before="0" w:after="0"/>
              <w:ind w:leftChars="225" w:left="405"/>
              <w:rPr>
                <w:color w:val="auto"/>
                <w:sz w:val="16"/>
                <w:szCs w:val="16"/>
              </w:rPr>
            </w:pPr>
            <w:r w:rsidRPr="0042092C">
              <w:rPr>
                <w:i/>
                <w:iCs/>
                <w:color w:val="auto"/>
                <w:sz w:val="16"/>
                <w:szCs w:val="16"/>
              </w:rPr>
              <w:t>National Health Act 1953</w:t>
            </w:r>
            <w:r w:rsidRPr="0042092C">
              <w:rPr>
                <w:color w:val="auto"/>
                <w:sz w:val="16"/>
                <w:szCs w:val="16"/>
              </w:rPr>
              <w:t xml:space="preserve"> </w:t>
            </w:r>
            <w:r w:rsidRPr="0042092C">
              <w:rPr>
                <w:color w:val="auto"/>
                <w:sz w:val="16"/>
                <w:szCs w:val="16"/>
              </w:rPr>
              <w:br/>
              <w:t>- COVID-19 Vaccines and Treatments</w:t>
            </w:r>
          </w:p>
        </w:tc>
        <w:tc>
          <w:tcPr>
            <w:tcW w:w="918" w:type="dxa"/>
            <w:tcBorders>
              <w:top w:val="nil"/>
              <w:left w:val="nil"/>
              <w:bottom w:val="nil"/>
              <w:right w:val="nil"/>
            </w:tcBorders>
            <w:shd w:val="clear" w:color="auto" w:fill="auto"/>
            <w:noWrap/>
            <w:tcMar>
              <w:left w:w="57" w:type="dxa"/>
              <w:right w:w="57" w:type="dxa"/>
            </w:tcMar>
            <w:vAlign w:val="bottom"/>
            <w:hideMark/>
          </w:tcPr>
          <w:p w14:paraId="5EABE1DD" w14:textId="77777777" w:rsidR="0042092C" w:rsidRPr="0042092C" w:rsidRDefault="0042092C" w:rsidP="0042092C">
            <w:pPr>
              <w:spacing w:before="0" w:after="0"/>
              <w:jc w:val="right"/>
              <w:rPr>
                <w:color w:val="auto"/>
                <w:sz w:val="16"/>
                <w:szCs w:val="16"/>
              </w:rPr>
            </w:pPr>
            <w:r w:rsidRPr="0042092C">
              <w:rPr>
                <w:color w:val="auto"/>
                <w:sz w:val="16"/>
                <w:szCs w:val="16"/>
              </w:rPr>
              <w:t>3,769,994</w:t>
            </w:r>
          </w:p>
        </w:tc>
        <w:tc>
          <w:tcPr>
            <w:tcW w:w="909" w:type="dxa"/>
            <w:tcBorders>
              <w:top w:val="nil"/>
              <w:left w:val="nil"/>
              <w:bottom w:val="nil"/>
              <w:right w:val="nil"/>
            </w:tcBorders>
            <w:shd w:val="clear" w:color="000000" w:fill="D9D9D9"/>
            <w:noWrap/>
            <w:tcMar>
              <w:left w:w="57" w:type="dxa"/>
              <w:right w:w="57" w:type="dxa"/>
            </w:tcMar>
            <w:vAlign w:val="bottom"/>
            <w:hideMark/>
          </w:tcPr>
          <w:p w14:paraId="0304C5B0"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6920A1B7"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23E8CCD7"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3507190A" w14:textId="77777777" w:rsidR="0042092C" w:rsidRPr="0042092C" w:rsidRDefault="0042092C" w:rsidP="0042092C">
            <w:pPr>
              <w:spacing w:before="0" w:after="0"/>
              <w:jc w:val="right"/>
              <w:rPr>
                <w:color w:val="auto"/>
                <w:sz w:val="16"/>
                <w:szCs w:val="16"/>
              </w:rPr>
            </w:pPr>
            <w:r w:rsidRPr="0042092C">
              <w:rPr>
                <w:color w:val="auto"/>
                <w:sz w:val="16"/>
                <w:szCs w:val="16"/>
              </w:rPr>
              <w:t>-</w:t>
            </w:r>
          </w:p>
        </w:tc>
      </w:tr>
      <w:tr w:rsidR="0042092C" w:rsidRPr="0042092C" w14:paraId="0F4957BB" w14:textId="77777777" w:rsidTr="0042092C">
        <w:trPr>
          <w:trHeight w:val="283"/>
          <w:jc w:val="center"/>
        </w:trPr>
        <w:tc>
          <w:tcPr>
            <w:tcW w:w="2796" w:type="dxa"/>
            <w:tcBorders>
              <w:top w:val="nil"/>
              <w:left w:val="nil"/>
              <w:bottom w:val="nil"/>
              <w:right w:val="nil"/>
            </w:tcBorders>
            <w:shd w:val="clear" w:color="auto" w:fill="auto"/>
            <w:noWrap/>
            <w:vAlign w:val="bottom"/>
            <w:hideMark/>
          </w:tcPr>
          <w:p w14:paraId="1833E264" w14:textId="77777777" w:rsidR="0042092C" w:rsidRPr="0042092C" w:rsidRDefault="0042092C" w:rsidP="0042092C">
            <w:pPr>
              <w:spacing w:before="0" w:after="0"/>
              <w:ind w:leftChars="75" w:left="135"/>
              <w:rPr>
                <w:color w:val="auto"/>
                <w:sz w:val="16"/>
                <w:szCs w:val="16"/>
              </w:rPr>
            </w:pPr>
            <w:r w:rsidRPr="0042092C">
              <w:rPr>
                <w:color w:val="auto"/>
                <w:sz w:val="16"/>
                <w:szCs w:val="16"/>
              </w:rPr>
              <w:t>Departmental expenses</w:t>
            </w:r>
          </w:p>
        </w:tc>
        <w:tc>
          <w:tcPr>
            <w:tcW w:w="918" w:type="dxa"/>
            <w:tcBorders>
              <w:top w:val="nil"/>
              <w:left w:val="nil"/>
              <w:bottom w:val="nil"/>
              <w:right w:val="nil"/>
            </w:tcBorders>
            <w:shd w:val="clear" w:color="auto" w:fill="auto"/>
            <w:noWrap/>
            <w:tcMar>
              <w:left w:w="57" w:type="dxa"/>
              <w:right w:w="57" w:type="dxa"/>
            </w:tcMar>
            <w:vAlign w:val="bottom"/>
            <w:hideMark/>
          </w:tcPr>
          <w:p w14:paraId="1980C8E8" w14:textId="77777777" w:rsidR="0042092C" w:rsidRPr="0042092C" w:rsidRDefault="0042092C" w:rsidP="0042092C">
            <w:pPr>
              <w:spacing w:before="0" w:after="0"/>
              <w:ind w:firstLineChars="100" w:firstLine="16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7CA8370E"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5C551EED"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48905A44"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64E3B951"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52120689"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0BB76BB7" w14:textId="77777777" w:rsidR="0042092C" w:rsidRPr="0042092C" w:rsidRDefault="0042092C" w:rsidP="0042092C">
            <w:pPr>
              <w:spacing w:before="0" w:after="0"/>
              <w:ind w:leftChars="150" w:left="270"/>
              <w:rPr>
                <w:color w:val="auto"/>
                <w:sz w:val="16"/>
                <w:szCs w:val="16"/>
              </w:rPr>
            </w:pPr>
            <w:r w:rsidRPr="0042092C">
              <w:rPr>
                <w:color w:val="auto"/>
                <w:sz w:val="16"/>
                <w:szCs w:val="16"/>
              </w:rPr>
              <w:t xml:space="preserve">Departmental appropriation </w:t>
            </w:r>
            <w:r w:rsidRPr="0042092C">
              <w:rPr>
                <w:color w:val="auto"/>
                <w:sz w:val="16"/>
                <w:szCs w:val="16"/>
                <w:vertAlign w:val="superscript"/>
              </w:rPr>
              <w:t>(c)</w:t>
            </w:r>
          </w:p>
        </w:tc>
        <w:tc>
          <w:tcPr>
            <w:tcW w:w="918" w:type="dxa"/>
            <w:tcBorders>
              <w:top w:val="nil"/>
              <w:left w:val="nil"/>
              <w:bottom w:val="nil"/>
              <w:right w:val="nil"/>
            </w:tcBorders>
            <w:shd w:val="clear" w:color="auto" w:fill="auto"/>
            <w:noWrap/>
            <w:tcMar>
              <w:left w:w="57" w:type="dxa"/>
              <w:right w:w="57" w:type="dxa"/>
            </w:tcMar>
            <w:vAlign w:val="bottom"/>
            <w:hideMark/>
          </w:tcPr>
          <w:p w14:paraId="16AC0999" w14:textId="77777777" w:rsidR="0042092C" w:rsidRPr="0042092C" w:rsidRDefault="0042092C" w:rsidP="0042092C">
            <w:pPr>
              <w:spacing w:before="0" w:after="0"/>
              <w:jc w:val="right"/>
              <w:rPr>
                <w:color w:val="auto"/>
                <w:sz w:val="16"/>
                <w:szCs w:val="16"/>
              </w:rPr>
            </w:pPr>
            <w:r w:rsidRPr="0042092C">
              <w:rPr>
                <w:color w:val="auto"/>
                <w:sz w:val="16"/>
                <w:szCs w:val="16"/>
              </w:rPr>
              <w:t>215,061</w:t>
            </w:r>
          </w:p>
        </w:tc>
        <w:tc>
          <w:tcPr>
            <w:tcW w:w="909" w:type="dxa"/>
            <w:tcBorders>
              <w:top w:val="nil"/>
              <w:left w:val="nil"/>
              <w:bottom w:val="nil"/>
              <w:right w:val="nil"/>
            </w:tcBorders>
            <w:shd w:val="clear" w:color="000000" w:fill="D9D9D9"/>
            <w:noWrap/>
            <w:tcMar>
              <w:left w:w="57" w:type="dxa"/>
              <w:right w:w="57" w:type="dxa"/>
            </w:tcMar>
            <w:vAlign w:val="bottom"/>
            <w:hideMark/>
          </w:tcPr>
          <w:p w14:paraId="60F8FC4F" w14:textId="77777777" w:rsidR="0042092C" w:rsidRPr="0042092C" w:rsidRDefault="0042092C" w:rsidP="0042092C">
            <w:pPr>
              <w:spacing w:before="0" w:after="0"/>
              <w:jc w:val="right"/>
              <w:rPr>
                <w:color w:val="auto"/>
                <w:sz w:val="16"/>
                <w:szCs w:val="16"/>
              </w:rPr>
            </w:pPr>
            <w:r w:rsidRPr="0042092C">
              <w:rPr>
                <w:color w:val="auto"/>
                <w:sz w:val="16"/>
                <w:szCs w:val="16"/>
              </w:rPr>
              <w:t>155,845</w:t>
            </w:r>
          </w:p>
        </w:tc>
        <w:tc>
          <w:tcPr>
            <w:tcW w:w="899" w:type="dxa"/>
            <w:tcBorders>
              <w:top w:val="nil"/>
              <w:left w:val="nil"/>
              <w:bottom w:val="nil"/>
              <w:right w:val="nil"/>
            </w:tcBorders>
            <w:shd w:val="clear" w:color="auto" w:fill="auto"/>
            <w:noWrap/>
            <w:tcMar>
              <w:left w:w="57" w:type="dxa"/>
              <w:right w:w="57" w:type="dxa"/>
            </w:tcMar>
            <w:vAlign w:val="bottom"/>
            <w:hideMark/>
          </w:tcPr>
          <w:p w14:paraId="4AF458B6" w14:textId="77777777" w:rsidR="0042092C" w:rsidRPr="0042092C" w:rsidRDefault="0042092C" w:rsidP="0042092C">
            <w:pPr>
              <w:spacing w:before="0" w:after="0"/>
              <w:jc w:val="right"/>
              <w:rPr>
                <w:color w:val="auto"/>
                <w:sz w:val="16"/>
                <w:szCs w:val="16"/>
              </w:rPr>
            </w:pPr>
            <w:r w:rsidRPr="0042092C">
              <w:rPr>
                <w:color w:val="auto"/>
                <w:sz w:val="16"/>
                <w:szCs w:val="16"/>
              </w:rPr>
              <w:t>70,497</w:t>
            </w:r>
          </w:p>
        </w:tc>
        <w:tc>
          <w:tcPr>
            <w:tcW w:w="899" w:type="dxa"/>
            <w:tcBorders>
              <w:top w:val="nil"/>
              <w:left w:val="nil"/>
              <w:bottom w:val="nil"/>
              <w:right w:val="nil"/>
            </w:tcBorders>
            <w:shd w:val="clear" w:color="auto" w:fill="auto"/>
            <w:noWrap/>
            <w:tcMar>
              <w:left w:w="57" w:type="dxa"/>
              <w:right w:w="57" w:type="dxa"/>
            </w:tcMar>
            <w:vAlign w:val="bottom"/>
            <w:hideMark/>
          </w:tcPr>
          <w:p w14:paraId="1AFC1B2E" w14:textId="77777777" w:rsidR="0042092C" w:rsidRPr="0042092C" w:rsidRDefault="0042092C" w:rsidP="0042092C">
            <w:pPr>
              <w:spacing w:before="0" w:after="0"/>
              <w:jc w:val="right"/>
              <w:rPr>
                <w:color w:val="auto"/>
                <w:sz w:val="16"/>
                <w:szCs w:val="16"/>
              </w:rPr>
            </w:pPr>
            <w:r w:rsidRPr="0042092C">
              <w:rPr>
                <w:color w:val="auto"/>
                <w:sz w:val="16"/>
                <w:szCs w:val="16"/>
              </w:rPr>
              <w:t>69,106</w:t>
            </w:r>
          </w:p>
        </w:tc>
        <w:tc>
          <w:tcPr>
            <w:tcW w:w="899" w:type="dxa"/>
            <w:tcBorders>
              <w:top w:val="nil"/>
              <w:left w:val="nil"/>
              <w:bottom w:val="nil"/>
              <w:right w:val="nil"/>
            </w:tcBorders>
            <w:shd w:val="clear" w:color="auto" w:fill="auto"/>
            <w:noWrap/>
            <w:tcMar>
              <w:left w:w="57" w:type="dxa"/>
              <w:right w:w="57" w:type="dxa"/>
            </w:tcMar>
            <w:vAlign w:val="bottom"/>
            <w:hideMark/>
          </w:tcPr>
          <w:p w14:paraId="54AB7E1D" w14:textId="77777777" w:rsidR="0042092C" w:rsidRPr="0042092C" w:rsidRDefault="0042092C" w:rsidP="0042092C">
            <w:pPr>
              <w:spacing w:before="0" w:after="0"/>
              <w:jc w:val="right"/>
              <w:rPr>
                <w:color w:val="auto"/>
                <w:sz w:val="16"/>
                <w:szCs w:val="16"/>
              </w:rPr>
            </w:pPr>
            <w:r w:rsidRPr="0042092C">
              <w:rPr>
                <w:color w:val="auto"/>
                <w:sz w:val="16"/>
                <w:szCs w:val="16"/>
              </w:rPr>
              <w:t>68,237</w:t>
            </w:r>
          </w:p>
        </w:tc>
      </w:tr>
      <w:tr w:rsidR="0042092C" w:rsidRPr="0042092C" w14:paraId="1BA4B79F"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1891941B" w14:textId="77777777" w:rsidR="0042092C" w:rsidRPr="0042092C" w:rsidRDefault="0042092C" w:rsidP="0042092C">
            <w:pPr>
              <w:spacing w:before="0" w:after="0"/>
              <w:ind w:leftChars="225" w:left="405"/>
              <w:rPr>
                <w:color w:val="auto"/>
                <w:sz w:val="16"/>
                <w:szCs w:val="16"/>
              </w:rPr>
            </w:pPr>
            <w:r w:rsidRPr="0042092C">
              <w:rPr>
                <w:color w:val="auto"/>
                <w:sz w:val="16"/>
                <w:szCs w:val="16"/>
              </w:rPr>
              <w:t>to Special accounts</w:t>
            </w:r>
          </w:p>
        </w:tc>
        <w:tc>
          <w:tcPr>
            <w:tcW w:w="918" w:type="dxa"/>
            <w:tcBorders>
              <w:top w:val="nil"/>
              <w:left w:val="nil"/>
              <w:bottom w:val="nil"/>
              <w:right w:val="nil"/>
            </w:tcBorders>
            <w:shd w:val="clear" w:color="auto" w:fill="auto"/>
            <w:noWrap/>
            <w:tcMar>
              <w:left w:w="57" w:type="dxa"/>
              <w:right w:w="57" w:type="dxa"/>
            </w:tcMar>
            <w:vAlign w:val="bottom"/>
            <w:hideMark/>
          </w:tcPr>
          <w:p w14:paraId="23EB9D96" w14:textId="77777777" w:rsidR="0042092C" w:rsidRPr="0042092C" w:rsidRDefault="0042092C" w:rsidP="0042092C">
            <w:pPr>
              <w:spacing w:before="0" w:after="0"/>
              <w:jc w:val="right"/>
              <w:rPr>
                <w:color w:val="auto"/>
                <w:sz w:val="16"/>
                <w:szCs w:val="16"/>
              </w:rPr>
            </w:pPr>
            <w:r w:rsidRPr="0042092C">
              <w:rPr>
                <w:color w:val="auto"/>
                <w:sz w:val="16"/>
                <w:szCs w:val="16"/>
              </w:rPr>
              <w:t>(24,656)</w:t>
            </w:r>
          </w:p>
        </w:tc>
        <w:tc>
          <w:tcPr>
            <w:tcW w:w="909" w:type="dxa"/>
            <w:tcBorders>
              <w:top w:val="nil"/>
              <w:left w:val="nil"/>
              <w:bottom w:val="nil"/>
              <w:right w:val="nil"/>
            </w:tcBorders>
            <w:shd w:val="clear" w:color="000000" w:fill="D9D9D9"/>
            <w:noWrap/>
            <w:tcMar>
              <w:left w:w="57" w:type="dxa"/>
              <w:right w:w="57" w:type="dxa"/>
            </w:tcMar>
            <w:vAlign w:val="bottom"/>
            <w:hideMark/>
          </w:tcPr>
          <w:p w14:paraId="21094BCD" w14:textId="77777777" w:rsidR="0042092C" w:rsidRPr="0042092C" w:rsidRDefault="0042092C" w:rsidP="0042092C">
            <w:pPr>
              <w:spacing w:before="0" w:after="0"/>
              <w:jc w:val="right"/>
              <w:rPr>
                <w:color w:val="auto"/>
                <w:sz w:val="16"/>
                <w:szCs w:val="16"/>
              </w:rPr>
            </w:pPr>
            <w:r w:rsidRPr="0042092C">
              <w:rPr>
                <w:color w:val="auto"/>
                <w:sz w:val="16"/>
                <w:szCs w:val="16"/>
              </w:rPr>
              <w:t>(29,617)</w:t>
            </w:r>
          </w:p>
        </w:tc>
        <w:tc>
          <w:tcPr>
            <w:tcW w:w="899" w:type="dxa"/>
            <w:tcBorders>
              <w:top w:val="nil"/>
              <w:left w:val="nil"/>
              <w:bottom w:val="nil"/>
              <w:right w:val="nil"/>
            </w:tcBorders>
            <w:shd w:val="clear" w:color="auto" w:fill="auto"/>
            <w:noWrap/>
            <w:tcMar>
              <w:left w:w="57" w:type="dxa"/>
              <w:right w:w="57" w:type="dxa"/>
            </w:tcMar>
            <w:vAlign w:val="bottom"/>
            <w:hideMark/>
          </w:tcPr>
          <w:p w14:paraId="7CADB5CF" w14:textId="77777777" w:rsidR="0042092C" w:rsidRPr="0042092C" w:rsidRDefault="0042092C" w:rsidP="0042092C">
            <w:pPr>
              <w:spacing w:before="0" w:after="0"/>
              <w:jc w:val="right"/>
              <w:rPr>
                <w:color w:val="auto"/>
                <w:sz w:val="16"/>
                <w:szCs w:val="16"/>
              </w:rPr>
            </w:pPr>
            <w:r w:rsidRPr="0042092C">
              <w:rPr>
                <w:color w:val="auto"/>
                <w:sz w:val="16"/>
                <w:szCs w:val="16"/>
              </w:rPr>
              <w:t>(24,570)</w:t>
            </w:r>
          </w:p>
        </w:tc>
        <w:tc>
          <w:tcPr>
            <w:tcW w:w="899" w:type="dxa"/>
            <w:tcBorders>
              <w:top w:val="nil"/>
              <w:left w:val="nil"/>
              <w:bottom w:val="nil"/>
              <w:right w:val="nil"/>
            </w:tcBorders>
            <w:shd w:val="clear" w:color="auto" w:fill="auto"/>
            <w:noWrap/>
            <w:tcMar>
              <w:left w:w="57" w:type="dxa"/>
              <w:right w:w="57" w:type="dxa"/>
            </w:tcMar>
            <w:vAlign w:val="bottom"/>
            <w:hideMark/>
          </w:tcPr>
          <w:p w14:paraId="2F24CB33" w14:textId="77777777" w:rsidR="0042092C" w:rsidRPr="0042092C" w:rsidRDefault="0042092C" w:rsidP="0042092C">
            <w:pPr>
              <w:spacing w:before="0" w:after="0"/>
              <w:jc w:val="right"/>
              <w:rPr>
                <w:color w:val="auto"/>
                <w:sz w:val="16"/>
                <w:szCs w:val="16"/>
              </w:rPr>
            </w:pPr>
            <w:r w:rsidRPr="0042092C">
              <w:rPr>
                <w:color w:val="auto"/>
                <w:sz w:val="16"/>
                <w:szCs w:val="16"/>
              </w:rPr>
              <w:t>(23,919)</w:t>
            </w:r>
          </w:p>
        </w:tc>
        <w:tc>
          <w:tcPr>
            <w:tcW w:w="899" w:type="dxa"/>
            <w:tcBorders>
              <w:top w:val="nil"/>
              <w:left w:val="nil"/>
              <w:bottom w:val="nil"/>
              <w:right w:val="nil"/>
            </w:tcBorders>
            <w:shd w:val="clear" w:color="auto" w:fill="auto"/>
            <w:noWrap/>
            <w:tcMar>
              <w:left w:w="57" w:type="dxa"/>
              <w:right w:w="57" w:type="dxa"/>
            </w:tcMar>
            <w:vAlign w:val="bottom"/>
            <w:hideMark/>
          </w:tcPr>
          <w:p w14:paraId="319426E4" w14:textId="77777777" w:rsidR="0042092C" w:rsidRPr="0042092C" w:rsidRDefault="0042092C" w:rsidP="0042092C">
            <w:pPr>
              <w:spacing w:before="0" w:after="0"/>
              <w:jc w:val="right"/>
              <w:rPr>
                <w:color w:val="auto"/>
                <w:sz w:val="16"/>
                <w:szCs w:val="16"/>
              </w:rPr>
            </w:pPr>
            <w:r w:rsidRPr="0042092C">
              <w:rPr>
                <w:color w:val="auto"/>
                <w:sz w:val="16"/>
                <w:szCs w:val="16"/>
              </w:rPr>
              <w:t>(23,561)</w:t>
            </w:r>
          </w:p>
        </w:tc>
      </w:tr>
      <w:tr w:rsidR="0042092C" w:rsidRPr="0042092C" w14:paraId="5ADD6132" w14:textId="77777777" w:rsidTr="0042092C">
        <w:trPr>
          <w:trHeight w:val="624"/>
          <w:jc w:val="center"/>
        </w:trPr>
        <w:tc>
          <w:tcPr>
            <w:tcW w:w="2796" w:type="dxa"/>
            <w:tcBorders>
              <w:top w:val="nil"/>
              <w:left w:val="nil"/>
              <w:bottom w:val="nil"/>
              <w:right w:val="nil"/>
            </w:tcBorders>
            <w:shd w:val="clear" w:color="auto" w:fill="auto"/>
            <w:vAlign w:val="bottom"/>
            <w:hideMark/>
          </w:tcPr>
          <w:p w14:paraId="19250A7B" w14:textId="1BD5991C" w:rsidR="0042092C" w:rsidRPr="0042092C" w:rsidRDefault="0042092C" w:rsidP="0042092C">
            <w:pPr>
              <w:spacing w:before="0" w:after="0"/>
              <w:ind w:leftChars="150" w:left="270"/>
              <w:rPr>
                <w:color w:val="auto"/>
                <w:sz w:val="16"/>
                <w:szCs w:val="16"/>
              </w:rPr>
            </w:pPr>
            <w:r w:rsidRPr="0042092C">
              <w:rPr>
                <w:color w:val="auto"/>
                <w:sz w:val="16"/>
                <w:szCs w:val="16"/>
              </w:rPr>
              <w:t>Expenses not requiring a</w:t>
            </w:r>
            <w:r>
              <w:rPr>
                <w:color w:val="auto"/>
                <w:sz w:val="16"/>
                <w:szCs w:val="16"/>
              </w:rPr>
              <w:t>ppropriation in the Budget year </w:t>
            </w:r>
            <w:r w:rsidRPr="0042092C">
              <w:rPr>
                <w:color w:val="auto"/>
                <w:sz w:val="16"/>
                <w:szCs w:val="16"/>
                <w:vertAlign w:val="superscript"/>
              </w:rPr>
              <w:t>(d)</w:t>
            </w:r>
          </w:p>
        </w:tc>
        <w:tc>
          <w:tcPr>
            <w:tcW w:w="918" w:type="dxa"/>
            <w:tcBorders>
              <w:top w:val="nil"/>
              <w:left w:val="nil"/>
              <w:bottom w:val="nil"/>
              <w:right w:val="nil"/>
            </w:tcBorders>
            <w:shd w:val="clear" w:color="auto" w:fill="auto"/>
            <w:noWrap/>
            <w:tcMar>
              <w:left w:w="57" w:type="dxa"/>
              <w:right w:w="57" w:type="dxa"/>
            </w:tcMar>
            <w:vAlign w:val="bottom"/>
            <w:hideMark/>
          </w:tcPr>
          <w:p w14:paraId="3D0FE19B" w14:textId="77777777" w:rsidR="0042092C" w:rsidRPr="0042092C" w:rsidRDefault="0042092C" w:rsidP="0042092C">
            <w:pPr>
              <w:spacing w:before="0" w:after="0"/>
              <w:jc w:val="right"/>
              <w:rPr>
                <w:color w:val="auto"/>
                <w:sz w:val="16"/>
                <w:szCs w:val="16"/>
              </w:rPr>
            </w:pPr>
            <w:r w:rsidRPr="0042092C">
              <w:rPr>
                <w:color w:val="auto"/>
                <w:sz w:val="16"/>
                <w:szCs w:val="16"/>
              </w:rPr>
              <w:t>14,161</w:t>
            </w:r>
          </w:p>
        </w:tc>
        <w:tc>
          <w:tcPr>
            <w:tcW w:w="909" w:type="dxa"/>
            <w:tcBorders>
              <w:top w:val="nil"/>
              <w:left w:val="nil"/>
              <w:bottom w:val="nil"/>
              <w:right w:val="nil"/>
            </w:tcBorders>
            <w:shd w:val="clear" w:color="000000" w:fill="D9D9D9"/>
            <w:noWrap/>
            <w:tcMar>
              <w:left w:w="57" w:type="dxa"/>
              <w:right w:w="57" w:type="dxa"/>
            </w:tcMar>
            <w:vAlign w:val="bottom"/>
            <w:hideMark/>
          </w:tcPr>
          <w:p w14:paraId="254ED7BE" w14:textId="77777777" w:rsidR="0042092C" w:rsidRPr="0042092C" w:rsidRDefault="0042092C" w:rsidP="0042092C">
            <w:pPr>
              <w:spacing w:before="0" w:after="0"/>
              <w:jc w:val="right"/>
              <w:rPr>
                <w:color w:val="auto"/>
                <w:sz w:val="16"/>
                <w:szCs w:val="16"/>
              </w:rPr>
            </w:pPr>
            <w:r w:rsidRPr="0042092C">
              <w:rPr>
                <w:color w:val="auto"/>
                <w:sz w:val="16"/>
                <w:szCs w:val="16"/>
              </w:rPr>
              <w:t>16,276</w:t>
            </w:r>
          </w:p>
        </w:tc>
        <w:tc>
          <w:tcPr>
            <w:tcW w:w="899" w:type="dxa"/>
            <w:tcBorders>
              <w:top w:val="nil"/>
              <w:left w:val="nil"/>
              <w:bottom w:val="nil"/>
              <w:right w:val="nil"/>
            </w:tcBorders>
            <w:shd w:val="clear" w:color="auto" w:fill="auto"/>
            <w:noWrap/>
            <w:tcMar>
              <w:left w:w="57" w:type="dxa"/>
              <w:right w:w="57" w:type="dxa"/>
            </w:tcMar>
            <w:vAlign w:val="bottom"/>
            <w:hideMark/>
          </w:tcPr>
          <w:p w14:paraId="5CB76518" w14:textId="77777777" w:rsidR="0042092C" w:rsidRPr="0042092C" w:rsidRDefault="0042092C" w:rsidP="0042092C">
            <w:pPr>
              <w:spacing w:before="0" w:after="0"/>
              <w:jc w:val="right"/>
              <w:rPr>
                <w:color w:val="auto"/>
                <w:sz w:val="16"/>
                <w:szCs w:val="16"/>
              </w:rPr>
            </w:pPr>
            <w:r w:rsidRPr="0042092C">
              <w:rPr>
                <w:color w:val="auto"/>
                <w:sz w:val="16"/>
                <w:szCs w:val="16"/>
              </w:rPr>
              <w:t>14,891</w:t>
            </w:r>
          </w:p>
        </w:tc>
        <w:tc>
          <w:tcPr>
            <w:tcW w:w="899" w:type="dxa"/>
            <w:tcBorders>
              <w:top w:val="nil"/>
              <w:left w:val="nil"/>
              <w:bottom w:val="nil"/>
              <w:right w:val="nil"/>
            </w:tcBorders>
            <w:shd w:val="clear" w:color="auto" w:fill="auto"/>
            <w:noWrap/>
            <w:tcMar>
              <w:left w:w="57" w:type="dxa"/>
              <w:right w:w="57" w:type="dxa"/>
            </w:tcMar>
            <w:vAlign w:val="bottom"/>
            <w:hideMark/>
          </w:tcPr>
          <w:p w14:paraId="02AE3818" w14:textId="77777777" w:rsidR="0042092C" w:rsidRPr="0042092C" w:rsidRDefault="0042092C" w:rsidP="0042092C">
            <w:pPr>
              <w:spacing w:before="0" w:after="0"/>
              <w:jc w:val="right"/>
              <w:rPr>
                <w:color w:val="auto"/>
                <w:sz w:val="16"/>
                <w:szCs w:val="16"/>
              </w:rPr>
            </w:pPr>
            <w:r w:rsidRPr="0042092C">
              <w:rPr>
                <w:color w:val="auto"/>
                <w:sz w:val="16"/>
                <w:szCs w:val="16"/>
              </w:rPr>
              <w:t>14,062</w:t>
            </w:r>
          </w:p>
        </w:tc>
        <w:tc>
          <w:tcPr>
            <w:tcW w:w="899" w:type="dxa"/>
            <w:tcBorders>
              <w:top w:val="nil"/>
              <w:left w:val="nil"/>
              <w:bottom w:val="nil"/>
              <w:right w:val="nil"/>
            </w:tcBorders>
            <w:shd w:val="clear" w:color="auto" w:fill="auto"/>
            <w:noWrap/>
            <w:tcMar>
              <w:left w:w="57" w:type="dxa"/>
              <w:right w:w="57" w:type="dxa"/>
            </w:tcMar>
            <w:vAlign w:val="bottom"/>
            <w:hideMark/>
          </w:tcPr>
          <w:p w14:paraId="70AA932F" w14:textId="77777777" w:rsidR="0042092C" w:rsidRPr="0042092C" w:rsidRDefault="0042092C" w:rsidP="0042092C">
            <w:pPr>
              <w:spacing w:before="0" w:after="0"/>
              <w:jc w:val="right"/>
              <w:rPr>
                <w:color w:val="auto"/>
                <w:sz w:val="16"/>
                <w:szCs w:val="16"/>
              </w:rPr>
            </w:pPr>
            <w:r w:rsidRPr="0042092C">
              <w:rPr>
                <w:color w:val="auto"/>
                <w:sz w:val="16"/>
                <w:szCs w:val="16"/>
              </w:rPr>
              <w:t>12,455</w:t>
            </w:r>
          </w:p>
        </w:tc>
      </w:tr>
      <w:tr w:rsidR="0042092C" w:rsidRPr="0042092C" w14:paraId="4357B6F6"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79E693F3" w14:textId="77777777" w:rsidR="0042092C" w:rsidRPr="0042092C" w:rsidRDefault="0042092C" w:rsidP="0042092C">
            <w:pPr>
              <w:spacing w:before="0" w:after="0"/>
              <w:ind w:leftChars="150" w:left="270"/>
              <w:rPr>
                <w:color w:val="auto"/>
                <w:sz w:val="16"/>
                <w:szCs w:val="16"/>
              </w:rPr>
            </w:pPr>
            <w:r w:rsidRPr="0042092C">
              <w:rPr>
                <w:color w:val="auto"/>
                <w:sz w:val="16"/>
                <w:szCs w:val="16"/>
              </w:rPr>
              <w:t>Special accounts</w:t>
            </w:r>
          </w:p>
        </w:tc>
        <w:tc>
          <w:tcPr>
            <w:tcW w:w="918" w:type="dxa"/>
            <w:tcBorders>
              <w:top w:val="nil"/>
              <w:left w:val="nil"/>
              <w:bottom w:val="nil"/>
              <w:right w:val="nil"/>
            </w:tcBorders>
            <w:shd w:val="clear" w:color="auto" w:fill="auto"/>
            <w:tcMar>
              <w:left w:w="57" w:type="dxa"/>
              <w:right w:w="57" w:type="dxa"/>
            </w:tcMar>
            <w:vAlign w:val="bottom"/>
            <w:hideMark/>
          </w:tcPr>
          <w:p w14:paraId="1DC6DAD9" w14:textId="77777777" w:rsidR="0042092C" w:rsidRPr="0042092C" w:rsidRDefault="0042092C" w:rsidP="0042092C">
            <w:pPr>
              <w:spacing w:before="0" w:after="0"/>
              <w:ind w:firstLineChars="200" w:firstLine="32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70C67D30"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tcMar>
              <w:left w:w="57" w:type="dxa"/>
              <w:right w:w="57" w:type="dxa"/>
            </w:tcMar>
            <w:vAlign w:val="bottom"/>
            <w:hideMark/>
          </w:tcPr>
          <w:p w14:paraId="09BD89C9"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tcMar>
              <w:left w:w="57" w:type="dxa"/>
              <w:right w:w="57" w:type="dxa"/>
            </w:tcMar>
            <w:vAlign w:val="bottom"/>
            <w:hideMark/>
          </w:tcPr>
          <w:p w14:paraId="475B947F"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tcMar>
              <w:left w:w="57" w:type="dxa"/>
              <w:right w:w="57" w:type="dxa"/>
            </w:tcMar>
            <w:vAlign w:val="bottom"/>
            <w:hideMark/>
          </w:tcPr>
          <w:p w14:paraId="1F5CB9FC"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3627C2AC"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1712E0F9" w14:textId="77777777" w:rsidR="0042092C" w:rsidRPr="0042092C" w:rsidRDefault="0042092C" w:rsidP="0042092C">
            <w:pPr>
              <w:spacing w:before="0" w:after="0"/>
              <w:ind w:leftChars="225" w:left="405"/>
              <w:rPr>
                <w:color w:val="auto"/>
                <w:sz w:val="16"/>
                <w:szCs w:val="16"/>
              </w:rPr>
            </w:pPr>
            <w:r w:rsidRPr="0042092C">
              <w:rPr>
                <w:color w:val="auto"/>
                <w:sz w:val="16"/>
                <w:szCs w:val="16"/>
              </w:rPr>
              <w:t xml:space="preserve">OGTR </w:t>
            </w:r>
            <w:r w:rsidRPr="0042092C">
              <w:rPr>
                <w:color w:val="auto"/>
                <w:sz w:val="16"/>
                <w:szCs w:val="16"/>
                <w:vertAlign w:val="superscript"/>
              </w:rPr>
              <w:t>(f)</w:t>
            </w:r>
          </w:p>
        </w:tc>
        <w:tc>
          <w:tcPr>
            <w:tcW w:w="918" w:type="dxa"/>
            <w:tcBorders>
              <w:top w:val="nil"/>
              <w:left w:val="nil"/>
              <w:bottom w:val="nil"/>
              <w:right w:val="nil"/>
            </w:tcBorders>
            <w:shd w:val="clear" w:color="auto" w:fill="auto"/>
            <w:tcMar>
              <w:left w:w="57" w:type="dxa"/>
              <w:right w:w="57" w:type="dxa"/>
            </w:tcMar>
            <w:vAlign w:val="bottom"/>
            <w:hideMark/>
          </w:tcPr>
          <w:p w14:paraId="4A4D6F9F" w14:textId="77777777" w:rsidR="0042092C" w:rsidRPr="0042092C" w:rsidRDefault="0042092C" w:rsidP="0042092C">
            <w:pPr>
              <w:spacing w:before="0" w:after="0"/>
              <w:jc w:val="right"/>
              <w:rPr>
                <w:color w:val="auto"/>
                <w:sz w:val="16"/>
                <w:szCs w:val="16"/>
              </w:rPr>
            </w:pPr>
            <w:r w:rsidRPr="0042092C">
              <w:rPr>
                <w:color w:val="auto"/>
                <w:sz w:val="16"/>
                <w:szCs w:val="16"/>
              </w:rPr>
              <w:t>8,545</w:t>
            </w:r>
          </w:p>
        </w:tc>
        <w:tc>
          <w:tcPr>
            <w:tcW w:w="909" w:type="dxa"/>
            <w:tcBorders>
              <w:top w:val="nil"/>
              <w:left w:val="nil"/>
              <w:bottom w:val="nil"/>
              <w:right w:val="nil"/>
            </w:tcBorders>
            <w:shd w:val="clear" w:color="000000" w:fill="D9D9D9"/>
            <w:noWrap/>
            <w:tcMar>
              <w:left w:w="57" w:type="dxa"/>
              <w:right w:w="57" w:type="dxa"/>
            </w:tcMar>
            <w:vAlign w:val="bottom"/>
            <w:hideMark/>
          </w:tcPr>
          <w:p w14:paraId="17C00553" w14:textId="77777777" w:rsidR="0042092C" w:rsidRPr="0042092C" w:rsidRDefault="0042092C" w:rsidP="0042092C">
            <w:pPr>
              <w:spacing w:before="0" w:after="0"/>
              <w:jc w:val="right"/>
              <w:rPr>
                <w:color w:val="auto"/>
                <w:sz w:val="16"/>
                <w:szCs w:val="16"/>
              </w:rPr>
            </w:pPr>
            <w:r w:rsidRPr="0042092C">
              <w:rPr>
                <w:color w:val="auto"/>
                <w:sz w:val="16"/>
                <w:szCs w:val="16"/>
              </w:rPr>
              <w:t>8,518</w:t>
            </w:r>
          </w:p>
        </w:tc>
        <w:tc>
          <w:tcPr>
            <w:tcW w:w="899" w:type="dxa"/>
            <w:tcBorders>
              <w:top w:val="nil"/>
              <w:left w:val="nil"/>
              <w:bottom w:val="nil"/>
              <w:right w:val="nil"/>
            </w:tcBorders>
            <w:shd w:val="clear" w:color="auto" w:fill="auto"/>
            <w:tcMar>
              <w:left w:w="57" w:type="dxa"/>
              <w:right w:w="57" w:type="dxa"/>
            </w:tcMar>
            <w:vAlign w:val="bottom"/>
            <w:hideMark/>
          </w:tcPr>
          <w:p w14:paraId="3C98FD78" w14:textId="77777777" w:rsidR="0042092C" w:rsidRPr="0042092C" w:rsidRDefault="0042092C" w:rsidP="0042092C">
            <w:pPr>
              <w:spacing w:before="0" w:after="0"/>
              <w:jc w:val="right"/>
              <w:rPr>
                <w:color w:val="auto"/>
                <w:sz w:val="16"/>
                <w:szCs w:val="16"/>
              </w:rPr>
            </w:pPr>
            <w:r w:rsidRPr="0042092C">
              <w:rPr>
                <w:color w:val="auto"/>
                <w:sz w:val="16"/>
                <w:szCs w:val="16"/>
              </w:rPr>
              <w:t>7,633</w:t>
            </w:r>
          </w:p>
        </w:tc>
        <w:tc>
          <w:tcPr>
            <w:tcW w:w="899" w:type="dxa"/>
            <w:tcBorders>
              <w:top w:val="nil"/>
              <w:left w:val="nil"/>
              <w:bottom w:val="nil"/>
              <w:right w:val="nil"/>
            </w:tcBorders>
            <w:shd w:val="clear" w:color="auto" w:fill="auto"/>
            <w:tcMar>
              <w:left w:w="57" w:type="dxa"/>
              <w:right w:w="57" w:type="dxa"/>
            </w:tcMar>
            <w:vAlign w:val="bottom"/>
            <w:hideMark/>
          </w:tcPr>
          <w:p w14:paraId="5440C6E6" w14:textId="77777777" w:rsidR="0042092C" w:rsidRPr="0042092C" w:rsidRDefault="0042092C" w:rsidP="0042092C">
            <w:pPr>
              <w:spacing w:before="0" w:after="0"/>
              <w:jc w:val="right"/>
              <w:rPr>
                <w:color w:val="auto"/>
                <w:sz w:val="16"/>
                <w:szCs w:val="16"/>
              </w:rPr>
            </w:pPr>
            <w:r w:rsidRPr="0042092C">
              <w:rPr>
                <w:color w:val="auto"/>
                <w:sz w:val="16"/>
                <w:szCs w:val="16"/>
              </w:rPr>
              <w:t>7,692</w:t>
            </w:r>
          </w:p>
        </w:tc>
        <w:tc>
          <w:tcPr>
            <w:tcW w:w="899" w:type="dxa"/>
            <w:tcBorders>
              <w:top w:val="nil"/>
              <w:left w:val="nil"/>
              <w:bottom w:val="nil"/>
              <w:right w:val="nil"/>
            </w:tcBorders>
            <w:shd w:val="clear" w:color="auto" w:fill="auto"/>
            <w:tcMar>
              <w:left w:w="57" w:type="dxa"/>
              <w:right w:w="57" w:type="dxa"/>
            </w:tcMar>
            <w:vAlign w:val="bottom"/>
            <w:hideMark/>
          </w:tcPr>
          <w:p w14:paraId="541B4B62" w14:textId="77777777" w:rsidR="0042092C" w:rsidRPr="0042092C" w:rsidRDefault="0042092C" w:rsidP="0042092C">
            <w:pPr>
              <w:spacing w:before="0" w:after="0"/>
              <w:jc w:val="right"/>
              <w:rPr>
                <w:color w:val="auto"/>
                <w:sz w:val="16"/>
                <w:szCs w:val="16"/>
              </w:rPr>
            </w:pPr>
            <w:r w:rsidRPr="0042092C">
              <w:rPr>
                <w:color w:val="auto"/>
                <w:sz w:val="16"/>
                <w:szCs w:val="16"/>
              </w:rPr>
              <w:t>7,744</w:t>
            </w:r>
          </w:p>
        </w:tc>
      </w:tr>
      <w:tr w:rsidR="0042092C" w:rsidRPr="0042092C" w14:paraId="2C644E61"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2E6412AF" w14:textId="77777777" w:rsidR="0042092C" w:rsidRPr="0042092C" w:rsidRDefault="0042092C" w:rsidP="0042092C">
            <w:pPr>
              <w:spacing w:before="0" w:after="0"/>
              <w:ind w:leftChars="225" w:left="405"/>
              <w:rPr>
                <w:color w:val="auto"/>
                <w:sz w:val="16"/>
                <w:szCs w:val="16"/>
              </w:rPr>
            </w:pPr>
            <w:r w:rsidRPr="0042092C">
              <w:rPr>
                <w:color w:val="auto"/>
                <w:sz w:val="16"/>
                <w:szCs w:val="16"/>
              </w:rPr>
              <w:t xml:space="preserve">AICIS </w:t>
            </w:r>
            <w:r w:rsidRPr="0042092C">
              <w:rPr>
                <w:color w:val="auto"/>
                <w:sz w:val="16"/>
                <w:szCs w:val="16"/>
                <w:vertAlign w:val="superscript"/>
              </w:rPr>
              <w:t>(g)</w:t>
            </w:r>
          </w:p>
        </w:tc>
        <w:tc>
          <w:tcPr>
            <w:tcW w:w="918" w:type="dxa"/>
            <w:tcBorders>
              <w:top w:val="nil"/>
              <w:left w:val="nil"/>
              <w:bottom w:val="nil"/>
              <w:right w:val="nil"/>
            </w:tcBorders>
            <w:shd w:val="clear" w:color="auto" w:fill="auto"/>
            <w:tcMar>
              <w:left w:w="57" w:type="dxa"/>
              <w:right w:w="57" w:type="dxa"/>
            </w:tcMar>
            <w:vAlign w:val="bottom"/>
            <w:hideMark/>
          </w:tcPr>
          <w:p w14:paraId="502D8104" w14:textId="77777777" w:rsidR="0042092C" w:rsidRPr="0042092C" w:rsidRDefault="0042092C" w:rsidP="0042092C">
            <w:pPr>
              <w:spacing w:before="0" w:after="0"/>
              <w:jc w:val="right"/>
              <w:rPr>
                <w:color w:val="auto"/>
                <w:sz w:val="16"/>
                <w:szCs w:val="16"/>
              </w:rPr>
            </w:pPr>
            <w:r w:rsidRPr="0042092C">
              <w:rPr>
                <w:color w:val="auto"/>
                <w:sz w:val="16"/>
                <w:szCs w:val="16"/>
              </w:rPr>
              <w:t>22,896</w:t>
            </w:r>
          </w:p>
        </w:tc>
        <w:tc>
          <w:tcPr>
            <w:tcW w:w="909" w:type="dxa"/>
            <w:tcBorders>
              <w:top w:val="nil"/>
              <w:left w:val="nil"/>
              <w:bottom w:val="nil"/>
              <w:right w:val="nil"/>
            </w:tcBorders>
            <w:shd w:val="clear" w:color="000000" w:fill="D9D9D9"/>
            <w:noWrap/>
            <w:tcMar>
              <w:left w:w="57" w:type="dxa"/>
              <w:right w:w="57" w:type="dxa"/>
            </w:tcMar>
            <w:vAlign w:val="bottom"/>
            <w:hideMark/>
          </w:tcPr>
          <w:p w14:paraId="7CBB4E31" w14:textId="77777777" w:rsidR="0042092C" w:rsidRPr="0042092C" w:rsidRDefault="0042092C" w:rsidP="0042092C">
            <w:pPr>
              <w:spacing w:before="0" w:after="0"/>
              <w:jc w:val="right"/>
              <w:rPr>
                <w:color w:val="auto"/>
                <w:sz w:val="16"/>
                <w:szCs w:val="16"/>
              </w:rPr>
            </w:pPr>
            <w:r w:rsidRPr="0042092C">
              <w:rPr>
                <w:color w:val="auto"/>
                <w:sz w:val="16"/>
                <w:szCs w:val="16"/>
              </w:rPr>
              <w:t>22,041</w:t>
            </w:r>
          </w:p>
        </w:tc>
        <w:tc>
          <w:tcPr>
            <w:tcW w:w="899" w:type="dxa"/>
            <w:tcBorders>
              <w:top w:val="nil"/>
              <w:left w:val="nil"/>
              <w:bottom w:val="nil"/>
              <w:right w:val="nil"/>
            </w:tcBorders>
            <w:shd w:val="clear" w:color="auto" w:fill="auto"/>
            <w:tcMar>
              <w:left w:w="57" w:type="dxa"/>
              <w:right w:w="57" w:type="dxa"/>
            </w:tcMar>
            <w:vAlign w:val="bottom"/>
            <w:hideMark/>
          </w:tcPr>
          <w:p w14:paraId="38B3A28A" w14:textId="77777777" w:rsidR="0042092C" w:rsidRPr="0042092C" w:rsidRDefault="0042092C" w:rsidP="0042092C">
            <w:pPr>
              <w:spacing w:before="0" w:after="0"/>
              <w:jc w:val="right"/>
              <w:rPr>
                <w:color w:val="auto"/>
                <w:sz w:val="16"/>
                <w:szCs w:val="16"/>
              </w:rPr>
            </w:pPr>
            <w:r w:rsidRPr="0042092C">
              <w:rPr>
                <w:color w:val="auto"/>
                <w:sz w:val="16"/>
                <w:szCs w:val="16"/>
              </w:rPr>
              <w:t>22,207</w:t>
            </w:r>
          </w:p>
        </w:tc>
        <w:tc>
          <w:tcPr>
            <w:tcW w:w="899" w:type="dxa"/>
            <w:tcBorders>
              <w:top w:val="nil"/>
              <w:left w:val="nil"/>
              <w:bottom w:val="nil"/>
              <w:right w:val="nil"/>
            </w:tcBorders>
            <w:shd w:val="clear" w:color="auto" w:fill="auto"/>
            <w:tcMar>
              <w:left w:w="57" w:type="dxa"/>
              <w:right w:w="57" w:type="dxa"/>
            </w:tcMar>
            <w:vAlign w:val="bottom"/>
            <w:hideMark/>
          </w:tcPr>
          <w:p w14:paraId="5E6F61F8" w14:textId="77777777" w:rsidR="0042092C" w:rsidRPr="0042092C" w:rsidRDefault="0042092C" w:rsidP="0042092C">
            <w:pPr>
              <w:spacing w:before="0" w:after="0"/>
              <w:jc w:val="right"/>
              <w:rPr>
                <w:color w:val="auto"/>
                <w:sz w:val="16"/>
                <w:szCs w:val="16"/>
              </w:rPr>
            </w:pPr>
            <w:r w:rsidRPr="0042092C">
              <w:rPr>
                <w:color w:val="auto"/>
                <w:sz w:val="16"/>
                <w:szCs w:val="16"/>
              </w:rPr>
              <w:t>22,207</w:t>
            </w:r>
          </w:p>
        </w:tc>
        <w:tc>
          <w:tcPr>
            <w:tcW w:w="899" w:type="dxa"/>
            <w:tcBorders>
              <w:top w:val="nil"/>
              <w:left w:val="nil"/>
              <w:bottom w:val="nil"/>
              <w:right w:val="nil"/>
            </w:tcBorders>
            <w:shd w:val="clear" w:color="auto" w:fill="auto"/>
            <w:tcMar>
              <w:left w:w="57" w:type="dxa"/>
              <w:right w:w="57" w:type="dxa"/>
            </w:tcMar>
            <w:vAlign w:val="bottom"/>
            <w:hideMark/>
          </w:tcPr>
          <w:p w14:paraId="720E5F20" w14:textId="77777777" w:rsidR="0042092C" w:rsidRPr="0042092C" w:rsidRDefault="0042092C" w:rsidP="0042092C">
            <w:pPr>
              <w:spacing w:before="0" w:after="0"/>
              <w:jc w:val="right"/>
              <w:rPr>
                <w:color w:val="auto"/>
                <w:sz w:val="16"/>
                <w:szCs w:val="16"/>
              </w:rPr>
            </w:pPr>
            <w:r w:rsidRPr="0042092C">
              <w:rPr>
                <w:color w:val="auto"/>
                <w:sz w:val="16"/>
                <w:szCs w:val="16"/>
              </w:rPr>
              <w:t>22,207</w:t>
            </w:r>
          </w:p>
        </w:tc>
      </w:tr>
      <w:tr w:rsidR="0042092C" w:rsidRPr="0042092C" w14:paraId="0934C36A"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1F1FAD8A" w14:textId="77777777" w:rsidR="0042092C" w:rsidRPr="0042092C" w:rsidRDefault="0042092C" w:rsidP="0042092C">
            <w:pPr>
              <w:spacing w:before="0" w:after="0"/>
              <w:ind w:leftChars="225" w:left="405"/>
              <w:rPr>
                <w:color w:val="auto"/>
                <w:sz w:val="16"/>
                <w:szCs w:val="16"/>
              </w:rPr>
            </w:pPr>
            <w:r w:rsidRPr="0042092C">
              <w:rPr>
                <w:color w:val="auto"/>
                <w:sz w:val="16"/>
                <w:szCs w:val="16"/>
              </w:rPr>
              <w:t xml:space="preserve">TGA </w:t>
            </w:r>
            <w:r w:rsidRPr="0042092C">
              <w:rPr>
                <w:color w:val="auto"/>
                <w:sz w:val="16"/>
                <w:szCs w:val="16"/>
                <w:vertAlign w:val="superscript"/>
              </w:rPr>
              <w:t>(h)</w:t>
            </w:r>
          </w:p>
        </w:tc>
        <w:tc>
          <w:tcPr>
            <w:tcW w:w="918" w:type="dxa"/>
            <w:tcBorders>
              <w:top w:val="nil"/>
              <w:left w:val="nil"/>
              <w:bottom w:val="nil"/>
              <w:right w:val="nil"/>
            </w:tcBorders>
            <w:shd w:val="clear" w:color="auto" w:fill="auto"/>
            <w:tcMar>
              <w:left w:w="57" w:type="dxa"/>
              <w:right w:w="57" w:type="dxa"/>
            </w:tcMar>
            <w:vAlign w:val="bottom"/>
            <w:hideMark/>
          </w:tcPr>
          <w:p w14:paraId="1D5159DB" w14:textId="77777777" w:rsidR="0042092C" w:rsidRPr="0042092C" w:rsidRDefault="0042092C" w:rsidP="0042092C">
            <w:pPr>
              <w:spacing w:before="0" w:after="0"/>
              <w:jc w:val="right"/>
              <w:rPr>
                <w:color w:val="auto"/>
                <w:sz w:val="16"/>
                <w:szCs w:val="16"/>
              </w:rPr>
            </w:pPr>
            <w:r w:rsidRPr="0042092C">
              <w:rPr>
                <w:color w:val="auto"/>
                <w:sz w:val="16"/>
                <w:szCs w:val="16"/>
              </w:rPr>
              <w:t>193,147</w:t>
            </w:r>
          </w:p>
        </w:tc>
        <w:tc>
          <w:tcPr>
            <w:tcW w:w="909" w:type="dxa"/>
            <w:tcBorders>
              <w:top w:val="nil"/>
              <w:left w:val="nil"/>
              <w:bottom w:val="nil"/>
              <w:right w:val="nil"/>
            </w:tcBorders>
            <w:shd w:val="clear" w:color="000000" w:fill="D9D9D9"/>
            <w:noWrap/>
            <w:tcMar>
              <w:left w:w="57" w:type="dxa"/>
              <w:right w:w="57" w:type="dxa"/>
            </w:tcMar>
            <w:vAlign w:val="bottom"/>
            <w:hideMark/>
          </w:tcPr>
          <w:p w14:paraId="54F0EE6A" w14:textId="77777777" w:rsidR="0042092C" w:rsidRPr="0042092C" w:rsidRDefault="0042092C" w:rsidP="0042092C">
            <w:pPr>
              <w:spacing w:before="0" w:after="0"/>
              <w:jc w:val="right"/>
              <w:rPr>
                <w:color w:val="auto"/>
                <w:sz w:val="16"/>
                <w:szCs w:val="16"/>
              </w:rPr>
            </w:pPr>
            <w:r w:rsidRPr="0042092C">
              <w:rPr>
                <w:color w:val="auto"/>
                <w:sz w:val="16"/>
                <w:szCs w:val="16"/>
              </w:rPr>
              <w:t>199,031</w:t>
            </w:r>
          </w:p>
        </w:tc>
        <w:tc>
          <w:tcPr>
            <w:tcW w:w="899" w:type="dxa"/>
            <w:tcBorders>
              <w:top w:val="nil"/>
              <w:left w:val="nil"/>
              <w:bottom w:val="nil"/>
              <w:right w:val="nil"/>
            </w:tcBorders>
            <w:shd w:val="clear" w:color="auto" w:fill="auto"/>
            <w:tcMar>
              <w:left w:w="57" w:type="dxa"/>
              <w:right w:w="57" w:type="dxa"/>
            </w:tcMar>
            <w:vAlign w:val="bottom"/>
            <w:hideMark/>
          </w:tcPr>
          <w:p w14:paraId="39F739C4" w14:textId="77777777" w:rsidR="0042092C" w:rsidRPr="0042092C" w:rsidRDefault="0042092C" w:rsidP="0042092C">
            <w:pPr>
              <w:spacing w:before="0" w:after="0"/>
              <w:jc w:val="right"/>
              <w:rPr>
                <w:color w:val="auto"/>
                <w:sz w:val="16"/>
                <w:szCs w:val="16"/>
              </w:rPr>
            </w:pPr>
            <w:r w:rsidRPr="0042092C">
              <w:rPr>
                <w:color w:val="auto"/>
                <w:sz w:val="16"/>
                <w:szCs w:val="16"/>
              </w:rPr>
              <w:t>190,366</w:t>
            </w:r>
          </w:p>
        </w:tc>
        <w:tc>
          <w:tcPr>
            <w:tcW w:w="899" w:type="dxa"/>
            <w:tcBorders>
              <w:top w:val="nil"/>
              <w:left w:val="nil"/>
              <w:bottom w:val="nil"/>
              <w:right w:val="nil"/>
            </w:tcBorders>
            <w:shd w:val="clear" w:color="auto" w:fill="auto"/>
            <w:tcMar>
              <w:left w:w="57" w:type="dxa"/>
              <w:right w:w="57" w:type="dxa"/>
            </w:tcMar>
            <w:vAlign w:val="bottom"/>
            <w:hideMark/>
          </w:tcPr>
          <w:p w14:paraId="5C6FE533" w14:textId="77777777" w:rsidR="0042092C" w:rsidRPr="0042092C" w:rsidRDefault="0042092C" w:rsidP="0042092C">
            <w:pPr>
              <w:spacing w:before="0" w:after="0"/>
              <w:jc w:val="right"/>
              <w:rPr>
                <w:color w:val="auto"/>
                <w:sz w:val="16"/>
                <w:szCs w:val="16"/>
              </w:rPr>
            </w:pPr>
            <w:r w:rsidRPr="0042092C">
              <w:rPr>
                <w:color w:val="auto"/>
                <w:sz w:val="16"/>
                <w:szCs w:val="16"/>
              </w:rPr>
              <w:t>189,591</w:t>
            </w:r>
          </w:p>
        </w:tc>
        <w:tc>
          <w:tcPr>
            <w:tcW w:w="899" w:type="dxa"/>
            <w:tcBorders>
              <w:top w:val="nil"/>
              <w:left w:val="nil"/>
              <w:bottom w:val="nil"/>
              <w:right w:val="nil"/>
            </w:tcBorders>
            <w:shd w:val="clear" w:color="auto" w:fill="auto"/>
            <w:tcMar>
              <w:left w:w="57" w:type="dxa"/>
              <w:right w:w="57" w:type="dxa"/>
            </w:tcMar>
            <w:vAlign w:val="bottom"/>
            <w:hideMark/>
          </w:tcPr>
          <w:p w14:paraId="4BB8BCEE" w14:textId="77777777" w:rsidR="0042092C" w:rsidRPr="0042092C" w:rsidRDefault="0042092C" w:rsidP="0042092C">
            <w:pPr>
              <w:spacing w:before="0" w:after="0"/>
              <w:jc w:val="right"/>
              <w:rPr>
                <w:color w:val="auto"/>
                <w:sz w:val="16"/>
                <w:szCs w:val="16"/>
              </w:rPr>
            </w:pPr>
            <w:r w:rsidRPr="0042092C">
              <w:rPr>
                <w:color w:val="auto"/>
                <w:sz w:val="16"/>
                <w:szCs w:val="16"/>
              </w:rPr>
              <w:t>189,181</w:t>
            </w:r>
          </w:p>
        </w:tc>
      </w:tr>
      <w:tr w:rsidR="0042092C" w:rsidRPr="0042092C" w14:paraId="7484D7F2"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483981E3" w14:textId="77777777" w:rsidR="0042092C" w:rsidRPr="0042092C" w:rsidRDefault="0042092C" w:rsidP="0042092C">
            <w:pPr>
              <w:spacing w:before="0" w:after="0"/>
              <w:ind w:leftChars="225" w:left="405"/>
              <w:rPr>
                <w:color w:val="auto"/>
                <w:sz w:val="16"/>
                <w:szCs w:val="16"/>
              </w:rPr>
            </w:pPr>
            <w:r w:rsidRPr="0042092C">
              <w:rPr>
                <w:color w:val="auto"/>
                <w:sz w:val="16"/>
                <w:szCs w:val="16"/>
              </w:rPr>
              <w:t xml:space="preserve">Expense adjustment </w:t>
            </w:r>
            <w:r w:rsidRPr="0042092C">
              <w:rPr>
                <w:color w:val="auto"/>
                <w:sz w:val="16"/>
                <w:szCs w:val="16"/>
                <w:vertAlign w:val="superscript"/>
              </w:rPr>
              <w:t>(</w:t>
            </w:r>
            <w:proofErr w:type="spellStart"/>
            <w:r w:rsidRPr="0042092C">
              <w:rPr>
                <w:color w:val="auto"/>
                <w:sz w:val="16"/>
                <w:szCs w:val="16"/>
                <w:vertAlign w:val="superscript"/>
              </w:rPr>
              <w:t>i</w:t>
            </w:r>
            <w:proofErr w:type="spellEnd"/>
            <w:r w:rsidRPr="0042092C">
              <w:rPr>
                <w:color w:val="auto"/>
                <w:sz w:val="16"/>
                <w:szCs w:val="16"/>
                <w:vertAlign w:val="superscript"/>
              </w:rPr>
              <w:t>)</w:t>
            </w:r>
          </w:p>
        </w:tc>
        <w:tc>
          <w:tcPr>
            <w:tcW w:w="918" w:type="dxa"/>
            <w:tcBorders>
              <w:top w:val="nil"/>
              <w:left w:val="nil"/>
              <w:bottom w:val="nil"/>
              <w:right w:val="nil"/>
            </w:tcBorders>
            <w:shd w:val="clear" w:color="auto" w:fill="auto"/>
            <w:tcMar>
              <w:left w:w="57" w:type="dxa"/>
              <w:right w:w="57" w:type="dxa"/>
            </w:tcMar>
            <w:vAlign w:val="bottom"/>
            <w:hideMark/>
          </w:tcPr>
          <w:p w14:paraId="6138CD23" w14:textId="77777777" w:rsidR="0042092C" w:rsidRPr="0042092C" w:rsidRDefault="0042092C" w:rsidP="0042092C">
            <w:pPr>
              <w:spacing w:before="0" w:after="0"/>
              <w:jc w:val="right"/>
              <w:rPr>
                <w:color w:val="auto"/>
                <w:sz w:val="16"/>
                <w:szCs w:val="16"/>
              </w:rPr>
            </w:pPr>
            <w:r w:rsidRPr="0042092C">
              <w:rPr>
                <w:color w:val="auto"/>
                <w:sz w:val="16"/>
                <w:szCs w:val="16"/>
              </w:rPr>
              <w:t>(2,691)</w:t>
            </w:r>
          </w:p>
        </w:tc>
        <w:tc>
          <w:tcPr>
            <w:tcW w:w="909" w:type="dxa"/>
            <w:tcBorders>
              <w:top w:val="nil"/>
              <w:left w:val="nil"/>
              <w:bottom w:val="nil"/>
              <w:right w:val="nil"/>
            </w:tcBorders>
            <w:shd w:val="clear" w:color="000000" w:fill="D9D9D9"/>
            <w:noWrap/>
            <w:tcMar>
              <w:left w:w="57" w:type="dxa"/>
              <w:right w:w="57" w:type="dxa"/>
            </w:tcMar>
            <w:vAlign w:val="bottom"/>
            <w:hideMark/>
          </w:tcPr>
          <w:p w14:paraId="5B22923A" w14:textId="77777777" w:rsidR="0042092C" w:rsidRPr="0042092C" w:rsidRDefault="0042092C" w:rsidP="0042092C">
            <w:pPr>
              <w:spacing w:before="0" w:after="0"/>
              <w:jc w:val="right"/>
              <w:rPr>
                <w:color w:val="auto"/>
                <w:sz w:val="16"/>
                <w:szCs w:val="16"/>
              </w:rPr>
            </w:pPr>
            <w:r w:rsidRPr="0042092C">
              <w:rPr>
                <w:color w:val="auto"/>
                <w:sz w:val="16"/>
                <w:szCs w:val="16"/>
              </w:rPr>
              <w:t>(706)</w:t>
            </w:r>
          </w:p>
        </w:tc>
        <w:tc>
          <w:tcPr>
            <w:tcW w:w="899" w:type="dxa"/>
            <w:tcBorders>
              <w:top w:val="nil"/>
              <w:left w:val="nil"/>
              <w:bottom w:val="nil"/>
              <w:right w:val="nil"/>
            </w:tcBorders>
            <w:shd w:val="clear" w:color="auto" w:fill="auto"/>
            <w:tcMar>
              <w:left w:w="57" w:type="dxa"/>
              <w:right w:w="57" w:type="dxa"/>
            </w:tcMar>
            <w:vAlign w:val="bottom"/>
            <w:hideMark/>
          </w:tcPr>
          <w:p w14:paraId="5850A518" w14:textId="77777777" w:rsidR="0042092C" w:rsidRPr="0042092C" w:rsidRDefault="0042092C" w:rsidP="0042092C">
            <w:pPr>
              <w:spacing w:before="0" w:after="0"/>
              <w:jc w:val="right"/>
              <w:rPr>
                <w:color w:val="auto"/>
                <w:sz w:val="16"/>
                <w:szCs w:val="16"/>
              </w:rPr>
            </w:pPr>
            <w:r w:rsidRPr="0042092C">
              <w:rPr>
                <w:color w:val="auto"/>
                <w:sz w:val="16"/>
                <w:szCs w:val="16"/>
              </w:rPr>
              <w:t>2,750</w:t>
            </w:r>
          </w:p>
        </w:tc>
        <w:tc>
          <w:tcPr>
            <w:tcW w:w="899" w:type="dxa"/>
            <w:tcBorders>
              <w:top w:val="nil"/>
              <w:left w:val="nil"/>
              <w:bottom w:val="nil"/>
              <w:right w:val="nil"/>
            </w:tcBorders>
            <w:shd w:val="clear" w:color="auto" w:fill="auto"/>
            <w:tcMar>
              <w:left w:w="57" w:type="dxa"/>
              <w:right w:w="57" w:type="dxa"/>
            </w:tcMar>
            <w:vAlign w:val="bottom"/>
            <w:hideMark/>
          </w:tcPr>
          <w:p w14:paraId="28DA6462" w14:textId="77777777" w:rsidR="0042092C" w:rsidRPr="0042092C" w:rsidRDefault="0042092C" w:rsidP="0042092C">
            <w:pPr>
              <w:spacing w:before="0" w:after="0"/>
              <w:jc w:val="right"/>
              <w:rPr>
                <w:color w:val="auto"/>
                <w:sz w:val="16"/>
                <w:szCs w:val="16"/>
              </w:rPr>
            </w:pPr>
            <w:r w:rsidRPr="0042092C">
              <w:rPr>
                <w:color w:val="auto"/>
                <w:sz w:val="16"/>
                <w:szCs w:val="16"/>
              </w:rPr>
              <w:t>4,139</w:t>
            </w:r>
          </w:p>
        </w:tc>
        <w:tc>
          <w:tcPr>
            <w:tcW w:w="899" w:type="dxa"/>
            <w:tcBorders>
              <w:top w:val="nil"/>
              <w:left w:val="nil"/>
              <w:bottom w:val="nil"/>
              <w:right w:val="nil"/>
            </w:tcBorders>
            <w:shd w:val="clear" w:color="auto" w:fill="auto"/>
            <w:tcMar>
              <w:left w:w="57" w:type="dxa"/>
              <w:right w:w="57" w:type="dxa"/>
            </w:tcMar>
            <w:vAlign w:val="bottom"/>
            <w:hideMark/>
          </w:tcPr>
          <w:p w14:paraId="5D49D532" w14:textId="77777777" w:rsidR="0042092C" w:rsidRPr="0042092C" w:rsidRDefault="0042092C" w:rsidP="0042092C">
            <w:pPr>
              <w:spacing w:before="0" w:after="0"/>
              <w:jc w:val="right"/>
              <w:rPr>
                <w:color w:val="auto"/>
                <w:sz w:val="16"/>
                <w:szCs w:val="16"/>
              </w:rPr>
            </w:pPr>
            <w:r w:rsidRPr="0042092C">
              <w:rPr>
                <w:color w:val="auto"/>
                <w:sz w:val="16"/>
                <w:szCs w:val="16"/>
              </w:rPr>
              <w:t>4,139</w:t>
            </w:r>
          </w:p>
        </w:tc>
      </w:tr>
      <w:tr w:rsidR="0042092C" w:rsidRPr="0042092C" w14:paraId="681AE5A2"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275D57A0" w14:textId="77777777" w:rsidR="0042092C" w:rsidRPr="0042092C" w:rsidRDefault="0042092C" w:rsidP="0042092C">
            <w:pPr>
              <w:spacing w:before="0" w:after="0"/>
              <w:ind w:leftChars="75" w:left="135"/>
              <w:rPr>
                <w:b/>
                <w:bCs/>
                <w:color w:val="auto"/>
                <w:sz w:val="16"/>
                <w:szCs w:val="16"/>
              </w:rPr>
            </w:pPr>
            <w:r w:rsidRPr="0042092C">
              <w:rPr>
                <w:b/>
                <w:bCs/>
                <w:color w:val="auto"/>
                <w:sz w:val="16"/>
                <w:szCs w:val="16"/>
              </w:rPr>
              <w:t>Total for Program 1.8</w:t>
            </w:r>
          </w:p>
        </w:tc>
        <w:tc>
          <w:tcPr>
            <w:tcW w:w="918"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42F76094" w14:textId="77777777" w:rsidR="0042092C" w:rsidRPr="0042092C" w:rsidRDefault="0042092C" w:rsidP="0042092C">
            <w:pPr>
              <w:spacing w:before="0" w:after="0"/>
              <w:jc w:val="right"/>
              <w:rPr>
                <w:b/>
                <w:bCs/>
                <w:color w:val="auto"/>
                <w:sz w:val="16"/>
                <w:szCs w:val="16"/>
              </w:rPr>
            </w:pPr>
            <w:r w:rsidRPr="0042092C">
              <w:rPr>
                <w:b/>
                <w:bCs/>
                <w:color w:val="auto"/>
                <w:sz w:val="16"/>
                <w:szCs w:val="16"/>
              </w:rPr>
              <w:t>9,949,769</w:t>
            </w:r>
          </w:p>
        </w:tc>
        <w:tc>
          <w:tcPr>
            <w:tcW w:w="90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2740E43C" w14:textId="77777777" w:rsidR="0042092C" w:rsidRPr="0042092C" w:rsidRDefault="0042092C" w:rsidP="0042092C">
            <w:pPr>
              <w:spacing w:before="0" w:after="0"/>
              <w:jc w:val="right"/>
              <w:rPr>
                <w:b/>
                <w:bCs/>
                <w:color w:val="auto"/>
                <w:sz w:val="16"/>
                <w:szCs w:val="16"/>
              </w:rPr>
            </w:pPr>
            <w:r w:rsidRPr="0042092C">
              <w:rPr>
                <w:b/>
                <w:bCs/>
                <w:color w:val="auto"/>
                <w:sz w:val="16"/>
                <w:szCs w:val="16"/>
              </w:rPr>
              <w:t>4,480,083</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7F809CCC" w14:textId="77777777" w:rsidR="0042092C" w:rsidRPr="0042092C" w:rsidRDefault="0042092C" w:rsidP="0042092C">
            <w:pPr>
              <w:spacing w:before="0" w:after="0"/>
              <w:jc w:val="right"/>
              <w:rPr>
                <w:b/>
                <w:bCs/>
                <w:color w:val="auto"/>
                <w:sz w:val="16"/>
                <w:szCs w:val="16"/>
              </w:rPr>
            </w:pPr>
            <w:r w:rsidRPr="0042092C">
              <w:rPr>
                <w:b/>
                <w:bCs/>
                <w:color w:val="auto"/>
                <w:sz w:val="16"/>
                <w:szCs w:val="16"/>
              </w:rPr>
              <w:t>985,187</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040C377F" w14:textId="77777777" w:rsidR="0042092C" w:rsidRPr="0042092C" w:rsidRDefault="0042092C" w:rsidP="0042092C">
            <w:pPr>
              <w:spacing w:before="0" w:after="0"/>
              <w:jc w:val="right"/>
              <w:rPr>
                <w:b/>
                <w:bCs/>
                <w:color w:val="auto"/>
                <w:sz w:val="16"/>
                <w:szCs w:val="16"/>
              </w:rPr>
            </w:pPr>
            <w:r w:rsidRPr="0042092C">
              <w:rPr>
                <w:b/>
                <w:bCs/>
                <w:color w:val="auto"/>
                <w:sz w:val="16"/>
                <w:szCs w:val="16"/>
              </w:rPr>
              <w:t>589,758</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63B9C080" w14:textId="77777777" w:rsidR="0042092C" w:rsidRPr="0042092C" w:rsidRDefault="0042092C" w:rsidP="0042092C">
            <w:pPr>
              <w:spacing w:before="0" w:after="0"/>
              <w:jc w:val="right"/>
              <w:rPr>
                <w:b/>
                <w:bCs/>
                <w:color w:val="auto"/>
                <w:sz w:val="16"/>
                <w:szCs w:val="16"/>
              </w:rPr>
            </w:pPr>
            <w:r w:rsidRPr="0042092C">
              <w:rPr>
                <w:b/>
                <w:bCs/>
                <w:color w:val="auto"/>
                <w:sz w:val="16"/>
                <w:szCs w:val="16"/>
              </w:rPr>
              <w:t>769,328</w:t>
            </w:r>
          </w:p>
        </w:tc>
      </w:tr>
      <w:tr w:rsidR="0042092C" w:rsidRPr="0042092C" w14:paraId="6AB2E2AD"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6AE870B5" w14:textId="77777777" w:rsidR="0042092C" w:rsidRPr="0042092C" w:rsidRDefault="0042092C" w:rsidP="0042092C">
            <w:pPr>
              <w:spacing w:before="0" w:after="0"/>
              <w:rPr>
                <w:b/>
                <w:bCs/>
                <w:color w:val="auto"/>
                <w:sz w:val="16"/>
                <w:szCs w:val="16"/>
              </w:rPr>
            </w:pPr>
            <w:r w:rsidRPr="0042092C">
              <w:rPr>
                <w:b/>
                <w:bCs/>
                <w:color w:val="auto"/>
                <w:sz w:val="16"/>
                <w:szCs w:val="16"/>
              </w:rPr>
              <w:t xml:space="preserve">Program 1.9: Immunisation </w:t>
            </w:r>
            <w:r w:rsidRPr="0042092C">
              <w:rPr>
                <w:b/>
                <w:bCs/>
                <w:color w:val="auto"/>
                <w:sz w:val="16"/>
                <w:szCs w:val="16"/>
                <w:vertAlign w:val="superscript"/>
              </w:rPr>
              <w:t>(a)</w:t>
            </w:r>
          </w:p>
        </w:tc>
        <w:tc>
          <w:tcPr>
            <w:tcW w:w="918" w:type="dxa"/>
            <w:tcBorders>
              <w:top w:val="nil"/>
              <w:left w:val="nil"/>
              <w:bottom w:val="nil"/>
              <w:right w:val="nil"/>
            </w:tcBorders>
            <w:shd w:val="clear" w:color="auto" w:fill="auto"/>
            <w:noWrap/>
            <w:tcMar>
              <w:left w:w="57" w:type="dxa"/>
              <w:right w:w="57" w:type="dxa"/>
            </w:tcMar>
            <w:vAlign w:val="bottom"/>
            <w:hideMark/>
          </w:tcPr>
          <w:p w14:paraId="7238CF6E" w14:textId="77777777" w:rsidR="0042092C" w:rsidRPr="0042092C" w:rsidRDefault="0042092C" w:rsidP="0042092C">
            <w:pPr>
              <w:spacing w:before="0" w:after="0"/>
              <w:rPr>
                <w:b/>
                <w:bCs/>
                <w:color w:val="auto"/>
                <w:sz w:val="16"/>
                <w:szCs w:val="16"/>
              </w:rPr>
            </w:pPr>
          </w:p>
        </w:tc>
        <w:tc>
          <w:tcPr>
            <w:tcW w:w="909" w:type="dxa"/>
            <w:tcBorders>
              <w:top w:val="nil"/>
              <w:left w:val="nil"/>
              <w:bottom w:val="nil"/>
              <w:right w:val="nil"/>
            </w:tcBorders>
            <w:shd w:val="clear" w:color="auto" w:fill="auto"/>
            <w:noWrap/>
            <w:tcMar>
              <w:left w:w="57" w:type="dxa"/>
              <w:right w:w="57" w:type="dxa"/>
            </w:tcMar>
            <w:vAlign w:val="bottom"/>
            <w:hideMark/>
          </w:tcPr>
          <w:p w14:paraId="087A9C96"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62D5D013"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3F9C61D6"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6D622F06"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4AD79722"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6BAEFD75" w14:textId="77777777" w:rsidR="0042092C" w:rsidRPr="0042092C" w:rsidRDefault="0042092C" w:rsidP="0042092C">
            <w:pPr>
              <w:spacing w:before="0" w:after="0"/>
              <w:ind w:leftChars="75" w:left="135"/>
              <w:rPr>
                <w:color w:val="auto"/>
                <w:sz w:val="16"/>
                <w:szCs w:val="16"/>
              </w:rPr>
            </w:pPr>
            <w:r w:rsidRPr="0042092C">
              <w:rPr>
                <w:color w:val="auto"/>
                <w:sz w:val="16"/>
                <w:szCs w:val="16"/>
              </w:rPr>
              <w:t>Administered expenses</w:t>
            </w:r>
          </w:p>
        </w:tc>
        <w:tc>
          <w:tcPr>
            <w:tcW w:w="918" w:type="dxa"/>
            <w:tcBorders>
              <w:top w:val="nil"/>
              <w:left w:val="nil"/>
              <w:bottom w:val="nil"/>
              <w:right w:val="nil"/>
            </w:tcBorders>
            <w:shd w:val="clear" w:color="auto" w:fill="auto"/>
            <w:noWrap/>
            <w:tcMar>
              <w:left w:w="57" w:type="dxa"/>
              <w:right w:w="57" w:type="dxa"/>
            </w:tcMar>
            <w:vAlign w:val="bottom"/>
            <w:hideMark/>
          </w:tcPr>
          <w:p w14:paraId="333E5FF3" w14:textId="77777777" w:rsidR="0042092C" w:rsidRPr="0042092C" w:rsidRDefault="0042092C" w:rsidP="0042092C">
            <w:pPr>
              <w:spacing w:before="0" w:after="0"/>
              <w:ind w:firstLineChars="100" w:firstLine="16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7AF3BD39"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73AF2CA3"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22507003"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02E5F43E"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45A62BB9"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4BCDDE6D" w14:textId="77777777" w:rsidR="0042092C" w:rsidRPr="0042092C" w:rsidRDefault="0042092C" w:rsidP="0042092C">
            <w:pPr>
              <w:spacing w:before="0" w:after="0"/>
              <w:ind w:leftChars="150" w:left="270"/>
              <w:rPr>
                <w:color w:val="auto"/>
                <w:sz w:val="16"/>
                <w:szCs w:val="16"/>
              </w:rPr>
            </w:pPr>
            <w:r w:rsidRPr="0042092C">
              <w:rPr>
                <w:color w:val="auto"/>
                <w:sz w:val="16"/>
                <w:szCs w:val="16"/>
              </w:rPr>
              <w:t xml:space="preserve">Ordinary annual services </w:t>
            </w:r>
            <w:r w:rsidRPr="0042092C">
              <w:rPr>
                <w:color w:val="auto"/>
                <w:sz w:val="16"/>
                <w:szCs w:val="16"/>
                <w:vertAlign w:val="superscript"/>
              </w:rPr>
              <w:t>(b)</w:t>
            </w:r>
          </w:p>
        </w:tc>
        <w:tc>
          <w:tcPr>
            <w:tcW w:w="918" w:type="dxa"/>
            <w:tcBorders>
              <w:top w:val="nil"/>
              <w:left w:val="nil"/>
              <w:bottom w:val="nil"/>
              <w:right w:val="nil"/>
            </w:tcBorders>
            <w:shd w:val="clear" w:color="auto" w:fill="auto"/>
            <w:noWrap/>
            <w:tcMar>
              <w:left w:w="57" w:type="dxa"/>
              <w:right w:w="57" w:type="dxa"/>
            </w:tcMar>
            <w:vAlign w:val="bottom"/>
            <w:hideMark/>
          </w:tcPr>
          <w:p w14:paraId="33DADBBB" w14:textId="77777777" w:rsidR="0042092C" w:rsidRPr="0042092C" w:rsidRDefault="0042092C" w:rsidP="0042092C">
            <w:pPr>
              <w:spacing w:before="0" w:after="0"/>
              <w:jc w:val="right"/>
              <w:rPr>
                <w:color w:val="auto"/>
                <w:sz w:val="16"/>
                <w:szCs w:val="16"/>
              </w:rPr>
            </w:pPr>
            <w:r w:rsidRPr="0042092C">
              <w:rPr>
                <w:color w:val="auto"/>
                <w:sz w:val="16"/>
                <w:szCs w:val="16"/>
              </w:rPr>
              <w:t>32,855</w:t>
            </w:r>
          </w:p>
        </w:tc>
        <w:tc>
          <w:tcPr>
            <w:tcW w:w="909" w:type="dxa"/>
            <w:tcBorders>
              <w:top w:val="nil"/>
              <w:left w:val="nil"/>
              <w:bottom w:val="nil"/>
              <w:right w:val="nil"/>
            </w:tcBorders>
            <w:shd w:val="clear" w:color="000000" w:fill="D9D9D9"/>
            <w:noWrap/>
            <w:tcMar>
              <w:left w:w="57" w:type="dxa"/>
              <w:right w:w="57" w:type="dxa"/>
            </w:tcMar>
            <w:vAlign w:val="bottom"/>
            <w:hideMark/>
          </w:tcPr>
          <w:p w14:paraId="6E2C707E" w14:textId="77777777" w:rsidR="0042092C" w:rsidRPr="0042092C" w:rsidRDefault="0042092C" w:rsidP="0042092C">
            <w:pPr>
              <w:spacing w:before="0" w:after="0"/>
              <w:jc w:val="right"/>
              <w:rPr>
                <w:color w:val="auto"/>
                <w:sz w:val="16"/>
                <w:szCs w:val="16"/>
              </w:rPr>
            </w:pPr>
            <w:r w:rsidRPr="0042092C">
              <w:rPr>
                <w:color w:val="auto"/>
                <w:sz w:val="16"/>
                <w:szCs w:val="16"/>
              </w:rPr>
              <w:t>28,694</w:t>
            </w:r>
          </w:p>
        </w:tc>
        <w:tc>
          <w:tcPr>
            <w:tcW w:w="899" w:type="dxa"/>
            <w:tcBorders>
              <w:top w:val="nil"/>
              <w:left w:val="nil"/>
              <w:bottom w:val="nil"/>
              <w:right w:val="nil"/>
            </w:tcBorders>
            <w:shd w:val="clear" w:color="auto" w:fill="auto"/>
            <w:noWrap/>
            <w:tcMar>
              <w:left w:w="57" w:type="dxa"/>
              <w:right w:w="57" w:type="dxa"/>
            </w:tcMar>
            <w:vAlign w:val="bottom"/>
            <w:hideMark/>
          </w:tcPr>
          <w:p w14:paraId="39E490A1" w14:textId="77777777" w:rsidR="0042092C" w:rsidRPr="0042092C" w:rsidRDefault="0042092C" w:rsidP="0042092C">
            <w:pPr>
              <w:spacing w:before="0" w:after="0"/>
              <w:jc w:val="right"/>
              <w:rPr>
                <w:color w:val="auto"/>
                <w:sz w:val="16"/>
                <w:szCs w:val="16"/>
              </w:rPr>
            </w:pPr>
            <w:r w:rsidRPr="0042092C">
              <w:rPr>
                <w:color w:val="auto"/>
                <w:sz w:val="16"/>
                <w:szCs w:val="16"/>
              </w:rPr>
              <w:t>28,443</w:t>
            </w:r>
          </w:p>
        </w:tc>
        <w:tc>
          <w:tcPr>
            <w:tcW w:w="899" w:type="dxa"/>
            <w:tcBorders>
              <w:top w:val="nil"/>
              <w:left w:val="nil"/>
              <w:bottom w:val="nil"/>
              <w:right w:val="nil"/>
            </w:tcBorders>
            <w:shd w:val="clear" w:color="auto" w:fill="auto"/>
            <w:noWrap/>
            <w:tcMar>
              <w:left w:w="57" w:type="dxa"/>
              <w:right w:w="57" w:type="dxa"/>
            </w:tcMar>
            <w:vAlign w:val="bottom"/>
            <w:hideMark/>
          </w:tcPr>
          <w:p w14:paraId="108D37E6" w14:textId="77777777" w:rsidR="0042092C" w:rsidRPr="0042092C" w:rsidRDefault="0042092C" w:rsidP="0042092C">
            <w:pPr>
              <w:spacing w:before="0" w:after="0"/>
              <w:jc w:val="right"/>
              <w:rPr>
                <w:color w:val="auto"/>
                <w:sz w:val="16"/>
                <w:szCs w:val="16"/>
              </w:rPr>
            </w:pPr>
            <w:r w:rsidRPr="0042092C">
              <w:rPr>
                <w:color w:val="auto"/>
                <w:sz w:val="16"/>
                <w:szCs w:val="16"/>
              </w:rPr>
              <w:t>29,033</w:t>
            </w:r>
          </w:p>
        </w:tc>
        <w:tc>
          <w:tcPr>
            <w:tcW w:w="899" w:type="dxa"/>
            <w:tcBorders>
              <w:top w:val="nil"/>
              <w:left w:val="nil"/>
              <w:bottom w:val="nil"/>
              <w:right w:val="nil"/>
            </w:tcBorders>
            <w:shd w:val="clear" w:color="auto" w:fill="auto"/>
            <w:noWrap/>
            <w:tcMar>
              <w:left w:w="57" w:type="dxa"/>
              <w:right w:w="57" w:type="dxa"/>
            </w:tcMar>
            <w:vAlign w:val="bottom"/>
            <w:hideMark/>
          </w:tcPr>
          <w:p w14:paraId="14A62A01" w14:textId="77777777" w:rsidR="0042092C" w:rsidRPr="0042092C" w:rsidRDefault="0042092C" w:rsidP="0042092C">
            <w:pPr>
              <w:spacing w:before="0" w:after="0"/>
              <w:jc w:val="right"/>
              <w:rPr>
                <w:color w:val="auto"/>
                <w:sz w:val="16"/>
                <w:szCs w:val="16"/>
              </w:rPr>
            </w:pPr>
            <w:r w:rsidRPr="0042092C">
              <w:rPr>
                <w:color w:val="auto"/>
                <w:sz w:val="16"/>
                <w:szCs w:val="16"/>
              </w:rPr>
              <w:t>29,468</w:t>
            </w:r>
          </w:p>
        </w:tc>
      </w:tr>
      <w:tr w:rsidR="0042092C" w:rsidRPr="0042092C" w14:paraId="56A302BD" w14:textId="77777777" w:rsidTr="0042092C">
        <w:trPr>
          <w:trHeight w:val="450"/>
          <w:jc w:val="center"/>
        </w:trPr>
        <w:tc>
          <w:tcPr>
            <w:tcW w:w="2796" w:type="dxa"/>
            <w:tcBorders>
              <w:top w:val="nil"/>
              <w:left w:val="nil"/>
              <w:bottom w:val="nil"/>
              <w:right w:val="nil"/>
            </w:tcBorders>
            <w:shd w:val="clear" w:color="auto" w:fill="auto"/>
            <w:vAlign w:val="bottom"/>
            <w:hideMark/>
          </w:tcPr>
          <w:p w14:paraId="12E83D5D" w14:textId="77777777" w:rsidR="0042092C" w:rsidRPr="0042092C" w:rsidRDefault="0042092C" w:rsidP="0042092C">
            <w:pPr>
              <w:spacing w:before="0" w:after="0"/>
              <w:ind w:leftChars="225" w:left="405"/>
              <w:rPr>
                <w:color w:val="auto"/>
                <w:sz w:val="16"/>
                <w:szCs w:val="16"/>
              </w:rPr>
            </w:pPr>
            <w:r w:rsidRPr="0042092C">
              <w:rPr>
                <w:color w:val="auto"/>
                <w:sz w:val="16"/>
                <w:szCs w:val="16"/>
              </w:rPr>
              <w:t>to Australian Immunisation Register Special Account</w:t>
            </w:r>
          </w:p>
        </w:tc>
        <w:tc>
          <w:tcPr>
            <w:tcW w:w="918" w:type="dxa"/>
            <w:tcBorders>
              <w:top w:val="nil"/>
              <w:left w:val="nil"/>
              <w:bottom w:val="nil"/>
              <w:right w:val="nil"/>
            </w:tcBorders>
            <w:shd w:val="clear" w:color="auto" w:fill="auto"/>
            <w:noWrap/>
            <w:tcMar>
              <w:left w:w="57" w:type="dxa"/>
              <w:right w:w="57" w:type="dxa"/>
            </w:tcMar>
            <w:vAlign w:val="bottom"/>
            <w:hideMark/>
          </w:tcPr>
          <w:p w14:paraId="7286D480" w14:textId="77777777" w:rsidR="0042092C" w:rsidRPr="0042092C" w:rsidRDefault="0042092C" w:rsidP="0042092C">
            <w:pPr>
              <w:spacing w:before="0" w:after="0"/>
              <w:jc w:val="right"/>
              <w:rPr>
                <w:color w:val="auto"/>
                <w:sz w:val="16"/>
                <w:szCs w:val="16"/>
              </w:rPr>
            </w:pPr>
            <w:r w:rsidRPr="0042092C">
              <w:rPr>
                <w:color w:val="auto"/>
                <w:sz w:val="16"/>
                <w:szCs w:val="16"/>
              </w:rPr>
              <w:t>(7,133)</w:t>
            </w:r>
          </w:p>
        </w:tc>
        <w:tc>
          <w:tcPr>
            <w:tcW w:w="909" w:type="dxa"/>
            <w:tcBorders>
              <w:top w:val="nil"/>
              <w:left w:val="nil"/>
              <w:bottom w:val="nil"/>
              <w:right w:val="nil"/>
            </w:tcBorders>
            <w:shd w:val="clear" w:color="000000" w:fill="D9D9D9"/>
            <w:noWrap/>
            <w:tcMar>
              <w:left w:w="57" w:type="dxa"/>
              <w:right w:w="57" w:type="dxa"/>
            </w:tcMar>
            <w:vAlign w:val="bottom"/>
            <w:hideMark/>
          </w:tcPr>
          <w:p w14:paraId="399329C9" w14:textId="77777777" w:rsidR="0042092C" w:rsidRPr="0042092C" w:rsidRDefault="0042092C" w:rsidP="0042092C">
            <w:pPr>
              <w:spacing w:before="0" w:after="0"/>
              <w:jc w:val="right"/>
              <w:rPr>
                <w:color w:val="auto"/>
                <w:sz w:val="16"/>
                <w:szCs w:val="16"/>
              </w:rPr>
            </w:pPr>
            <w:r w:rsidRPr="0042092C">
              <w:rPr>
                <w:color w:val="auto"/>
                <w:sz w:val="16"/>
                <w:szCs w:val="16"/>
              </w:rPr>
              <w:t>(7,133)</w:t>
            </w:r>
          </w:p>
        </w:tc>
        <w:tc>
          <w:tcPr>
            <w:tcW w:w="899" w:type="dxa"/>
            <w:tcBorders>
              <w:top w:val="nil"/>
              <w:left w:val="nil"/>
              <w:bottom w:val="nil"/>
              <w:right w:val="nil"/>
            </w:tcBorders>
            <w:shd w:val="clear" w:color="auto" w:fill="auto"/>
            <w:noWrap/>
            <w:tcMar>
              <w:left w:w="57" w:type="dxa"/>
              <w:right w:w="57" w:type="dxa"/>
            </w:tcMar>
            <w:vAlign w:val="bottom"/>
            <w:hideMark/>
          </w:tcPr>
          <w:p w14:paraId="5DB6E473" w14:textId="77777777" w:rsidR="0042092C" w:rsidRPr="0042092C" w:rsidRDefault="0042092C" w:rsidP="0042092C">
            <w:pPr>
              <w:spacing w:before="0" w:after="0"/>
              <w:jc w:val="right"/>
              <w:rPr>
                <w:color w:val="auto"/>
                <w:sz w:val="16"/>
                <w:szCs w:val="16"/>
              </w:rPr>
            </w:pPr>
            <w:r w:rsidRPr="0042092C">
              <w:rPr>
                <w:color w:val="auto"/>
                <w:sz w:val="16"/>
                <w:szCs w:val="16"/>
              </w:rPr>
              <w:t>(7,133)</w:t>
            </w:r>
          </w:p>
        </w:tc>
        <w:tc>
          <w:tcPr>
            <w:tcW w:w="899" w:type="dxa"/>
            <w:tcBorders>
              <w:top w:val="nil"/>
              <w:left w:val="nil"/>
              <w:bottom w:val="nil"/>
              <w:right w:val="nil"/>
            </w:tcBorders>
            <w:shd w:val="clear" w:color="auto" w:fill="auto"/>
            <w:noWrap/>
            <w:tcMar>
              <w:left w:w="57" w:type="dxa"/>
              <w:right w:w="57" w:type="dxa"/>
            </w:tcMar>
            <w:vAlign w:val="bottom"/>
            <w:hideMark/>
          </w:tcPr>
          <w:p w14:paraId="4C670736" w14:textId="77777777" w:rsidR="0042092C" w:rsidRPr="0042092C" w:rsidRDefault="0042092C" w:rsidP="0042092C">
            <w:pPr>
              <w:spacing w:before="0" w:after="0"/>
              <w:jc w:val="right"/>
              <w:rPr>
                <w:color w:val="auto"/>
                <w:sz w:val="16"/>
                <w:szCs w:val="16"/>
              </w:rPr>
            </w:pPr>
            <w:r w:rsidRPr="0042092C">
              <w:rPr>
                <w:color w:val="auto"/>
                <w:sz w:val="16"/>
                <w:szCs w:val="16"/>
              </w:rPr>
              <w:t>(7,133)</w:t>
            </w:r>
          </w:p>
        </w:tc>
        <w:tc>
          <w:tcPr>
            <w:tcW w:w="899" w:type="dxa"/>
            <w:tcBorders>
              <w:top w:val="nil"/>
              <w:left w:val="nil"/>
              <w:bottom w:val="nil"/>
              <w:right w:val="nil"/>
            </w:tcBorders>
            <w:shd w:val="clear" w:color="auto" w:fill="auto"/>
            <w:noWrap/>
            <w:tcMar>
              <w:left w:w="57" w:type="dxa"/>
              <w:right w:w="57" w:type="dxa"/>
            </w:tcMar>
            <w:vAlign w:val="bottom"/>
            <w:hideMark/>
          </w:tcPr>
          <w:p w14:paraId="278C90FD" w14:textId="77777777" w:rsidR="0042092C" w:rsidRPr="0042092C" w:rsidRDefault="0042092C" w:rsidP="0042092C">
            <w:pPr>
              <w:spacing w:before="0" w:after="0"/>
              <w:jc w:val="right"/>
              <w:rPr>
                <w:color w:val="auto"/>
                <w:sz w:val="16"/>
                <w:szCs w:val="16"/>
              </w:rPr>
            </w:pPr>
            <w:r w:rsidRPr="0042092C">
              <w:rPr>
                <w:color w:val="auto"/>
                <w:sz w:val="16"/>
                <w:szCs w:val="16"/>
              </w:rPr>
              <w:t>(7,133)</w:t>
            </w:r>
          </w:p>
        </w:tc>
      </w:tr>
      <w:tr w:rsidR="0042092C" w:rsidRPr="0042092C" w14:paraId="5CCF06D0"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46ACFBC7" w14:textId="77777777" w:rsidR="0042092C" w:rsidRPr="0042092C" w:rsidRDefault="0042092C" w:rsidP="0042092C">
            <w:pPr>
              <w:spacing w:before="0" w:after="0"/>
              <w:ind w:leftChars="150" w:left="270"/>
              <w:rPr>
                <w:color w:val="auto"/>
                <w:sz w:val="16"/>
                <w:szCs w:val="16"/>
              </w:rPr>
            </w:pPr>
            <w:r w:rsidRPr="0042092C">
              <w:rPr>
                <w:color w:val="auto"/>
                <w:sz w:val="16"/>
                <w:szCs w:val="16"/>
              </w:rPr>
              <w:t>Special accounts</w:t>
            </w:r>
          </w:p>
        </w:tc>
        <w:tc>
          <w:tcPr>
            <w:tcW w:w="918" w:type="dxa"/>
            <w:tcBorders>
              <w:top w:val="nil"/>
              <w:left w:val="nil"/>
              <w:bottom w:val="nil"/>
              <w:right w:val="nil"/>
            </w:tcBorders>
            <w:shd w:val="clear" w:color="auto" w:fill="auto"/>
            <w:noWrap/>
            <w:tcMar>
              <w:left w:w="57" w:type="dxa"/>
              <w:right w:w="57" w:type="dxa"/>
            </w:tcMar>
            <w:vAlign w:val="bottom"/>
            <w:hideMark/>
          </w:tcPr>
          <w:p w14:paraId="7543E971" w14:textId="77777777" w:rsidR="0042092C" w:rsidRPr="0042092C" w:rsidRDefault="0042092C" w:rsidP="0042092C">
            <w:pPr>
              <w:spacing w:before="0" w:after="0"/>
              <w:ind w:firstLineChars="200" w:firstLine="32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495F8052"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6FCAB5C2"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4EABC9DD"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2F6BFCD3"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5D345E5B" w14:textId="77777777" w:rsidTr="0042092C">
        <w:trPr>
          <w:trHeight w:val="624"/>
          <w:jc w:val="center"/>
        </w:trPr>
        <w:tc>
          <w:tcPr>
            <w:tcW w:w="2796" w:type="dxa"/>
            <w:tcBorders>
              <w:top w:val="nil"/>
              <w:left w:val="nil"/>
              <w:bottom w:val="nil"/>
              <w:right w:val="nil"/>
            </w:tcBorders>
            <w:shd w:val="clear" w:color="auto" w:fill="auto"/>
            <w:vAlign w:val="bottom"/>
            <w:hideMark/>
          </w:tcPr>
          <w:p w14:paraId="0D454371" w14:textId="77777777" w:rsidR="0042092C" w:rsidRPr="0042092C" w:rsidRDefault="0042092C" w:rsidP="0042092C">
            <w:pPr>
              <w:spacing w:before="0" w:after="0"/>
              <w:ind w:leftChars="225" w:left="405"/>
              <w:rPr>
                <w:color w:val="auto"/>
                <w:sz w:val="16"/>
                <w:szCs w:val="16"/>
              </w:rPr>
            </w:pPr>
            <w:r w:rsidRPr="0042092C">
              <w:rPr>
                <w:color w:val="auto"/>
                <w:sz w:val="16"/>
                <w:szCs w:val="16"/>
              </w:rPr>
              <w:t>Australian Immunisation Register Special Account - s78 PGPA Act</w:t>
            </w:r>
          </w:p>
        </w:tc>
        <w:tc>
          <w:tcPr>
            <w:tcW w:w="918" w:type="dxa"/>
            <w:tcBorders>
              <w:top w:val="nil"/>
              <w:left w:val="nil"/>
              <w:bottom w:val="nil"/>
              <w:right w:val="nil"/>
            </w:tcBorders>
            <w:shd w:val="clear" w:color="auto" w:fill="auto"/>
            <w:noWrap/>
            <w:tcMar>
              <w:left w:w="57" w:type="dxa"/>
              <w:right w:w="57" w:type="dxa"/>
            </w:tcMar>
            <w:vAlign w:val="bottom"/>
            <w:hideMark/>
          </w:tcPr>
          <w:p w14:paraId="3538EC6A" w14:textId="77777777" w:rsidR="0042092C" w:rsidRPr="0042092C" w:rsidRDefault="0042092C" w:rsidP="0042092C">
            <w:pPr>
              <w:spacing w:before="0" w:after="0"/>
              <w:jc w:val="right"/>
              <w:rPr>
                <w:color w:val="auto"/>
                <w:sz w:val="16"/>
                <w:szCs w:val="16"/>
              </w:rPr>
            </w:pPr>
            <w:r w:rsidRPr="0042092C">
              <w:rPr>
                <w:color w:val="auto"/>
                <w:sz w:val="16"/>
                <w:szCs w:val="16"/>
              </w:rPr>
              <w:t>9,819</w:t>
            </w:r>
          </w:p>
        </w:tc>
        <w:tc>
          <w:tcPr>
            <w:tcW w:w="909" w:type="dxa"/>
            <w:tcBorders>
              <w:top w:val="nil"/>
              <w:left w:val="nil"/>
              <w:bottom w:val="nil"/>
              <w:right w:val="nil"/>
            </w:tcBorders>
            <w:shd w:val="clear" w:color="000000" w:fill="D9D9D9"/>
            <w:noWrap/>
            <w:tcMar>
              <w:left w:w="57" w:type="dxa"/>
              <w:right w:w="57" w:type="dxa"/>
            </w:tcMar>
            <w:vAlign w:val="bottom"/>
            <w:hideMark/>
          </w:tcPr>
          <w:p w14:paraId="63D27858" w14:textId="77777777" w:rsidR="0042092C" w:rsidRPr="0042092C" w:rsidRDefault="0042092C" w:rsidP="0042092C">
            <w:pPr>
              <w:spacing w:before="0" w:after="0"/>
              <w:jc w:val="right"/>
              <w:rPr>
                <w:color w:val="auto"/>
                <w:sz w:val="16"/>
                <w:szCs w:val="16"/>
              </w:rPr>
            </w:pPr>
            <w:r w:rsidRPr="0042092C">
              <w:rPr>
                <w:color w:val="auto"/>
                <w:sz w:val="16"/>
                <w:szCs w:val="16"/>
              </w:rPr>
              <w:t>9,819</w:t>
            </w:r>
          </w:p>
        </w:tc>
        <w:tc>
          <w:tcPr>
            <w:tcW w:w="899" w:type="dxa"/>
            <w:tcBorders>
              <w:top w:val="nil"/>
              <w:left w:val="nil"/>
              <w:bottom w:val="nil"/>
              <w:right w:val="nil"/>
            </w:tcBorders>
            <w:shd w:val="clear" w:color="auto" w:fill="auto"/>
            <w:noWrap/>
            <w:tcMar>
              <w:left w:w="57" w:type="dxa"/>
              <w:right w:w="57" w:type="dxa"/>
            </w:tcMar>
            <w:vAlign w:val="bottom"/>
            <w:hideMark/>
          </w:tcPr>
          <w:p w14:paraId="1C5FC002" w14:textId="77777777" w:rsidR="0042092C" w:rsidRPr="0042092C" w:rsidRDefault="0042092C" w:rsidP="0042092C">
            <w:pPr>
              <w:spacing w:before="0" w:after="0"/>
              <w:jc w:val="right"/>
              <w:rPr>
                <w:color w:val="auto"/>
                <w:sz w:val="16"/>
                <w:szCs w:val="16"/>
              </w:rPr>
            </w:pPr>
            <w:r w:rsidRPr="0042092C">
              <w:rPr>
                <w:color w:val="auto"/>
                <w:sz w:val="16"/>
                <w:szCs w:val="16"/>
              </w:rPr>
              <w:t>9,819</w:t>
            </w:r>
          </w:p>
        </w:tc>
        <w:tc>
          <w:tcPr>
            <w:tcW w:w="899" w:type="dxa"/>
            <w:tcBorders>
              <w:top w:val="nil"/>
              <w:left w:val="nil"/>
              <w:bottom w:val="nil"/>
              <w:right w:val="nil"/>
            </w:tcBorders>
            <w:shd w:val="clear" w:color="auto" w:fill="auto"/>
            <w:noWrap/>
            <w:tcMar>
              <w:left w:w="57" w:type="dxa"/>
              <w:right w:w="57" w:type="dxa"/>
            </w:tcMar>
            <w:vAlign w:val="bottom"/>
            <w:hideMark/>
          </w:tcPr>
          <w:p w14:paraId="2055BFC1" w14:textId="77777777" w:rsidR="0042092C" w:rsidRPr="0042092C" w:rsidRDefault="0042092C" w:rsidP="0042092C">
            <w:pPr>
              <w:spacing w:before="0" w:after="0"/>
              <w:jc w:val="right"/>
              <w:rPr>
                <w:color w:val="auto"/>
                <w:sz w:val="16"/>
                <w:szCs w:val="16"/>
              </w:rPr>
            </w:pPr>
            <w:r w:rsidRPr="0042092C">
              <w:rPr>
                <w:color w:val="auto"/>
                <w:sz w:val="16"/>
                <w:szCs w:val="16"/>
              </w:rPr>
              <w:t>9,819</w:t>
            </w:r>
          </w:p>
        </w:tc>
        <w:tc>
          <w:tcPr>
            <w:tcW w:w="899" w:type="dxa"/>
            <w:tcBorders>
              <w:top w:val="nil"/>
              <w:left w:val="nil"/>
              <w:bottom w:val="nil"/>
              <w:right w:val="nil"/>
            </w:tcBorders>
            <w:shd w:val="clear" w:color="auto" w:fill="auto"/>
            <w:noWrap/>
            <w:tcMar>
              <w:left w:w="57" w:type="dxa"/>
              <w:right w:w="57" w:type="dxa"/>
            </w:tcMar>
            <w:vAlign w:val="bottom"/>
            <w:hideMark/>
          </w:tcPr>
          <w:p w14:paraId="14AA1D57" w14:textId="77777777" w:rsidR="0042092C" w:rsidRPr="0042092C" w:rsidRDefault="0042092C" w:rsidP="0042092C">
            <w:pPr>
              <w:spacing w:before="0" w:after="0"/>
              <w:jc w:val="right"/>
              <w:rPr>
                <w:color w:val="auto"/>
                <w:sz w:val="16"/>
                <w:szCs w:val="16"/>
              </w:rPr>
            </w:pPr>
            <w:r w:rsidRPr="0042092C">
              <w:rPr>
                <w:color w:val="auto"/>
                <w:sz w:val="16"/>
                <w:szCs w:val="16"/>
              </w:rPr>
              <w:t>9,819</w:t>
            </w:r>
          </w:p>
        </w:tc>
      </w:tr>
      <w:tr w:rsidR="0042092C" w:rsidRPr="0042092C" w14:paraId="7677AD1A"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3D14BB66" w14:textId="77777777" w:rsidR="0042092C" w:rsidRPr="0042092C" w:rsidRDefault="0042092C" w:rsidP="0042092C">
            <w:pPr>
              <w:spacing w:before="0" w:after="0"/>
              <w:ind w:leftChars="225" w:left="405"/>
              <w:rPr>
                <w:color w:val="auto"/>
                <w:sz w:val="16"/>
                <w:szCs w:val="16"/>
              </w:rPr>
            </w:pPr>
            <w:r w:rsidRPr="0042092C">
              <w:rPr>
                <w:color w:val="auto"/>
                <w:sz w:val="16"/>
                <w:szCs w:val="16"/>
              </w:rPr>
              <w:t xml:space="preserve">Expense adjustment </w:t>
            </w:r>
            <w:r w:rsidRPr="0042092C">
              <w:rPr>
                <w:color w:val="auto"/>
                <w:sz w:val="16"/>
                <w:szCs w:val="16"/>
                <w:vertAlign w:val="superscript"/>
              </w:rPr>
              <w:t>(</w:t>
            </w:r>
            <w:proofErr w:type="spellStart"/>
            <w:r w:rsidRPr="0042092C">
              <w:rPr>
                <w:color w:val="auto"/>
                <w:sz w:val="16"/>
                <w:szCs w:val="16"/>
                <w:vertAlign w:val="superscript"/>
              </w:rPr>
              <w:t>i</w:t>
            </w:r>
            <w:proofErr w:type="spellEnd"/>
            <w:r w:rsidRPr="0042092C">
              <w:rPr>
                <w:color w:val="auto"/>
                <w:sz w:val="16"/>
                <w:szCs w:val="16"/>
                <w:vertAlign w:val="superscript"/>
              </w:rPr>
              <w:t>)</w:t>
            </w:r>
          </w:p>
        </w:tc>
        <w:tc>
          <w:tcPr>
            <w:tcW w:w="918" w:type="dxa"/>
            <w:tcBorders>
              <w:top w:val="nil"/>
              <w:left w:val="nil"/>
              <w:bottom w:val="nil"/>
              <w:right w:val="nil"/>
            </w:tcBorders>
            <w:shd w:val="clear" w:color="auto" w:fill="auto"/>
            <w:noWrap/>
            <w:tcMar>
              <w:left w:w="57" w:type="dxa"/>
              <w:right w:w="57" w:type="dxa"/>
            </w:tcMar>
            <w:vAlign w:val="bottom"/>
            <w:hideMark/>
          </w:tcPr>
          <w:p w14:paraId="5F6618EF"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909" w:type="dxa"/>
            <w:tcBorders>
              <w:top w:val="nil"/>
              <w:left w:val="nil"/>
              <w:bottom w:val="nil"/>
              <w:right w:val="nil"/>
            </w:tcBorders>
            <w:shd w:val="clear" w:color="000000" w:fill="D9D9D9"/>
            <w:noWrap/>
            <w:tcMar>
              <w:left w:w="57" w:type="dxa"/>
              <w:right w:w="57" w:type="dxa"/>
            </w:tcMar>
            <w:vAlign w:val="bottom"/>
            <w:hideMark/>
          </w:tcPr>
          <w:p w14:paraId="6AD783B4"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68E48C65"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22EAF036" w14:textId="77777777" w:rsidR="0042092C" w:rsidRPr="0042092C" w:rsidRDefault="0042092C" w:rsidP="0042092C">
            <w:pPr>
              <w:spacing w:before="0" w:after="0"/>
              <w:jc w:val="right"/>
              <w:rPr>
                <w:color w:val="auto"/>
                <w:sz w:val="16"/>
                <w:szCs w:val="16"/>
              </w:rPr>
            </w:pPr>
            <w:r w:rsidRPr="0042092C">
              <w:rPr>
                <w:color w:val="auto"/>
                <w:sz w:val="16"/>
                <w:szCs w:val="16"/>
              </w:rPr>
              <w:t>-</w:t>
            </w:r>
          </w:p>
        </w:tc>
        <w:tc>
          <w:tcPr>
            <w:tcW w:w="899" w:type="dxa"/>
            <w:tcBorders>
              <w:top w:val="nil"/>
              <w:left w:val="nil"/>
              <w:bottom w:val="nil"/>
              <w:right w:val="nil"/>
            </w:tcBorders>
            <w:shd w:val="clear" w:color="auto" w:fill="auto"/>
            <w:noWrap/>
            <w:tcMar>
              <w:left w:w="57" w:type="dxa"/>
              <w:right w:w="57" w:type="dxa"/>
            </w:tcMar>
            <w:vAlign w:val="bottom"/>
            <w:hideMark/>
          </w:tcPr>
          <w:p w14:paraId="2A0E0236" w14:textId="77777777" w:rsidR="0042092C" w:rsidRPr="0042092C" w:rsidRDefault="0042092C" w:rsidP="0042092C">
            <w:pPr>
              <w:spacing w:before="0" w:after="0"/>
              <w:jc w:val="right"/>
              <w:rPr>
                <w:color w:val="auto"/>
                <w:sz w:val="16"/>
                <w:szCs w:val="16"/>
              </w:rPr>
            </w:pPr>
            <w:r w:rsidRPr="0042092C">
              <w:rPr>
                <w:color w:val="auto"/>
                <w:sz w:val="16"/>
                <w:szCs w:val="16"/>
              </w:rPr>
              <w:t>-</w:t>
            </w:r>
          </w:p>
        </w:tc>
      </w:tr>
      <w:tr w:rsidR="0042092C" w:rsidRPr="0042092C" w14:paraId="6A83354F"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6838B654" w14:textId="77777777" w:rsidR="0042092C" w:rsidRPr="0042092C" w:rsidRDefault="0042092C" w:rsidP="0042092C">
            <w:pPr>
              <w:spacing w:before="0" w:after="0"/>
              <w:ind w:leftChars="150" w:left="270"/>
              <w:rPr>
                <w:color w:val="auto"/>
                <w:sz w:val="16"/>
                <w:szCs w:val="16"/>
              </w:rPr>
            </w:pPr>
            <w:r w:rsidRPr="0042092C">
              <w:rPr>
                <w:color w:val="auto"/>
                <w:sz w:val="16"/>
                <w:szCs w:val="16"/>
              </w:rPr>
              <w:t>Special appropriations</w:t>
            </w:r>
          </w:p>
        </w:tc>
        <w:tc>
          <w:tcPr>
            <w:tcW w:w="918" w:type="dxa"/>
            <w:tcBorders>
              <w:top w:val="nil"/>
              <w:left w:val="nil"/>
              <w:bottom w:val="nil"/>
              <w:right w:val="nil"/>
            </w:tcBorders>
            <w:shd w:val="clear" w:color="auto" w:fill="auto"/>
            <w:noWrap/>
            <w:tcMar>
              <w:left w:w="57" w:type="dxa"/>
              <w:right w:w="57" w:type="dxa"/>
            </w:tcMar>
            <w:vAlign w:val="bottom"/>
            <w:hideMark/>
          </w:tcPr>
          <w:p w14:paraId="62B7A654" w14:textId="77777777" w:rsidR="0042092C" w:rsidRPr="0042092C" w:rsidRDefault="0042092C" w:rsidP="0042092C">
            <w:pPr>
              <w:spacing w:before="0" w:after="0"/>
              <w:ind w:firstLineChars="200" w:firstLine="32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3A74E159"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30F5DE56"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635F5C43"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5C635A11"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560B7EAB" w14:textId="77777777" w:rsidTr="0042092C">
        <w:trPr>
          <w:trHeight w:val="450"/>
          <w:jc w:val="center"/>
        </w:trPr>
        <w:tc>
          <w:tcPr>
            <w:tcW w:w="2796" w:type="dxa"/>
            <w:tcBorders>
              <w:top w:val="nil"/>
              <w:left w:val="nil"/>
              <w:bottom w:val="nil"/>
              <w:right w:val="nil"/>
            </w:tcBorders>
            <w:shd w:val="clear" w:color="auto" w:fill="auto"/>
            <w:vAlign w:val="bottom"/>
            <w:hideMark/>
          </w:tcPr>
          <w:p w14:paraId="46A1108F" w14:textId="77777777" w:rsidR="0042092C" w:rsidRPr="0042092C" w:rsidRDefault="0042092C" w:rsidP="0042092C">
            <w:pPr>
              <w:spacing w:before="0" w:after="0"/>
              <w:ind w:leftChars="225" w:left="405"/>
              <w:rPr>
                <w:color w:val="auto"/>
                <w:sz w:val="16"/>
                <w:szCs w:val="16"/>
              </w:rPr>
            </w:pPr>
            <w:r w:rsidRPr="0042092C">
              <w:rPr>
                <w:i/>
                <w:iCs/>
                <w:color w:val="auto"/>
                <w:sz w:val="16"/>
                <w:szCs w:val="16"/>
              </w:rPr>
              <w:t>National Health Act 1953</w:t>
            </w:r>
            <w:r w:rsidRPr="0042092C">
              <w:rPr>
                <w:color w:val="auto"/>
                <w:sz w:val="16"/>
                <w:szCs w:val="16"/>
              </w:rPr>
              <w:t xml:space="preserve"> </w:t>
            </w:r>
            <w:r w:rsidRPr="0042092C">
              <w:rPr>
                <w:color w:val="auto"/>
                <w:sz w:val="16"/>
                <w:szCs w:val="16"/>
              </w:rPr>
              <w:br/>
              <w:t>- essential vaccines</w:t>
            </w:r>
          </w:p>
        </w:tc>
        <w:tc>
          <w:tcPr>
            <w:tcW w:w="918" w:type="dxa"/>
            <w:tcBorders>
              <w:top w:val="nil"/>
              <w:left w:val="nil"/>
              <w:bottom w:val="nil"/>
              <w:right w:val="nil"/>
            </w:tcBorders>
            <w:shd w:val="clear" w:color="auto" w:fill="auto"/>
            <w:noWrap/>
            <w:tcMar>
              <w:left w:w="57" w:type="dxa"/>
              <w:right w:w="57" w:type="dxa"/>
            </w:tcMar>
            <w:vAlign w:val="bottom"/>
            <w:hideMark/>
          </w:tcPr>
          <w:p w14:paraId="2C051744" w14:textId="77777777" w:rsidR="0042092C" w:rsidRPr="0042092C" w:rsidRDefault="0042092C" w:rsidP="0042092C">
            <w:pPr>
              <w:spacing w:before="0" w:after="0"/>
              <w:jc w:val="right"/>
              <w:rPr>
                <w:color w:val="auto"/>
                <w:sz w:val="16"/>
                <w:szCs w:val="16"/>
              </w:rPr>
            </w:pPr>
            <w:r w:rsidRPr="0042092C">
              <w:rPr>
                <w:color w:val="auto"/>
                <w:sz w:val="16"/>
                <w:szCs w:val="16"/>
              </w:rPr>
              <w:t>442,058</w:t>
            </w:r>
          </w:p>
        </w:tc>
        <w:tc>
          <w:tcPr>
            <w:tcW w:w="909" w:type="dxa"/>
            <w:tcBorders>
              <w:top w:val="nil"/>
              <w:left w:val="nil"/>
              <w:bottom w:val="nil"/>
              <w:right w:val="nil"/>
            </w:tcBorders>
            <w:shd w:val="clear" w:color="000000" w:fill="D9D9D9"/>
            <w:noWrap/>
            <w:tcMar>
              <w:left w:w="57" w:type="dxa"/>
              <w:right w:w="57" w:type="dxa"/>
            </w:tcMar>
            <w:vAlign w:val="bottom"/>
            <w:hideMark/>
          </w:tcPr>
          <w:p w14:paraId="5A5A52F5" w14:textId="77777777" w:rsidR="0042092C" w:rsidRPr="0042092C" w:rsidRDefault="0042092C" w:rsidP="0042092C">
            <w:pPr>
              <w:spacing w:before="0" w:after="0"/>
              <w:jc w:val="right"/>
              <w:rPr>
                <w:color w:val="auto"/>
                <w:sz w:val="16"/>
                <w:szCs w:val="16"/>
              </w:rPr>
            </w:pPr>
            <w:r w:rsidRPr="0042092C">
              <w:rPr>
                <w:color w:val="auto"/>
                <w:sz w:val="16"/>
                <w:szCs w:val="16"/>
              </w:rPr>
              <w:t>440,827</w:t>
            </w:r>
          </w:p>
        </w:tc>
        <w:tc>
          <w:tcPr>
            <w:tcW w:w="899" w:type="dxa"/>
            <w:tcBorders>
              <w:top w:val="nil"/>
              <w:left w:val="nil"/>
              <w:bottom w:val="nil"/>
              <w:right w:val="nil"/>
            </w:tcBorders>
            <w:shd w:val="clear" w:color="auto" w:fill="auto"/>
            <w:noWrap/>
            <w:tcMar>
              <w:left w:w="57" w:type="dxa"/>
              <w:right w:w="57" w:type="dxa"/>
            </w:tcMar>
            <w:vAlign w:val="bottom"/>
            <w:hideMark/>
          </w:tcPr>
          <w:p w14:paraId="562D773D" w14:textId="77777777" w:rsidR="0042092C" w:rsidRPr="0042092C" w:rsidRDefault="0042092C" w:rsidP="0042092C">
            <w:pPr>
              <w:spacing w:before="0" w:after="0"/>
              <w:jc w:val="right"/>
              <w:rPr>
                <w:color w:val="auto"/>
                <w:sz w:val="16"/>
                <w:szCs w:val="16"/>
              </w:rPr>
            </w:pPr>
            <w:r w:rsidRPr="0042092C">
              <w:rPr>
                <w:color w:val="auto"/>
                <w:sz w:val="16"/>
                <w:szCs w:val="16"/>
              </w:rPr>
              <w:t>446,594</w:t>
            </w:r>
          </w:p>
        </w:tc>
        <w:tc>
          <w:tcPr>
            <w:tcW w:w="899" w:type="dxa"/>
            <w:tcBorders>
              <w:top w:val="nil"/>
              <w:left w:val="nil"/>
              <w:bottom w:val="nil"/>
              <w:right w:val="nil"/>
            </w:tcBorders>
            <w:shd w:val="clear" w:color="auto" w:fill="auto"/>
            <w:noWrap/>
            <w:tcMar>
              <w:left w:w="57" w:type="dxa"/>
              <w:right w:w="57" w:type="dxa"/>
            </w:tcMar>
            <w:vAlign w:val="bottom"/>
            <w:hideMark/>
          </w:tcPr>
          <w:p w14:paraId="29445121" w14:textId="77777777" w:rsidR="0042092C" w:rsidRPr="0042092C" w:rsidRDefault="0042092C" w:rsidP="0042092C">
            <w:pPr>
              <w:spacing w:before="0" w:after="0"/>
              <w:jc w:val="right"/>
              <w:rPr>
                <w:color w:val="auto"/>
                <w:sz w:val="16"/>
                <w:szCs w:val="16"/>
              </w:rPr>
            </w:pPr>
            <w:r w:rsidRPr="0042092C">
              <w:rPr>
                <w:color w:val="auto"/>
                <w:sz w:val="16"/>
                <w:szCs w:val="16"/>
              </w:rPr>
              <w:t>446,594</w:t>
            </w:r>
          </w:p>
        </w:tc>
        <w:tc>
          <w:tcPr>
            <w:tcW w:w="899" w:type="dxa"/>
            <w:tcBorders>
              <w:top w:val="nil"/>
              <w:left w:val="nil"/>
              <w:bottom w:val="nil"/>
              <w:right w:val="nil"/>
            </w:tcBorders>
            <w:shd w:val="clear" w:color="auto" w:fill="auto"/>
            <w:noWrap/>
            <w:tcMar>
              <w:left w:w="57" w:type="dxa"/>
              <w:right w:w="57" w:type="dxa"/>
            </w:tcMar>
            <w:vAlign w:val="bottom"/>
            <w:hideMark/>
          </w:tcPr>
          <w:p w14:paraId="3CE91D08" w14:textId="77777777" w:rsidR="0042092C" w:rsidRPr="0042092C" w:rsidRDefault="0042092C" w:rsidP="0042092C">
            <w:pPr>
              <w:spacing w:before="0" w:after="0"/>
              <w:jc w:val="right"/>
              <w:rPr>
                <w:color w:val="auto"/>
                <w:sz w:val="16"/>
                <w:szCs w:val="16"/>
              </w:rPr>
            </w:pPr>
            <w:r w:rsidRPr="0042092C">
              <w:rPr>
                <w:color w:val="auto"/>
                <w:sz w:val="16"/>
                <w:szCs w:val="16"/>
              </w:rPr>
              <w:t>446,594</w:t>
            </w:r>
          </w:p>
        </w:tc>
      </w:tr>
      <w:tr w:rsidR="0042092C" w:rsidRPr="0042092C" w14:paraId="1203C4A7"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120739E5" w14:textId="77777777" w:rsidR="0042092C" w:rsidRPr="0042092C" w:rsidRDefault="0042092C" w:rsidP="0042092C">
            <w:pPr>
              <w:spacing w:before="0" w:after="0"/>
              <w:ind w:leftChars="75" w:left="135"/>
              <w:rPr>
                <w:color w:val="auto"/>
                <w:sz w:val="16"/>
                <w:szCs w:val="16"/>
              </w:rPr>
            </w:pPr>
            <w:r w:rsidRPr="0042092C">
              <w:rPr>
                <w:color w:val="auto"/>
                <w:sz w:val="16"/>
                <w:szCs w:val="16"/>
              </w:rPr>
              <w:t>Departmental expenses</w:t>
            </w:r>
          </w:p>
        </w:tc>
        <w:tc>
          <w:tcPr>
            <w:tcW w:w="918" w:type="dxa"/>
            <w:tcBorders>
              <w:top w:val="nil"/>
              <w:left w:val="nil"/>
              <w:bottom w:val="nil"/>
              <w:right w:val="nil"/>
            </w:tcBorders>
            <w:shd w:val="clear" w:color="auto" w:fill="auto"/>
            <w:noWrap/>
            <w:tcMar>
              <w:left w:w="57" w:type="dxa"/>
              <w:right w:w="57" w:type="dxa"/>
            </w:tcMar>
            <w:vAlign w:val="bottom"/>
            <w:hideMark/>
          </w:tcPr>
          <w:p w14:paraId="3A44BC84" w14:textId="77777777" w:rsidR="0042092C" w:rsidRPr="0042092C" w:rsidRDefault="0042092C" w:rsidP="0042092C">
            <w:pPr>
              <w:spacing w:before="0" w:after="0"/>
              <w:ind w:firstLineChars="100" w:firstLine="160"/>
              <w:rPr>
                <w:color w:val="auto"/>
                <w:sz w:val="16"/>
                <w:szCs w:val="16"/>
              </w:rPr>
            </w:pPr>
          </w:p>
        </w:tc>
        <w:tc>
          <w:tcPr>
            <w:tcW w:w="909" w:type="dxa"/>
            <w:tcBorders>
              <w:top w:val="nil"/>
              <w:left w:val="nil"/>
              <w:bottom w:val="nil"/>
              <w:right w:val="nil"/>
            </w:tcBorders>
            <w:shd w:val="clear" w:color="000000" w:fill="D9D9D9"/>
            <w:noWrap/>
            <w:tcMar>
              <w:left w:w="57" w:type="dxa"/>
              <w:right w:w="57" w:type="dxa"/>
            </w:tcMar>
            <w:vAlign w:val="bottom"/>
            <w:hideMark/>
          </w:tcPr>
          <w:p w14:paraId="7A00E1E0" w14:textId="77777777" w:rsidR="0042092C" w:rsidRPr="0042092C" w:rsidRDefault="0042092C" w:rsidP="0042092C">
            <w:pPr>
              <w:spacing w:before="0" w:after="0"/>
              <w:jc w:val="right"/>
              <w:rPr>
                <w:color w:val="auto"/>
                <w:sz w:val="16"/>
                <w:szCs w:val="16"/>
              </w:rPr>
            </w:pPr>
            <w:r w:rsidRPr="0042092C">
              <w:rPr>
                <w:color w:val="auto"/>
                <w:sz w:val="16"/>
                <w:szCs w:val="16"/>
              </w:rPr>
              <w:t> </w:t>
            </w:r>
          </w:p>
        </w:tc>
        <w:tc>
          <w:tcPr>
            <w:tcW w:w="899" w:type="dxa"/>
            <w:tcBorders>
              <w:top w:val="nil"/>
              <w:left w:val="nil"/>
              <w:bottom w:val="nil"/>
              <w:right w:val="nil"/>
            </w:tcBorders>
            <w:shd w:val="clear" w:color="auto" w:fill="auto"/>
            <w:noWrap/>
            <w:tcMar>
              <w:left w:w="57" w:type="dxa"/>
              <w:right w:w="57" w:type="dxa"/>
            </w:tcMar>
            <w:vAlign w:val="bottom"/>
            <w:hideMark/>
          </w:tcPr>
          <w:p w14:paraId="0EE64AFC" w14:textId="77777777" w:rsidR="0042092C" w:rsidRPr="0042092C" w:rsidRDefault="0042092C" w:rsidP="0042092C">
            <w:pPr>
              <w:spacing w:before="0" w:after="0"/>
              <w:jc w:val="right"/>
              <w:rPr>
                <w:color w:val="auto"/>
                <w:sz w:val="16"/>
                <w:szCs w:val="16"/>
              </w:rPr>
            </w:pPr>
          </w:p>
        </w:tc>
        <w:tc>
          <w:tcPr>
            <w:tcW w:w="899" w:type="dxa"/>
            <w:tcBorders>
              <w:top w:val="nil"/>
              <w:left w:val="nil"/>
              <w:bottom w:val="nil"/>
              <w:right w:val="nil"/>
            </w:tcBorders>
            <w:shd w:val="clear" w:color="auto" w:fill="auto"/>
            <w:noWrap/>
            <w:tcMar>
              <w:left w:w="57" w:type="dxa"/>
              <w:right w:w="57" w:type="dxa"/>
            </w:tcMar>
            <w:vAlign w:val="bottom"/>
            <w:hideMark/>
          </w:tcPr>
          <w:p w14:paraId="33D75BB9" w14:textId="77777777" w:rsidR="0042092C" w:rsidRPr="0042092C" w:rsidRDefault="0042092C" w:rsidP="0042092C">
            <w:pPr>
              <w:spacing w:before="0" w:after="0"/>
              <w:jc w:val="right"/>
              <w:rPr>
                <w:rFonts w:ascii="Times New Roman" w:hAnsi="Times New Roman" w:cs="Times New Roman"/>
                <w:color w:val="auto"/>
                <w:sz w:val="20"/>
                <w:szCs w:val="20"/>
              </w:rPr>
            </w:pPr>
          </w:p>
        </w:tc>
        <w:tc>
          <w:tcPr>
            <w:tcW w:w="899" w:type="dxa"/>
            <w:tcBorders>
              <w:top w:val="nil"/>
              <w:left w:val="nil"/>
              <w:bottom w:val="nil"/>
              <w:right w:val="nil"/>
            </w:tcBorders>
            <w:shd w:val="clear" w:color="auto" w:fill="auto"/>
            <w:noWrap/>
            <w:tcMar>
              <w:left w:w="57" w:type="dxa"/>
              <w:right w:w="57" w:type="dxa"/>
            </w:tcMar>
            <w:vAlign w:val="bottom"/>
            <w:hideMark/>
          </w:tcPr>
          <w:p w14:paraId="67E68832" w14:textId="77777777" w:rsidR="0042092C" w:rsidRPr="0042092C" w:rsidRDefault="0042092C" w:rsidP="0042092C">
            <w:pPr>
              <w:spacing w:before="0" w:after="0"/>
              <w:jc w:val="right"/>
              <w:rPr>
                <w:rFonts w:ascii="Times New Roman" w:hAnsi="Times New Roman" w:cs="Times New Roman"/>
                <w:color w:val="auto"/>
                <w:sz w:val="20"/>
                <w:szCs w:val="20"/>
              </w:rPr>
            </w:pPr>
          </w:p>
        </w:tc>
      </w:tr>
      <w:tr w:rsidR="0042092C" w:rsidRPr="0042092C" w14:paraId="53CB1DB8" w14:textId="77777777" w:rsidTr="0042092C">
        <w:trPr>
          <w:trHeight w:val="225"/>
          <w:jc w:val="center"/>
        </w:trPr>
        <w:tc>
          <w:tcPr>
            <w:tcW w:w="2796" w:type="dxa"/>
            <w:tcBorders>
              <w:top w:val="nil"/>
              <w:left w:val="nil"/>
              <w:bottom w:val="nil"/>
              <w:right w:val="nil"/>
            </w:tcBorders>
            <w:shd w:val="clear" w:color="auto" w:fill="auto"/>
            <w:noWrap/>
            <w:vAlign w:val="bottom"/>
            <w:hideMark/>
          </w:tcPr>
          <w:p w14:paraId="359BF005" w14:textId="77777777" w:rsidR="0042092C" w:rsidRPr="0042092C" w:rsidRDefault="0042092C" w:rsidP="0042092C">
            <w:pPr>
              <w:spacing w:before="0" w:after="0"/>
              <w:ind w:leftChars="150" w:left="270"/>
              <w:rPr>
                <w:color w:val="auto"/>
                <w:sz w:val="16"/>
                <w:szCs w:val="16"/>
              </w:rPr>
            </w:pPr>
            <w:r w:rsidRPr="0042092C">
              <w:rPr>
                <w:color w:val="auto"/>
                <w:sz w:val="16"/>
                <w:szCs w:val="16"/>
              </w:rPr>
              <w:t xml:space="preserve">Departmental appropriation </w:t>
            </w:r>
            <w:r w:rsidRPr="0042092C">
              <w:rPr>
                <w:color w:val="auto"/>
                <w:sz w:val="16"/>
                <w:szCs w:val="16"/>
                <w:vertAlign w:val="superscript"/>
              </w:rPr>
              <w:t>(c)</w:t>
            </w:r>
          </w:p>
        </w:tc>
        <w:tc>
          <w:tcPr>
            <w:tcW w:w="918" w:type="dxa"/>
            <w:tcBorders>
              <w:top w:val="nil"/>
              <w:left w:val="nil"/>
              <w:bottom w:val="nil"/>
              <w:right w:val="nil"/>
            </w:tcBorders>
            <w:shd w:val="clear" w:color="auto" w:fill="auto"/>
            <w:noWrap/>
            <w:tcMar>
              <w:left w:w="57" w:type="dxa"/>
              <w:right w:w="57" w:type="dxa"/>
            </w:tcMar>
            <w:vAlign w:val="bottom"/>
            <w:hideMark/>
          </w:tcPr>
          <w:p w14:paraId="3A53AFE1" w14:textId="77777777" w:rsidR="0042092C" w:rsidRPr="0042092C" w:rsidRDefault="0042092C" w:rsidP="0042092C">
            <w:pPr>
              <w:spacing w:before="0" w:after="0"/>
              <w:jc w:val="right"/>
              <w:rPr>
                <w:color w:val="auto"/>
                <w:sz w:val="16"/>
                <w:szCs w:val="16"/>
              </w:rPr>
            </w:pPr>
            <w:r w:rsidRPr="0042092C">
              <w:rPr>
                <w:color w:val="auto"/>
                <w:sz w:val="16"/>
                <w:szCs w:val="16"/>
              </w:rPr>
              <w:t>6,633</w:t>
            </w:r>
          </w:p>
        </w:tc>
        <w:tc>
          <w:tcPr>
            <w:tcW w:w="909" w:type="dxa"/>
            <w:tcBorders>
              <w:top w:val="nil"/>
              <w:left w:val="nil"/>
              <w:bottom w:val="nil"/>
              <w:right w:val="nil"/>
            </w:tcBorders>
            <w:shd w:val="clear" w:color="000000" w:fill="D9D9D9"/>
            <w:noWrap/>
            <w:tcMar>
              <w:left w:w="57" w:type="dxa"/>
              <w:right w:w="57" w:type="dxa"/>
            </w:tcMar>
            <w:vAlign w:val="bottom"/>
            <w:hideMark/>
          </w:tcPr>
          <w:p w14:paraId="378F3031" w14:textId="77777777" w:rsidR="0042092C" w:rsidRPr="0042092C" w:rsidRDefault="0042092C" w:rsidP="0042092C">
            <w:pPr>
              <w:spacing w:before="0" w:after="0"/>
              <w:jc w:val="right"/>
              <w:rPr>
                <w:color w:val="auto"/>
                <w:sz w:val="16"/>
                <w:szCs w:val="16"/>
              </w:rPr>
            </w:pPr>
            <w:r w:rsidRPr="0042092C">
              <w:rPr>
                <w:color w:val="auto"/>
                <w:sz w:val="16"/>
                <w:szCs w:val="16"/>
              </w:rPr>
              <w:t>6,485</w:t>
            </w:r>
          </w:p>
        </w:tc>
        <w:tc>
          <w:tcPr>
            <w:tcW w:w="899" w:type="dxa"/>
            <w:tcBorders>
              <w:top w:val="nil"/>
              <w:left w:val="nil"/>
              <w:bottom w:val="nil"/>
              <w:right w:val="nil"/>
            </w:tcBorders>
            <w:shd w:val="clear" w:color="auto" w:fill="auto"/>
            <w:noWrap/>
            <w:tcMar>
              <w:left w:w="57" w:type="dxa"/>
              <w:right w:w="57" w:type="dxa"/>
            </w:tcMar>
            <w:vAlign w:val="bottom"/>
            <w:hideMark/>
          </w:tcPr>
          <w:p w14:paraId="0B389F65" w14:textId="77777777" w:rsidR="0042092C" w:rsidRPr="0042092C" w:rsidRDefault="0042092C" w:rsidP="0042092C">
            <w:pPr>
              <w:spacing w:before="0" w:after="0"/>
              <w:jc w:val="right"/>
              <w:rPr>
                <w:color w:val="auto"/>
                <w:sz w:val="16"/>
                <w:szCs w:val="16"/>
              </w:rPr>
            </w:pPr>
            <w:r w:rsidRPr="0042092C">
              <w:rPr>
                <w:color w:val="auto"/>
                <w:sz w:val="16"/>
                <w:szCs w:val="16"/>
              </w:rPr>
              <w:t>6,483</w:t>
            </w:r>
          </w:p>
        </w:tc>
        <w:tc>
          <w:tcPr>
            <w:tcW w:w="899" w:type="dxa"/>
            <w:tcBorders>
              <w:top w:val="nil"/>
              <w:left w:val="nil"/>
              <w:bottom w:val="nil"/>
              <w:right w:val="nil"/>
            </w:tcBorders>
            <w:shd w:val="clear" w:color="auto" w:fill="auto"/>
            <w:noWrap/>
            <w:tcMar>
              <w:left w:w="57" w:type="dxa"/>
              <w:right w:w="57" w:type="dxa"/>
            </w:tcMar>
            <w:vAlign w:val="bottom"/>
            <w:hideMark/>
          </w:tcPr>
          <w:p w14:paraId="1647A622" w14:textId="77777777" w:rsidR="0042092C" w:rsidRPr="0042092C" w:rsidRDefault="0042092C" w:rsidP="0042092C">
            <w:pPr>
              <w:spacing w:before="0" w:after="0"/>
              <w:jc w:val="right"/>
              <w:rPr>
                <w:color w:val="auto"/>
                <w:sz w:val="16"/>
                <w:szCs w:val="16"/>
              </w:rPr>
            </w:pPr>
            <w:r w:rsidRPr="0042092C">
              <w:rPr>
                <w:color w:val="auto"/>
                <w:sz w:val="16"/>
                <w:szCs w:val="16"/>
              </w:rPr>
              <w:t>6,513</w:t>
            </w:r>
          </w:p>
        </w:tc>
        <w:tc>
          <w:tcPr>
            <w:tcW w:w="899" w:type="dxa"/>
            <w:tcBorders>
              <w:top w:val="nil"/>
              <w:left w:val="nil"/>
              <w:bottom w:val="nil"/>
              <w:right w:val="nil"/>
            </w:tcBorders>
            <w:shd w:val="clear" w:color="auto" w:fill="auto"/>
            <w:noWrap/>
            <w:tcMar>
              <w:left w:w="57" w:type="dxa"/>
              <w:right w:w="57" w:type="dxa"/>
            </w:tcMar>
            <w:vAlign w:val="bottom"/>
            <w:hideMark/>
          </w:tcPr>
          <w:p w14:paraId="55BD21EB" w14:textId="77777777" w:rsidR="0042092C" w:rsidRPr="0042092C" w:rsidRDefault="0042092C" w:rsidP="0042092C">
            <w:pPr>
              <w:spacing w:before="0" w:after="0"/>
              <w:jc w:val="right"/>
              <w:rPr>
                <w:color w:val="auto"/>
                <w:sz w:val="16"/>
                <w:szCs w:val="16"/>
              </w:rPr>
            </w:pPr>
            <w:r w:rsidRPr="0042092C">
              <w:rPr>
                <w:color w:val="auto"/>
                <w:sz w:val="16"/>
                <w:szCs w:val="16"/>
              </w:rPr>
              <w:t>6,540</w:t>
            </w:r>
          </w:p>
        </w:tc>
      </w:tr>
      <w:tr w:rsidR="0042092C" w:rsidRPr="0042092C" w14:paraId="55A7D4EB" w14:textId="77777777" w:rsidTr="0042092C">
        <w:trPr>
          <w:trHeight w:val="624"/>
          <w:jc w:val="center"/>
        </w:trPr>
        <w:tc>
          <w:tcPr>
            <w:tcW w:w="2796" w:type="dxa"/>
            <w:tcBorders>
              <w:top w:val="nil"/>
              <w:left w:val="nil"/>
              <w:bottom w:val="nil"/>
              <w:right w:val="nil"/>
            </w:tcBorders>
            <w:shd w:val="clear" w:color="auto" w:fill="auto"/>
            <w:vAlign w:val="bottom"/>
            <w:hideMark/>
          </w:tcPr>
          <w:p w14:paraId="32400485" w14:textId="1CAE68E3" w:rsidR="0042092C" w:rsidRPr="0042092C" w:rsidRDefault="0042092C" w:rsidP="0042092C">
            <w:pPr>
              <w:spacing w:before="0" w:after="0"/>
              <w:ind w:leftChars="150" w:left="270"/>
              <w:rPr>
                <w:color w:val="auto"/>
                <w:sz w:val="16"/>
                <w:szCs w:val="16"/>
              </w:rPr>
            </w:pPr>
            <w:r w:rsidRPr="0042092C">
              <w:rPr>
                <w:color w:val="auto"/>
                <w:sz w:val="16"/>
                <w:szCs w:val="16"/>
              </w:rPr>
              <w:t>Expenses not requiring a</w:t>
            </w:r>
            <w:r>
              <w:rPr>
                <w:color w:val="auto"/>
                <w:sz w:val="16"/>
                <w:szCs w:val="16"/>
              </w:rPr>
              <w:t>ppropriation in the Budget year </w:t>
            </w:r>
            <w:r w:rsidRPr="0042092C">
              <w:rPr>
                <w:color w:val="auto"/>
                <w:sz w:val="16"/>
                <w:szCs w:val="16"/>
                <w:vertAlign w:val="superscript"/>
              </w:rPr>
              <w:t>(d)</w:t>
            </w:r>
          </w:p>
        </w:tc>
        <w:tc>
          <w:tcPr>
            <w:tcW w:w="918" w:type="dxa"/>
            <w:tcBorders>
              <w:top w:val="nil"/>
              <w:left w:val="nil"/>
              <w:bottom w:val="nil"/>
              <w:right w:val="nil"/>
            </w:tcBorders>
            <w:shd w:val="clear" w:color="auto" w:fill="auto"/>
            <w:noWrap/>
            <w:tcMar>
              <w:left w:w="57" w:type="dxa"/>
              <w:right w:w="57" w:type="dxa"/>
            </w:tcMar>
            <w:vAlign w:val="bottom"/>
            <w:hideMark/>
          </w:tcPr>
          <w:p w14:paraId="5CFA32A3" w14:textId="77777777" w:rsidR="0042092C" w:rsidRPr="0042092C" w:rsidRDefault="0042092C" w:rsidP="0042092C">
            <w:pPr>
              <w:spacing w:before="0" w:after="0"/>
              <w:jc w:val="right"/>
              <w:rPr>
                <w:color w:val="auto"/>
                <w:sz w:val="16"/>
                <w:szCs w:val="16"/>
              </w:rPr>
            </w:pPr>
            <w:r w:rsidRPr="0042092C">
              <w:rPr>
                <w:color w:val="auto"/>
                <w:sz w:val="16"/>
                <w:szCs w:val="16"/>
              </w:rPr>
              <w:t>531</w:t>
            </w:r>
          </w:p>
        </w:tc>
        <w:tc>
          <w:tcPr>
            <w:tcW w:w="909" w:type="dxa"/>
            <w:tcBorders>
              <w:top w:val="nil"/>
              <w:left w:val="nil"/>
              <w:bottom w:val="nil"/>
              <w:right w:val="nil"/>
            </w:tcBorders>
            <w:shd w:val="clear" w:color="000000" w:fill="D9D9D9"/>
            <w:noWrap/>
            <w:tcMar>
              <w:left w:w="57" w:type="dxa"/>
              <w:right w:w="57" w:type="dxa"/>
            </w:tcMar>
            <w:vAlign w:val="bottom"/>
            <w:hideMark/>
          </w:tcPr>
          <w:p w14:paraId="05758CA2" w14:textId="77777777" w:rsidR="0042092C" w:rsidRPr="0042092C" w:rsidRDefault="0042092C" w:rsidP="0042092C">
            <w:pPr>
              <w:spacing w:before="0" w:after="0"/>
              <w:jc w:val="right"/>
              <w:rPr>
                <w:color w:val="auto"/>
                <w:sz w:val="16"/>
                <w:szCs w:val="16"/>
              </w:rPr>
            </w:pPr>
            <w:r w:rsidRPr="0042092C">
              <w:rPr>
                <w:color w:val="auto"/>
                <w:sz w:val="16"/>
                <w:szCs w:val="16"/>
              </w:rPr>
              <w:t>795</w:t>
            </w:r>
          </w:p>
        </w:tc>
        <w:tc>
          <w:tcPr>
            <w:tcW w:w="899" w:type="dxa"/>
            <w:tcBorders>
              <w:top w:val="nil"/>
              <w:left w:val="nil"/>
              <w:bottom w:val="nil"/>
              <w:right w:val="nil"/>
            </w:tcBorders>
            <w:shd w:val="clear" w:color="auto" w:fill="auto"/>
            <w:noWrap/>
            <w:tcMar>
              <w:left w:w="57" w:type="dxa"/>
              <w:right w:w="57" w:type="dxa"/>
            </w:tcMar>
            <w:vAlign w:val="bottom"/>
            <w:hideMark/>
          </w:tcPr>
          <w:p w14:paraId="09A0C82B" w14:textId="77777777" w:rsidR="0042092C" w:rsidRPr="0042092C" w:rsidRDefault="0042092C" w:rsidP="0042092C">
            <w:pPr>
              <w:spacing w:before="0" w:after="0"/>
              <w:jc w:val="right"/>
              <w:rPr>
                <w:color w:val="auto"/>
                <w:sz w:val="16"/>
                <w:szCs w:val="16"/>
              </w:rPr>
            </w:pPr>
            <w:r w:rsidRPr="0042092C">
              <w:rPr>
                <w:color w:val="auto"/>
                <w:sz w:val="16"/>
                <w:szCs w:val="16"/>
              </w:rPr>
              <w:t>728</w:t>
            </w:r>
          </w:p>
        </w:tc>
        <w:tc>
          <w:tcPr>
            <w:tcW w:w="899" w:type="dxa"/>
            <w:tcBorders>
              <w:top w:val="nil"/>
              <w:left w:val="nil"/>
              <w:bottom w:val="nil"/>
              <w:right w:val="nil"/>
            </w:tcBorders>
            <w:shd w:val="clear" w:color="auto" w:fill="auto"/>
            <w:noWrap/>
            <w:tcMar>
              <w:left w:w="57" w:type="dxa"/>
              <w:right w:w="57" w:type="dxa"/>
            </w:tcMar>
            <w:vAlign w:val="bottom"/>
            <w:hideMark/>
          </w:tcPr>
          <w:p w14:paraId="782BDEA0" w14:textId="77777777" w:rsidR="0042092C" w:rsidRPr="0042092C" w:rsidRDefault="0042092C" w:rsidP="0042092C">
            <w:pPr>
              <w:spacing w:before="0" w:after="0"/>
              <w:jc w:val="right"/>
              <w:rPr>
                <w:color w:val="auto"/>
                <w:sz w:val="16"/>
                <w:szCs w:val="16"/>
              </w:rPr>
            </w:pPr>
            <w:r w:rsidRPr="0042092C">
              <w:rPr>
                <w:color w:val="auto"/>
                <w:sz w:val="16"/>
                <w:szCs w:val="16"/>
              </w:rPr>
              <w:t>688</w:t>
            </w:r>
          </w:p>
        </w:tc>
        <w:tc>
          <w:tcPr>
            <w:tcW w:w="899" w:type="dxa"/>
            <w:tcBorders>
              <w:top w:val="nil"/>
              <w:left w:val="nil"/>
              <w:bottom w:val="nil"/>
              <w:right w:val="nil"/>
            </w:tcBorders>
            <w:shd w:val="clear" w:color="auto" w:fill="auto"/>
            <w:noWrap/>
            <w:tcMar>
              <w:left w:w="57" w:type="dxa"/>
              <w:right w:w="57" w:type="dxa"/>
            </w:tcMar>
            <w:vAlign w:val="bottom"/>
            <w:hideMark/>
          </w:tcPr>
          <w:p w14:paraId="4608AB7E" w14:textId="77777777" w:rsidR="0042092C" w:rsidRPr="0042092C" w:rsidRDefault="0042092C" w:rsidP="0042092C">
            <w:pPr>
              <w:spacing w:before="0" w:after="0"/>
              <w:jc w:val="right"/>
              <w:rPr>
                <w:color w:val="auto"/>
                <w:sz w:val="16"/>
                <w:szCs w:val="16"/>
              </w:rPr>
            </w:pPr>
            <w:r w:rsidRPr="0042092C">
              <w:rPr>
                <w:color w:val="auto"/>
                <w:sz w:val="16"/>
                <w:szCs w:val="16"/>
              </w:rPr>
              <w:t>609</w:t>
            </w:r>
          </w:p>
        </w:tc>
      </w:tr>
      <w:tr w:rsidR="0042092C" w:rsidRPr="0042092C" w14:paraId="5809F8DE" w14:textId="77777777" w:rsidTr="0042092C">
        <w:trPr>
          <w:trHeight w:val="300"/>
          <w:jc w:val="center"/>
        </w:trPr>
        <w:tc>
          <w:tcPr>
            <w:tcW w:w="2796" w:type="dxa"/>
            <w:tcBorders>
              <w:top w:val="nil"/>
              <w:left w:val="nil"/>
              <w:bottom w:val="nil"/>
              <w:right w:val="nil"/>
            </w:tcBorders>
            <w:shd w:val="clear" w:color="auto" w:fill="auto"/>
            <w:noWrap/>
            <w:vAlign w:val="bottom"/>
            <w:hideMark/>
          </w:tcPr>
          <w:p w14:paraId="22A0148A" w14:textId="77777777" w:rsidR="0042092C" w:rsidRPr="0042092C" w:rsidRDefault="0042092C" w:rsidP="0042092C">
            <w:pPr>
              <w:spacing w:before="0" w:after="0"/>
              <w:ind w:leftChars="75" w:left="135"/>
              <w:rPr>
                <w:b/>
                <w:bCs/>
                <w:color w:val="auto"/>
                <w:sz w:val="16"/>
                <w:szCs w:val="16"/>
              </w:rPr>
            </w:pPr>
            <w:r w:rsidRPr="0042092C">
              <w:rPr>
                <w:b/>
                <w:bCs/>
                <w:color w:val="auto"/>
                <w:sz w:val="16"/>
                <w:szCs w:val="16"/>
              </w:rPr>
              <w:t>Total for Program 1.9</w:t>
            </w:r>
          </w:p>
        </w:tc>
        <w:tc>
          <w:tcPr>
            <w:tcW w:w="918"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7240AB73" w14:textId="77777777" w:rsidR="0042092C" w:rsidRPr="0042092C" w:rsidRDefault="0042092C" w:rsidP="0042092C">
            <w:pPr>
              <w:spacing w:before="0" w:after="0"/>
              <w:jc w:val="right"/>
              <w:rPr>
                <w:b/>
                <w:bCs/>
                <w:color w:val="auto"/>
                <w:sz w:val="16"/>
                <w:szCs w:val="16"/>
              </w:rPr>
            </w:pPr>
            <w:r w:rsidRPr="0042092C">
              <w:rPr>
                <w:b/>
                <w:bCs/>
                <w:color w:val="auto"/>
                <w:sz w:val="16"/>
                <w:szCs w:val="16"/>
              </w:rPr>
              <w:t>484,763</w:t>
            </w:r>
          </w:p>
        </w:tc>
        <w:tc>
          <w:tcPr>
            <w:tcW w:w="90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35FE5942" w14:textId="77777777" w:rsidR="0042092C" w:rsidRPr="0042092C" w:rsidRDefault="0042092C" w:rsidP="0042092C">
            <w:pPr>
              <w:spacing w:before="0" w:after="0"/>
              <w:jc w:val="right"/>
              <w:rPr>
                <w:b/>
                <w:bCs/>
                <w:color w:val="auto"/>
                <w:sz w:val="16"/>
                <w:szCs w:val="16"/>
              </w:rPr>
            </w:pPr>
            <w:r w:rsidRPr="0042092C">
              <w:rPr>
                <w:b/>
                <w:bCs/>
                <w:color w:val="auto"/>
                <w:sz w:val="16"/>
                <w:szCs w:val="16"/>
              </w:rPr>
              <w:t>479,487</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79B303D4" w14:textId="77777777" w:rsidR="0042092C" w:rsidRPr="0042092C" w:rsidRDefault="0042092C" w:rsidP="0042092C">
            <w:pPr>
              <w:spacing w:before="0" w:after="0"/>
              <w:jc w:val="right"/>
              <w:rPr>
                <w:b/>
                <w:bCs/>
                <w:color w:val="auto"/>
                <w:sz w:val="16"/>
                <w:szCs w:val="16"/>
              </w:rPr>
            </w:pPr>
            <w:r w:rsidRPr="0042092C">
              <w:rPr>
                <w:b/>
                <w:bCs/>
                <w:color w:val="auto"/>
                <w:sz w:val="16"/>
                <w:szCs w:val="16"/>
              </w:rPr>
              <w:t>484,934</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63A6C776" w14:textId="77777777" w:rsidR="0042092C" w:rsidRPr="0042092C" w:rsidRDefault="0042092C" w:rsidP="0042092C">
            <w:pPr>
              <w:spacing w:before="0" w:after="0"/>
              <w:jc w:val="right"/>
              <w:rPr>
                <w:b/>
                <w:bCs/>
                <w:color w:val="auto"/>
                <w:sz w:val="16"/>
                <w:szCs w:val="16"/>
              </w:rPr>
            </w:pPr>
            <w:r w:rsidRPr="0042092C">
              <w:rPr>
                <w:b/>
                <w:bCs/>
                <w:color w:val="auto"/>
                <w:sz w:val="16"/>
                <w:szCs w:val="16"/>
              </w:rPr>
              <w:t>485,514</w:t>
            </w:r>
          </w:p>
        </w:tc>
        <w:tc>
          <w:tcPr>
            <w:tcW w:w="899" w:type="dxa"/>
            <w:tcBorders>
              <w:top w:val="single" w:sz="4" w:space="0" w:color="auto"/>
              <w:left w:val="nil"/>
              <w:bottom w:val="single" w:sz="4" w:space="0" w:color="auto"/>
              <w:right w:val="nil"/>
            </w:tcBorders>
            <w:shd w:val="clear" w:color="auto" w:fill="auto"/>
            <w:noWrap/>
            <w:tcMar>
              <w:left w:w="57" w:type="dxa"/>
              <w:right w:w="57" w:type="dxa"/>
            </w:tcMar>
            <w:vAlign w:val="bottom"/>
            <w:hideMark/>
          </w:tcPr>
          <w:p w14:paraId="103EE5FE" w14:textId="77777777" w:rsidR="0042092C" w:rsidRPr="0042092C" w:rsidRDefault="0042092C" w:rsidP="0042092C">
            <w:pPr>
              <w:spacing w:before="0" w:after="0"/>
              <w:jc w:val="right"/>
              <w:rPr>
                <w:b/>
                <w:bCs/>
                <w:color w:val="auto"/>
                <w:sz w:val="16"/>
                <w:szCs w:val="16"/>
              </w:rPr>
            </w:pPr>
            <w:r w:rsidRPr="0042092C">
              <w:rPr>
                <w:b/>
                <w:bCs/>
                <w:color w:val="auto"/>
                <w:sz w:val="16"/>
                <w:szCs w:val="16"/>
              </w:rPr>
              <w:t>485,897</w:t>
            </w:r>
          </w:p>
        </w:tc>
      </w:tr>
    </w:tbl>
    <w:p w14:paraId="5F22D941" w14:textId="77777777" w:rsidR="00CB6782" w:rsidRPr="00685583" w:rsidRDefault="00CB6782" w:rsidP="00CB6782">
      <w:pPr>
        <w:pStyle w:val="Tablenumberandreference"/>
        <w:keepNext/>
        <w:pageBreakBefore/>
        <w:spacing w:before="120"/>
        <w:rPr>
          <w:color w:val="auto"/>
        </w:rPr>
      </w:pPr>
      <w:r w:rsidRPr="00685583">
        <w:rPr>
          <w:color w:val="auto"/>
        </w:rPr>
        <w:lastRenderedPageBreak/>
        <w:t>Table 2.1.1: Budgeted Expenses for Outcome 1</w:t>
      </w:r>
      <w:r>
        <w:rPr>
          <w:color w:val="auto"/>
        </w:rPr>
        <w:t xml:space="preserve"> (continued)</w:t>
      </w:r>
    </w:p>
    <w:tbl>
      <w:tblPr>
        <w:tblW w:w="7320" w:type="dxa"/>
        <w:jc w:val="center"/>
        <w:tblLayout w:type="fixed"/>
        <w:tblLook w:val="04A0" w:firstRow="1" w:lastRow="0" w:firstColumn="1" w:lastColumn="0" w:noHBand="0" w:noVBand="1"/>
        <w:tblCaption w:val="Table 2.1.1: Budgeted Espenses for Outcome 1 (continued)"/>
        <w:tblDescription w:val="This table shows how much Health intends to spend on achieving Outcome 1 in 2021-22 and across the forward estimates, broken down by Program."/>
      </w:tblPr>
      <w:tblGrid>
        <w:gridCol w:w="2779"/>
        <w:gridCol w:w="919"/>
        <w:gridCol w:w="919"/>
        <w:gridCol w:w="901"/>
        <w:gridCol w:w="901"/>
        <w:gridCol w:w="901"/>
      </w:tblGrid>
      <w:tr w:rsidR="00966D63" w:rsidRPr="00966D63" w14:paraId="544C18BF" w14:textId="77777777" w:rsidTr="00966D63">
        <w:trPr>
          <w:trHeight w:val="765"/>
          <w:jc w:val="center"/>
        </w:trPr>
        <w:tc>
          <w:tcPr>
            <w:tcW w:w="2779" w:type="dxa"/>
            <w:tcBorders>
              <w:top w:val="single" w:sz="4" w:space="0" w:color="auto"/>
              <w:left w:val="nil"/>
              <w:bottom w:val="nil"/>
              <w:right w:val="nil"/>
            </w:tcBorders>
            <w:shd w:val="clear" w:color="auto" w:fill="auto"/>
            <w:tcMar>
              <w:left w:w="57" w:type="dxa"/>
              <w:right w:w="57" w:type="dxa"/>
            </w:tcMar>
            <w:hideMark/>
          </w:tcPr>
          <w:p w14:paraId="68641A8A" w14:textId="77777777" w:rsidR="00966D63" w:rsidRPr="00966D63" w:rsidRDefault="00966D63" w:rsidP="00966D63">
            <w:pPr>
              <w:spacing w:after="0"/>
              <w:jc w:val="right"/>
              <w:rPr>
                <w:b/>
                <w:bCs/>
                <w:color w:val="auto"/>
                <w:sz w:val="16"/>
                <w:szCs w:val="16"/>
              </w:rPr>
            </w:pPr>
            <w:r w:rsidRPr="00966D63">
              <w:rPr>
                <w:b/>
                <w:bCs/>
                <w:color w:val="auto"/>
                <w:sz w:val="16"/>
                <w:szCs w:val="16"/>
              </w:rPr>
              <w:t> </w:t>
            </w:r>
          </w:p>
        </w:tc>
        <w:tc>
          <w:tcPr>
            <w:tcW w:w="919" w:type="dxa"/>
            <w:tcBorders>
              <w:top w:val="single" w:sz="4" w:space="0" w:color="auto"/>
              <w:left w:val="nil"/>
              <w:bottom w:val="single" w:sz="4" w:space="0" w:color="auto"/>
              <w:right w:val="nil"/>
            </w:tcBorders>
            <w:shd w:val="clear" w:color="auto" w:fill="auto"/>
            <w:tcMar>
              <w:left w:w="57" w:type="dxa"/>
              <w:right w:w="57" w:type="dxa"/>
            </w:tcMar>
            <w:hideMark/>
          </w:tcPr>
          <w:p w14:paraId="635B0B34" w14:textId="77777777" w:rsidR="00966D63" w:rsidRPr="00966D63" w:rsidRDefault="00966D63" w:rsidP="00966D63">
            <w:pPr>
              <w:spacing w:after="0"/>
              <w:jc w:val="right"/>
              <w:rPr>
                <w:b/>
                <w:bCs/>
                <w:color w:val="auto"/>
                <w:sz w:val="16"/>
                <w:szCs w:val="16"/>
              </w:rPr>
            </w:pPr>
            <w:r w:rsidRPr="00966D63">
              <w:rPr>
                <w:b/>
                <w:bCs/>
                <w:color w:val="auto"/>
                <w:sz w:val="16"/>
                <w:szCs w:val="16"/>
              </w:rPr>
              <w:t>2021–22</w:t>
            </w:r>
            <w:r w:rsidRPr="00966D63">
              <w:rPr>
                <w:b/>
                <w:bCs/>
                <w:color w:val="auto"/>
                <w:sz w:val="16"/>
                <w:szCs w:val="16"/>
              </w:rPr>
              <w:br/>
              <w:t>Estimated actual</w:t>
            </w:r>
            <w:r w:rsidRPr="00966D63">
              <w:rPr>
                <w:b/>
                <w:bCs/>
                <w:color w:val="auto"/>
                <w:sz w:val="16"/>
                <w:szCs w:val="16"/>
              </w:rPr>
              <w:br/>
            </w:r>
            <w:r w:rsidRPr="00966D63">
              <w:rPr>
                <w:color w:val="auto"/>
                <w:sz w:val="16"/>
                <w:szCs w:val="16"/>
              </w:rPr>
              <w:t>$'000</w:t>
            </w:r>
          </w:p>
        </w:tc>
        <w:tc>
          <w:tcPr>
            <w:tcW w:w="919" w:type="dxa"/>
            <w:tcBorders>
              <w:top w:val="single" w:sz="4" w:space="0" w:color="auto"/>
              <w:left w:val="nil"/>
              <w:bottom w:val="single" w:sz="4" w:space="0" w:color="auto"/>
              <w:right w:val="nil"/>
            </w:tcBorders>
            <w:shd w:val="clear" w:color="000000" w:fill="D9D9D9"/>
            <w:tcMar>
              <w:left w:w="57" w:type="dxa"/>
              <w:right w:w="57" w:type="dxa"/>
            </w:tcMar>
            <w:hideMark/>
          </w:tcPr>
          <w:p w14:paraId="36C9B963" w14:textId="77777777" w:rsidR="00966D63" w:rsidRPr="00966D63" w:rsidRDefault="00966D63" w:rsidP="00966D63">
            <w:pPr>
              <w:spacing w:after="0"/>
              <w:jc w:val="right"/>
              <w:rPr>
                <w:b/>
                <w:bCs/>
                <w:color w:val="auto"/>
                <w:sz w:val="16"/>
                <w:szCs w:val="16"/>
              </w:rPr>
            </w:pPr>
            <w:r w:rsidRPr="00966D63">
              <w:rPr>
                <w:b/>
                <w:bCs/>
                <w:color w:val="auto"/>
                <w:sz w:val="16"/>
                <w:szCs w:val="16"/>
              </w:rPr>
              <w:t>2022–23 Budget</w:t>
            </w:r>
            <w:r w:rsidRPr="00966D63">
              <w:rPr>
                <w:b/>
                <w:bCs/>
                <w:color w:val="auto"/>
                <w:sz w:val="16"/>
                <w:szCs w:val="16"/>
              </w:rPr>
              <w:br/>
            </w:r>
            <w:r w:rsidRPr="00966D63">
              <w:rPr>
                <w:b/>
                <w:bCs/>
                <w:color w:val="auto"/>
                <w:sz w:val="16"/>
                <w:szCs w:val="16"/>
              </w:rPr>
              <w:br/>
            </w:r>
            <w:r w:rsidRPr="00966D63">
              <w:rPr>
                <w:color w:val="auto"/>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73D9C93A" w14:textId="77777777" w:rsidR="00966D63" w:rsidRPr="00966D63" w:rsidRDefault="00966D63" w:rsidP="00966D63">
            <w:pPr>
              <w:spacing w:after="0"/>
              <w:jc w:val="right"/>
              <w:rPr>
                <w:b/>
                <w:bCs/>
                <w:color w:val="auto"/>
                <w:sz w:val="16"/>
                <w:szCs w:val="16"/>
              </w:rPr>
            </w:pPr>
            <w:r w:rsidRPr="00966D63">
              <w:rPr>
                <w:b/>
                <w:bCs/>
                <w:color w:val="auto"/>
                <w:sz w:val="16"/>
                <w:szCs w:val="16"/>
              </w:rPr>
              <w:t>2023–24 Forward estimate</w:t>
            </w:r>
            <w:r w:rsidRPr="00966D63">
              <w:rPr>
                <w:b/>
                <w:bCs/>
                <w:color w:val="auto"/>
                <w:sz w:val="16"/>
                <w:szCs w:val="16"/>
              </w:rPr>
              <w:br/>
            </w:r>
            <w:r w:rsidRPr="00966D63">
              <w:rPr>
                <w:color w:val="auto"/>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0509B41B" w14:textId="77777777" w:rsidR="00966D63" w:rsidRPr="00966D63" w:rsidRDefault="00966D63" w:rsidP="00966D63">
            <w:pPr>
              <w:spacing w:after="0"/>
              <w:jc w:val="right"/>
              <w:rPr>
                <w:b/>
                <w:bCs/>
                <w:color w:val="auto"/>
                <w:sz w:val="16"/>
                <w:szCs w:val="16"/>
              </w:rPr>
            </w:pPr>
            <w:r w:rsidRPr="00966D63">
              <w:rPr>
                <w:b/>
                <w:bCs/>
                <w:color w:val="auto"/>
                <w:sz w:val="16"/>
                <w:szCs w:val="16"/>
              </w:rPr>
              <w:t>2024–25 Forward estimate</w:t>
            </w:r>
            <w:r w:rsidRPr="00966D63">
              <w:rPr>
                <w:b/>
                <w:bCs/>
                <w:color w:val="auto"/>
                <w:sz w:val="16"/>
                <w:szCs w:val="16"/>
              </w:rPr>
              <w:br/>
            </w:r>
            <w:r w:rsidRPr="00966D63">
              <w:rPr>
                <w:color w:val="auto"/>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604F1100" w14:textId="77777777" w:rsidR="00966D63" w:rsidRPr="00966D63" w:rsidRDefault="00966D63" w:rsidP="00966D63">
            <w:pPr>
              <w:spacing w:after="0"/>
              <w:jc w:val="right"/>
              <w:rPr>
                <w:b/>
                <w:bCs/>
                <w:color w:val="auto"/>
                <w:sz w:val="16"/>
                <w:szCs w:val="16"/>
              </w:rPr>
            </w:pPr>
            <w:r w:rsidRPr="00966D63">
              <w:rPr>
                <w:b/>
                <w:bCs/>
                <w:color w:val="auto"/>
                <w:sz w:val="16"/>
                <w:szCs w:val="16"/>
              </w:rPr>
              <w:t>2025–26 Forward estimate</w:t>
            </w:r>
            <w:r w:rsidRPr="00966D63">
              <w:rPr>
                <w:b/>
                <w:bCs/>
                <w:color w:val="auto"/>
                <w:sz w:val="16"/>
                <w:szCs w:val="16"/>
              </w:rPr>
              <w:br/>
            </w:r>
            <w:r w:rsidRPr="00966D63">
              <w:rPr>
                <w:color w:val="auto"/>
                <w:sz w:val="16"/>
                <w:szCs w:val="16"/>
              </w:rPr>
              <w:t>$'000</w:t>
            </w:r>
          </w:p>
        </w:tc>
      </w:tr>
      <w:tr w:rsidR="00966D63" w:rsidRPr="00966D63" w14:paraId="67B8828C" w14:textId="77777777" w:rsidTr="00966D63">
        <w:trPr>
          <w:trHeight w:val="375"/>
          <w:jc w:val="center"/>
        </w:trPr>
        <w:tc>
          <w:tcPr>
            <w:tcW w:w="7320" w:type="dxa"/>
            <w:gridSpan w:val="6"/>
            <w:tcBorders>
              <w:top w:val="nil"/>
              <w:left w:val="nil"/>
              <w:bottom w:val="nil"/>
              <w:right w:val="nil"/>
            </w:tcBorders>
            <w:shd w:val="clear" w:color="auto" w:fill="auto"/>
            <w:vAlign w:val="bottom"/>
            <w:hideMark/>
          </w:tcPr>
          <w:p w14:paraId="065E38DF" w14:textId="77777777" w:rsidR="00966D63" w:rsidRPr="00966D63" w:rsidRDefault="00966D63" w:rsidP="00966D63">
            <w:pPr>
              <w:spacing w:before="0" w:after="0"/>
              <w:rPr>
                <w:b/>
                <w:bCs/>
                <w:color w:val="auto"/>
                <w:sz w:val="16"/>
                <w:szCs w:val="16"/>
              </w:rPr>
            </w:pPr>
            <w:r w:rsidRPr="00966D63">
              <w:rPr>
                <w:b/>
                <w:bCs/>
                <w:color w:val="auto"/>
                <w:sz w:val="16"/>
                <w:szCs w:val="16"/>
              </w:rPr>
              <w:t>Outcome 1 totals by appropriation type</w:t>
            </w:r>
          </w:p>
        </w:tc>
      </w:tr>
      <w:tr w:rsidR="00966D63" w:rsidRPr="00966D63" w14:paraId="41011926" w14:textId="77777777" w:rsidTr="00966D63">
        <w:trPr>
          <w:trHeight w:val="300"/>
          <w:jc w:val="center"/>
        </w:trPr>
        <w:tc>
          <w:tcPr>
            <w:tcW w:w="2779" w:type="dxa"/>
            <w:tcBorders>
              <w:top w:val="nil"/>
              <w:left w:val="nil"/>
              <w:bottom w:val="nil"/>
              <w:right w:val="nil"/>
            </w:tcBorders>
            <w:shd w:val="clear" w:color="auto" w:fill="auto"/>
            <w:noWrap/>
            <w:vAlign w:val="bottom"/>
            <w:hideMark/>
          </w:tcPr>
          <w:p w14:paraId="2C753643" w14:textId="77777777" w:rsidR="00966D63" w:rsidRPr="00966D63" w:rsidRDefault="00966D63" w:rsidP="00966D63">
            <w:pPr>
              <w:spacing w:before="0" w:after="0"/>
              <w:ind w:leftChars="75" w:left="135"/>
              <w:rPr>
                <w:color w:val="auto"/>
                <w:sz w:val="16"/>
                <w:szCs w:val="16"/>
              </w:rPr>
            </w:pPr>
            <w:r w:rsidRPr="00966D63">
              <w:rPr>
                <w:color w:val="auto"/>
                <w:sz w:val="16"/>
                <w:szCs w:val="16"/>
              </w:rPr>
              <w:t>Administered expenses</w:t>
            </w:r>
          </w:p>
        </w:tc>
        <w:tc>
          <w:tcPr>
            <w:tcW w:w="919" w:type="dxa"/>
            <w:tcBorders>
              <w:top w:val="nil"/>
              <w:left w:val="nil"/>
              <w:bottom w:val="nil"/>
              <w:right w:val="nil"/>
            </w:tcBorders>
            <w:shd w:val="clear" w:color="auto" w:fill="auto"/>
            <w:noWrap/>
            <w:tcMar>
              <w:left w:w="57" w:type="dxa"/>
              <w:right w:w="57" w:type="dxa"/>
            </w:tcMar>
            <w:vAlign w:val="bottom"/>
            <w:hideMark/>
          </w:tcPr>
          <w:p w14:paraId="27AF766B" w14:textId="77777777" w:rsidR="00966D63" w:rsidRPr="00966D63" w:rsidRDefault="00966D63" w:rsidP="00966D63">
            <w:pPr>
              <w:spacing w:before="0" w:after="0"/>
              <w:ind w:firstLineChars="100" w:firstLine="160"/>
              <w:rPr>
                <w:color w:val="auto"/>
                <w:sz w:val="16"/>
                <w:szCs w:val="16"/>
              </w:rPr>
            </w:pPr>
          </w:p>
        </w:tc>
        <w:tc>
          <w:tcPr>
            <w:tcW w:w="919" w:type="dxa"/>
            <w:tcBorders>
              <w:top w:val="nil"/>
              <w:left w:val="nil"/>
              <w:bottom w:val="nil"/>
              <w:right w:val="nil"/>
            </w:tcBorders>
            <w:shd w:val="clear" w:color="000000" w:fill="D9D9D9"/>
            <w:noWrap/>
            <w:tcMar>
              <w:left w:w="57" w:type="dxa"/>
              <w:right w:w="57" w:type="dxa"/>
            </w:tcMar>
            <w:vAlign w:val="bottom"/>
            <w:hideMark/>
          </w:tcPr>
          <w:p w14:paraId="115EA4B1" w14:textId="77777777" w:rsidR="00966D63" w:rsidRPr="00966D63" w:rsidRDefault="00966D63" w:rsidP="00966D63">
            <w:pPr>
              <w:spacing w:before="0" w:after="0"/>
              <w:jc w:val="right"/>
              <w:rPr>
                <w:b/>
                <w:bCs/>
                <w:color w:val="auto"/>
                <w:sz w:val="16"/>
                <w:szCs w:val="16"/>
              </w:rPr>
            </w:pPr>
            <w:r w:rsidRPr="00966D63">
              <w:rPr>
                <w:b/>
                <w:bCs/>
                <w:color w:val="auto"/>
                <w:sz w:val="16"/>
                <w:szCs w:val="16"/>
              </w:rPr>
              <w:t> </w:t>
            </w:r>
          </w:p>
        </w:tc>
        <w:tc>
          <w:tcPr>
            <w:tcW w:w="901" w:type="dxa"/>
            <w:tcBorders>
              <w:top w:val="nil"/>
              <w:left w:val="nil"/>
              <w:bottom w:val="nil"/>
              <w:right w:val="nil"/>
            </w:tcBorders>
            <w:shd w:val="clear" w:color="auto" w:fill="auto"/>
            <w:noWrap/>
            <w:tcMar>
              <w:left w:w="57" w:type="dxa"/>
              <w:right w:w="57" w:type="dxa"/>
            </w:tcMar>
            <w:vAlign w:val="bottom"/>
            <w:hideMark/>
          </w:tcPr>
          <w:p w14:paraId="76E0C827" w14:textId="77777777" w:rsidR="00966D63" w:rsidRPr="00966D63" w:rsidRDefault="00966D63" w:rsidP="00966D63">
            <w:pPr>
              <w:spacing w:before="0" w:after="0"/>
              <w:jc w:val="right"/>
              <w:rPr>
                <w:b/>
                <w:bCs/>
                <w:color w:val="auto"/>
                <w:sz w:val="16"/>
                <w:szCs w:val="16"/>
              </w:rPr>
            </w:pPr>
          </w:p>
        </w:tc>
        <w:tc>
          <w:tcPr>
            <w:tcW w:w="901" w:type="dxa"/>
            <w:tcBorders>
              <w:top w:val="nil"/>
              <w:left w:val="nil"/>
              <w:bottom w:val="nil"/>
              <w:right w:val="nil"/>
            </w:tcBorders>
            <w:shd w:val="clear" w:color="auto" w:fill="auto"/>
            <w:noWrap/>
            <w:tcMar>
              <w:left w:w="57" w:type="dxa"/>
              <w:right w:w="57" w:type="dxa"/>
            </w:tcMar>
            <w:vAlign w:val="bottom"/>
            <w:hideMark/>
          </w:tcPr>
          <w:p w14:paraId="286B86AB" w14:textId="77777777" w:rsidR="00966D63" w:rsidRPr="00966D63" w:rsidRDefault="00966D63" w:rsidP="00966D63">
            <w:pPr>
              <w:spacing w:before="0" w:after="0"/>
              <w:jc w:val="right"/>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noWrap/>
            <w:tcMar>
              <w:left w:w="57" w:type="dxa"/>
              <w:right w:w="57" w:type="dxa"/>
            </w:tcMar>
            <w:vAlign w:val="bottom"/>
            <w:hideMark/>
          </w:tcPr>
          <w:p w14:paraId="401A0365" w14:textId="77777777" w:rsidR="00966D63" w:rsidRPr="00966D63" w:rsidRDefault="00966D63" w:rsidP="00966D63">
            <w:pPr>
              <w:spacing w:before="0" w:after="0"/>
              <w:jc w:val="right"/>
              <w:rPr>
                <w:rFonts w:ascii="Times New Roman" w:hAnsi="Times New Roman" w:cs="Times New Roman"/>
                <w:color w:val="auto"/>
                <w:sz w:val="20"/>
                <w:szCs w:val="20"/>
              </w:rPr>
            </w:pPr>
          </w:p>
        </w:tc>
      </w:tr>
      <w:tr w:rsidR="00966D63" w:rsidRPr="00966D63" w14:paraId="0DA568CC"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622EB060" w14:textId="77777777" w:rsidR="00966D63" w:rsidRPr="00966D63" w:rsidRDefault="00966D63" w:rsidP="00966D63">
            <w:pPr>
              <w:spacing w:before="0" w:after="0"/>
              <w:ind w:leftChars="150" w:left="270"/>
              <w:rPr>
                <w:color w:val="auto"/>
                <w:sz w:val="16"/>
                <w:szCs w:val="16"/>
              </w:rPr>
            </w:pPr>
            <w:r w:rsidRPr="00966D63">
              <w:rPr>
                <w:color w:val="auto"/>
                <w:sz w:val="16"/>
                <w:szCs w:val="16"/>
              </w:rPr>
              <w:t>Ordinary annual services</w:t>
            </w:r>
            <w:r w:rsidRPr="00966D63">
              <w:rPr>
                <w:color w:val="auto"/>
                <w:sz w:val="16"/>
                <w:szCs w:val="16"/>
                <w:vertAlign w:val="superscript"/>
              </w:rPr>
              <w:t xml:space="preserve"> (b)</w:t>
            </w:r>
          </w:p>
        </w:tc>
        <w:tc>
          <w:tcPr>
            <w:tcW w:w="919" w:type="dxa"/>
            <w:tcBorders>
              <w:top w:val="nil"/>
              <w:left w:val="nil"/>
              <w:bottom w:val="nil"/>
              <w:right w:val="nil"/>
            </w:tcBorders>
            <w:shd w:val="clear" w:color="auto" w:fill="auto"/>
            <w:noWrap/>
            <w:tcMar>
              <w:left w:w="57" w:type="dxa"/>
              <w:right w:w="57" w:type="dxa"/>
            </w:tcMar>
            <w:vAlign w:val="bottom"/>
            <w:hideMark/>
          </w:tcPr>
          <w:p w14:paraId="34315075" w14:textId="77777777" w:rsidR="00966D63" w:rsidRPr="00966D63" w:rsidRDefault="00966D63" w:rsidP="00966D63">
            <w:pPr>
              <w:spacing w:before="0" w:after="0"/>
              <w:jc w:val="right"/>
              <w:rPr>
                <w:color w:val="auto"/>
                <w:sz w:val="16"/>
                <w:szCs w:val="16"/>
              </w:rPr>
            </w:pPr>
            <w:r w:rsidRPr="00966D63">
              <w:rPr>
                <w:color w:val="auto"/>
                <w:sz w:val="16"/>
                <w:szCs w:val="16"/>
              </w:rPr>
              <w:t>10,760,055</w:t>
            </w:r>
          </w:p>
        </w:tc>
        <w:tc>
          <w:tcPr>
            <w:tcW w:w="919" w:type="dxa"/>
            <w:tcBorders>
              <w:top w:val="nil"/>
              <w:left w:val="nil"/>
              <w:bottom w:val="nil"/>
              <w:right w:val="nil"/>
            </w:tcBorders>
            <w:shd w:val="clear" w:color="000000" w:fill="D9D9D9"/>
            <w:noWrap/>
            <w:tcMar>
              <w:left w:w="57" w:type="dxa"/>
              <w:right w:w="57" w:type="dxa"/>
            </w:tcMar>
            <w:vAlign w:val="bottom"/>
            <w:hideMark/>
          </w:tcPr>
          <w:p w14:paraId="62E85C76" w14:textId="77777777" w:rsidR="00966D63" w:rsidRPr="00966D63" w:rsidRDefault="00966D63" w:rsidP="00966D63">
            <w:pPr>
              <w:spacing w:before="0" w:after="0"/>
              <w:jc w:val="right"/>
              <w:rPr>
                <w:color w:val="auto"/>
                <w:sz w:val="16"/>
                <w:szCs w:val="16"/>
              </w:rPr>
            </w:pPr>
            <w:r w:rsidRPr="00966D63">
              <w:rPr>
                <w:color w:val="auto"/>
                <w:sz w:val="16"/>
                <w:szCs w:val="16"/>
              </w:rPr>
              <w:t>10,484,232</w:t>
            </w:r>
          </w:p>
        </w:tc>
        <w:tc>
          <w:tcPr>
            <w:tcW w:w="901" w:type="dxa"/>
            <w:tcBorders>
              <w:top w:val="nil"/>
              <w:left w:val="nil"/>
              <w:bottom w:val="nil"/>
              <w:right w:val="nil"/>
            </w:tcBorders>
            <w:shd w:val="clear" w:color="auto" w:fill="auto"/>
            <w:noWrap/>
            <w:tcMar>
              <w:left w:w="57" w:type="dxa"/>
              <w:right w:w="57" w:type="dxa"/>
            </w:tcMar>
            <w:vAlign w:val="bottom"/>
            <w:hideMark/>
          </w:tcPr>
          <w:p w14:paraId="07301168" w14:textId="77777777" w:rsidR="00966D63" w:rsidRPr="00966D63" w:rsidRDefault="00966D63" w:rsidP="00966D63">
            <w:pPr>
              <w:spacing w:before="0" w:after="0"/>
              <w:jc w:val="right"/>
              <w:rPr>
                <w:color w:val="auto"/>
                <w:sz w:val="16"/>
                <w:szCs w:val="16"/>
              </w:rPr>
            </w:pPr>
            <w:r w:rsidRPr="00966D63">
              <w:rPr>
                <w:color w:val="auto"/>
                <w:sz w:val="16"/>
                <w:szCs w:val="16"/>
              </w:rPr>
              <w:t>6,359,946</w:t>
            </w:r>
          </w:p>
        </w:tc>
        <w:tc>
          <w:tcPr>
            <w:tcW w:w="901" w:type="dxa"/>
            <w:tcBorders>
              <w:top w:val="nil"/>
              <w:left w:val="nil"/>
              <w:bottom w:val="nil"/>
              <w:right w:val="nil"/>
            </w:tcBorders>
            <w:shd w:val="clear" w:color="auto" w:fill="auto"/>
            <w:noWrap/>
            <w:tcMar>
              <w:left w:w="57" w:type="dxa"/>
              <w:right w:w="57" w:type="dxa"/>
            </w:tcMar>
            <w:vAlign w:val="bottom"/>
            <w:hideMark/>
          </w:tcPr>
          <w:p w14:paraId="5A1883E5" w14:textId="77777777" w:rsidR="00966D63" w:rsidRPr="00966D63" w:rsidRDefault="00966D63" w:rsidP="00966D63">
            <w:pPr>
              <w:spacing w:before="0" w:after="0"/>
              <w:jc w:val="right"/>
              <w:rPr>
                <w:color w:val="auto"/>
                <w:sz w:val="16"/>
                <w:szCs w:val="16"/>
              </w:rPr>
            </w:pPr>
            <w:r w:rsidRPr="00966D63">
              <w:rPr>
                <w:color w:val="auto"/>
                <w:sz w:val="16"/>
                <w:szCs w:val="16"/>
              </w:rPr>
              <w:t>5,951,470</w:t>
            </w:r>
          </w:p>
        </w:tc>
        <w:tc>
          <w:tcPr>
            <w:tcW w:w="901" w:type="dxa"/>
            <w:tcBorders>
              <w:top w:val="nil"/>
              <w:left w:val="nil"/>
              <w:bottom w:val="nil"/>
              <w:right w:val="nil"/>
            </w:tcBorders>
            <w:shd w:val="clear" w:color="auto" w:fill="auto"/>
            <w:noWrap/>
            <w:tcMar>
              <w:left w:w="57" w:type="dxa"/>
              <w:right w:w="57" w:type="dxa"/>
            </w:tcMar>
            <w:vAlign w:val="bottom"/>
            <w:hideMark/>
          </w:tcPr>
          <w:p w14:paraId="7988BC1C" w14:textId="77777777" w:rsidR="00966D63" w:rsidRPr="00966D63" w:rsidRDefault="00966D63" w:rsidP="00966D63">
            <w:pPr>
              <w:spacing w:before="0" w:after="0"/>
              <w:jc w:val="right"/>
              <w:rPr>
                <w:color w:val="auto"/>
                <w:sz w:val="16"/>
                <w:szCs w:val="16"/>
              </w:rPr>
            </w:pPr>
            <w:r w:rsidRPr="00966D63">
              <w:rPr>
                <w:color w:val="auto"/>
                <w:sz w:val="16"/>
                <w:szCs w:val="16"/>
              </w:rPr>
              <w:t>5,925,926</w:t>
            </w:r>
          </w:p>
        </w:tc>
      </w:tr>
      <w:tr w:rsidR="00966D63" w:rsidRPr="00966D63" w14:paraId="23F56195"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1DB21FDF" w14:textId="77777777" w:rsidR="00966D63" w:rsidRPr="00966D63" w:rsidRDefault="00966D63" w:rsidP="00966D63">
            <w:pPr>
              <w:spacing w:before="0" w:after="0"/>
              <w:ind w:firstLineChars="300" w:firstLine="480"/>
              <w:rPr>
                <w:color w:val="auto"/>
                <w:sz w:val="16"/>
                <w:szCs w:val="16"/>
              </w:rPr>
            </w:pPr>
            <w:r w:rsidRPr="00966D63">
              <w:rPr>
                <w:color w:val="auto"/>
                <w:sz w:val="16"/>
                <w:szCs w:val="16"/>
              </w:rPr>
              <w:t>to Special accounts</w:t>
            </w:r>
          </w:p>
        </w:tc>
        <w:tc>
          <w:tcPr>
            <w:tcW w:w="919" w:type="dxa"/>
            <w:tcBorders>
              <w:top w:val="nil"/>
              <w:left w:val="nil"/>
              <w:bottom w:val="nil"/>
              <w:right w:val="nil"/>
            </w:tcBorders>
            <w:shd w:val="clear" w:color="auto" w:fill="auto"/>
            <w:noWrap/>
            <w:tcMar>
              <w:left w:w="57" w:type="dxa"/>
              <w:right w:w="57" w:type="dxa"/>
            </w:tcMar>
            <w:vAlign w:val="bottom"/>
            <w:hideMark/>
          </w:tcPr>
          <w:p w14:paraId="557D659C" w14:textId="77777777" w:rsidR="00966D63" w:rsidRPr="00966D63" w:rsidRDefault="00966D63" w:rsidP="00966D63">
            <w:pPr>
              <w:spacing w:before="0" w:after="0"/>
              <w:jc w:val="right"/>
              <w:rPr>
                <w:color w:val="auto"/>
                <w:sz w:val="16"/>
                <w:szCs w:val="16"/>
              </w:rPr>
            </w:pPr>
            <w:r w:rsidRPr="00966D63">
              <w:rPr>
                <w:color w:val="auto"/>
                <w:sz w:val="16"/>
                <w:szCs w:val="16"/>
              </w:rPr>
              <w:t>(7,133)</w:t>
            </w:r>
          </w:p>
        </w:tc>
        <w:tc>
          <w:tcPr>
            <w:tcW w:w="919" w:type="dxa"/>
            <w:tcBorders>
              <w:top w:val="nil"/>
              <w:left w:val="nil"/>
              <w:bottom w:val="nil"/>
              <w:right w:val="nil"/>
            </w:tcBorders>
            <w:shd w:val="clear" w:color="000000" w:fill="D9D9D9"/>
            <w:noWrap/>
            <w:tcMar>
              <w:left w:w="57" w:type="dxa"/>
              <w:right w:w="57" w:type="dxa"/>
            </w:tcMar>
            <w:vAlign w:val="bottom"/>
            <w:hideMark/>
          </w:tcPr>
          <w:p w14:paraId="46AFE2F8" w14:textId="77777777" w:rsidR="00966D63" w:rsidRPr="00966D63" w:rsidRDefault="00966D63" w:rsidP="00966D63">
            <w:pPr>
              <w:spacing w:before="0" w:after="0"/>
              <w:jc w:val="right"/>
              <w:rPr>
                <w:color w:val="auto"/>
                <w:sz w:val="16"/>
                <w:szCs w:val="16"/>
              </w:rPr>
            </w:pPr>
            <w:r w:rsidRPr="00966D63">
              <w:rPr>
                <w:color w:val="auto"/>
                <w:sz w:val="16"/>
                <w:szCs w:val="16"/>
              </w:rPr>
              <w:t>(7,133)</w:t>
            </w:r>
          </w:p>
        </w:tc>
        <w:tc>
          <w:tcPr>
            <w:tcW w:w="901" w:type="dxa"/>
            <w:tcBorders>
              <w:top w:val="nil"/>
              <w:left w:val="nil"/>
              <w:bottom w:val="nil"/>
              <w:right w:val="nil"/>
            </w:tcBorders>
            <w:shd w:val="clear" w:color="auto" w:fill="auto"/>
            <w:noWrap/>
            <w:tcMar>
              <w:left w:w="57" w:type="dxa"/>
              <w:right w:w="57" w:type="dxa"/>
            </w:tcMar>
            <w:vAlign w:val="bottom"/>
            <w:hideMark/>
          </w:tcPr>
          <w:p w14:paraId="64A32101" w14:textId="77777777" w:rsidR="00966D63" w:rsidRPr="00966D63" w:rsidRDefault="00966D63" w:rsidP="00966D63">
            <w:pPr>
              <w:spacing w:before="0" w:after="0"/>
              <w:jc w:val="right"/>
              <w:rPr>
                <w:color w:val="auto"/>
                <w:sz w:val="16"/>
                <w:szCs w:val="16"/>
              </w:rPr>
            </w:pPr>
            <w:r w:rsidRPr="00966D63">
              <w:rPr>
                <w:color w:val="auto"/>
                <w:sz w:val="16"/>
                <w:szCs w:val="16"/>
              </w:rPr>
              <w:t>(7,133)</w:t>
            </w:r>
          </w:p>
        </w:tc>
        <w:tc>
          <w:tcPr>
            <w:tcW w:w="901" w:type="dxa"/>
            <w:tcBorders>
              <w:top w:val="nil"/>
              <w:left w:val="nil"/>
              <w:bottom w:val="nil"/>
              <w:right w:val="nil"/>
            </w:tcBorders>
            <w:shd w:val="clear" w:color="auto" w:fill="auto"/>
            <w:noWrap/>
            <w:tcMar>
              <w:left w:w="57" w:type="dxa"/>
              <w:right w:w="57" w:type="dxa"/>
            </w:tcMar>
            <w:vAlign w:val="bottom"/>
            <w:hideMark/>
          </w:tcPr>
          <w:p w14:paraId="61360631" w14:textId="77777777" w:rsidR="00966D63" w:rsidRPr="00966D63" w:rsidRDefault="00966D63" w:rsidP="00966D63">
            <w:pPr>
              <w:spacing w:before="0" w:after="0"/>
              <w:jc w:val="right"/>
              <w:rPr>
                <w:color w:val="auto"/>
                <w:sz w:val="16"/>
                <w:szCs w:val="16"/>
              </w:rPr>
            </w:pPr>
            <w:r w:rsidRPr="00966D63">
              <w:rPr>
                <w:color w:val="auto"/>
                <w:sz w:val="16"/>
                <w:szCs w:val="16"/>
              </w:rPr>
              <w:t>(7,133)</w:t>
            </w:r>
          </w:p>
        </w:tc>
        <w:tc>
          <w:tcPr>
            <w:tcW w:w="901" w:type="dxa"/>
            <w:tcBorders>
              <w:top w:val="nil"/>
              <w:left w:val="nil"/>
              <w:bottom w:val="nil"/>
              <w:right w:val="nil"/>
            </w:tcBorders>
            <w:shd w:val="clear" w:color="auto" w:fill="auto"/>
            <w:noWrap/>
            <w:tcMar>
              <w:left w:w="57" w:type="dxa"/>
              <w:right w:w="57" w:type="dxa"/>
            </w:tcMar>
            <w:vAlign w:val="bottom"/>
            <w:hideMark/>
          </w:tcPr>
          <w:p w14:paraId="7098760A" w14:textId="77777777" w:rsidR="00966D63" w:rsidRPr="00966D63" w:rsidRDefault="00966D63" w:rsidP="00966D63">
            <w:pPr>
              <w:spacing w:before="0" w:after="0"/>
              <w:jc w:val="right"/>
              <w:rPr>
                <w:color w:val="auto"/>
                <w:sz w:val="16"/>
                <w:szCs w:val="16"/>
              </w:rPr>
            </w:pPr>
            <w:r w:rsidRPr="00966D63">
              <w:rPr>
                <w:color w:val="auto"/>
                <w:sz w:val="16"/>
                <w:szCs w:val="16"/>
              </w:rPr>
              <w:t>(7,133)</w:t>
            </w:r>
          </w:p>
        </w:tc>
      </w:tr>
      <w:tr w:rsidR="00966D63" w:rsidRPr="00966D63" w14:paraId="5D76C079"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17AD6607" w14:textId="77777777" w:rsidR="00966D63" w:rsidRPr="00966D63" w:rsidRDefault="00966D63" w:rsidP="00966D63">
            <w:pPr>
              <w:spacing w:before="0" w:after="0"/>
              <w:ind w:leftChars="150" w:left="270"/>
              <w:rPr>
                <w:color w:val="auto"/>
                <w:sz w:val="16"/>
                <w:szCs w:val="16"/>
              </w:rPr>
            </w:pPr>
            <w:r w:rsidRPr="00966D63">
              <w:rPr>
                <w:color w:val="auto"/>
                <w:sz w:val="16"/>
                <w:szCs w:val="16"/>
              </w:rPr>
              <w:t>Special appropriations</w:t>
            </w:r>
          </w:p>
        </w:tc>
        <w:tc>
          <w:tcPr>
            <w:tcW w:w="919" w:type="dxa"/>
            <w:tcBorders>
              <w:top w:val="nil"/>
              <w:left w:val="nil"/>
              <w:bottom w:val="nil"/>
              <w:right w:val="nil"/>
            </w:tcBorders>
            <w:shd w:val="clear" w:color="auto" w:fill="auto"/>
            <w:noWrap/>
            <w:tcMar>
              <w:left w:w="57" w:type="dxa"/>
              <w:right w:w="57" w:type="dxa"/>
            </w:tcMar>
            <w:vAlign w:val="bottom"/>
            <w:hideMark/>
          </w:tcPr>
          <w:p w14:paraId="722FC64C" w14:textId="77777777" w:rsidR="00966D63" w:rsidRPr="00966D63" w:rsidRDefault="00966D63" w:rsidP="00966D63">
            <w:pPr>
              <w:spacing w:before="0" w:after="0"/>
              <w:jc w:val="right"/>
              <w:rPr>
                <w:color w:val="auto"/>
                <w:sz w:val="16"/>
                <w:szCs w:val="16"/>
              </w:rPr>
            </w:pPr>
            <w:r w:rsidRPr="00966D63">
              <w:rPr>
                <w:color w:val="auto"/>
                <w:sz w:val="16"/>
                <w:szCs w:val="16"/>
              </w:rPr>
              <w:t>5,236,832</w:t>
            </w:r>
          </w:p>
        </w:tc>
        <w:tc>
          <w:tcPr>
            <w:tcW w:w="919" w:type="dxa"/>
            <w:tcBorders>
              <w:top w:val="nil"/>
              <w:left w:val="nil"/>
              <w:bottom w:val="nil"/>
              <w:right w:val="nil"/>
            </w:tcBorders>
            <w:shd w:val="clear" w:color="000000" w:fill="D9D9D9"/>
            <w:noWrap/>
            <w:tcMar>
              <w:left w:w="57" w:type="dxa"/>
              <w:right w:w="57" w:type="dxa"/>
            </w:tcMar>
            <w:vAlign w:val="bottom"/>
            <w:hideMark/>
          </w:tcPr>
          <w:p w14:paraId="2DD754CF" w14:textId="77777777" w:rsidR="00966D63" w:rsidRPr="00966D63" w:rsidRDefault="00966D63" w:rsidP="00966D63">
            <w:pPr>
              <w:spacing w:before="0" w:after="0"/>
              <w:jc w:val="right"/>
              <w:rPr>
                <w:color w:val="auto"/>
                <w:sz w:val="16"/>
                <w:szCs w:val="16"/>
              </w:rPr>
            </w:pPr>
            <w:r w:rsidRPr="00966D63">
              <w:rPr>
                <w:color w:val="auto"/>
                <w:sz w:val="16"/>
                <w:szCs w:val="16"/>
              </w:rPr>
              <w:t>1,545,205</w:t>
            </w:r>
          </w:p>
        </w:tc>
        <w:tc>
          <w:tcPr>
            <w:tcW w:w="901" w:type="dxa"/>
            <w:tcBorders>
              <w:top w:val="nil"/>
              <w:left w:val="nil"/>
              <w:bottom w:val="nil"/>
              <w:right w:val="nil"/>
            </w:tcBorders>
            <w:shd w:val="clear" w:color="auto" w:fill="auto"/>
            <w:noWrap/>
            <w:tcMar>
              <w:left w:w="57" w:type="dxa"/>
              <w:right w:w="57" w:type="dxa"/>
            </w:tcMar>
            <w:vAlign w:val="bottom"/>
            <w:hideMark/>
          </w:tcPr>
          <w:p w14:paraId="38DD6523" w14:textId="77777777" w:rsidR="00966D63" w:rsidRPr="00966D63" w:rsidRDefault="00966D63" w:rsidP="00966D63">
            <w:pPr>
              <w:spacing w:before="0" w:after="0"/>
              <w:jc w:val="right"/>
              <w:rPr>
                <w:color w:val="auto"/>
                <w:sz w:val="16"/>
                <w:szCs w:val="16"/>
              </w:rPr>
            </w:pPr>
            <w:r w:rsidRPr="00966D63">
              <w:rPr>
                <w:color w:val="auto"/>
                <w:sz w:val="16"/>
                <w:szCs w:val="16"/>
              </w:rPr>
              <w:t>1,614,665</w:t>
            </w:r>
          </w:p>
        </w:tc>
        <w:tc>
          <w:tcPr>
            <w:tcW w:w="901" w:type="dxa"/>
            <w:tcBorders>
              <w:top w:val="nil"/>
              <w:left w:val="nil"/>
              <w:bottom w:val="nil"/>
              <w:right w:val="nil"/>
            </w:tcBorders>
            <w:shd w:val="clear" w:color="auto" w:fill="auto"/>
            <w:noWrap/>
            <w:tcMar>
              <w:left w:w="57" w:type="dxa"/>
              <w:right w:w="57" w:type="dxa"/>
            </w:tcMar>
            <w:vAlign w:val="bottom"/>
            <w:hideMark/>
          </w:tcPr>
          <w:p w14:paraId="207DC4B0" w14:textId="77777777" w:rsidR="00966D63" w:rsidRPr="00966D63" w:rsidRDefault="00966D63" w:rsidP="00966D63">
            <w:pPr>
              <w:spacing w:before="0" w:after="0"/>
              <w:jc w:val="right"/>
              <w:rPr>
                <w:color w:val="auto"/>
                <w:sz w:val="16"/>
                <w:szCs w:val="16"/>
              </w:rPr>
            </w:pPr>
            <w:r w:rsidRPr="00966D63">
              <w:rPr>
                <w:color w:val="auto"/>
                <w:sz w:val="16"/>
                <w:szCs w:val="16"/>
              </w:rPr>
              <w:t>1,682,572</w:t>
            </w:r>
          </w:p>
        </w:tc>
        <w:tc>
          <w:tcPr>
            <w:tcW w:w="901" w:type="dxa"/>
            <w:tcBorders>
              <w:top w:val="nil"/>
              <w:left w:val="nil"/>
              <w:bottom w:val="nil"/>
              <w:right w:val="nil"/>
            </w:tcBorders>
            <w:shd w:val="clear" w:color="auto" w:fill="auto"/>
            <w:noWrap/>
            <w:tcMar>
              <w:left w:w="57" w:type="dxa"/>
              <w:right w:w="57" w:type="dxa"/>
            </w:tcMar>
            <w:vAlign w:val="bottom"/>
            <w:hideMark/>
          </w:tcPr>
          <w:p w14:paraId="13EF46AB" w14:textId="77777777" w:rsidR="00966D63" w:rsidRPr="00966D63" w:rsidRDefault="00966D63" w:rsidP="00966D63">
            <w:pPr>
              <w:spacing w:before="0" w:after="0"/>
              <w:jc w:val="right"/>
              <w:rPr>
                <w:color w:val="auto"/>
                <w:sz w:val="16"/>
                <w:szCs w:val="16"/>
              </w:rPr>
            </w:pPr>
            <w:r w:rsidRPr="00966D63">
              <w:rPr>
                <w:color w:val="auto"/>
                <w:sz w:val="16"/>
                <w:szCs w:val="16"/>
              </w:rPr>
              <w:t>1,801,266</w:t>
            </w:r>
          </w:p>
        </w:tc>
      </w:tr>
      <w:tr w:rsidR="00966D63" w:rsidRPr="00966D63" w14:paraId="1201241D"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2FC2BE32" w14:textId="77777777" w:rsidR="00966D63" w:rsidRPr="00966D63" w:rsidRDefault="00966D63" w:rsidP="00966D63">
            <w:pPr>
              <w:spacing w:before="0" w:after="0"/>
              <w:ind w:leftChars="150" w:left="270"/>
              <w:rPr>
                <w:color w:val="auto"/>
                <w:sz w:val="16"/>
                <w:szCs w:val="16"/>
              </w:rPr>
            </w:pPr>
            <w:r w:rsidRPr="00966D63">
              <w:rPr>
                <w:color w:val="auto"/>
                <w:sz w:val="16"/>
                <w:szCs w:val="16"/>
              </w:rPr>
              <w:t>Special accounts</w:t>
            </w:r>
          </w:p>
        </w:tc>
        <w:tc>
          <w:tcPr>
            <w:tcW w:w="919" w:type="dxa"/>
            <w:tcBorders>
              <w:top w:val="nil"/>
              <w:left w:val="nil"/>
              <w:bottom w:val="nil"/>
              <w:right w:val="nil"/>
            </w:tcBorders>
            <w:shd w:val="clear" w:color="auto" w:fill="auto"/>
            <w:noWrap/>
            <w:tcMar>
              <w:left w:w="57" w:type="dxa"/>
              <w:right w:w="57" w:type="dxa"/>
            </w:tcMar>
            <w:vAlign w:val="bottom"/>
            <w:hideMark/>
          </w:tcPr>
          <w:p w14:paraId="5D074EA4" w14:textId="77777777" w:rsidR="00966D63" w:rsidRPr="00966D63" w:rsidRDefault="00966D63" w:rsidP="00966D63">
            <w:pPr>
              <w:spacing w:before="0" w:after="0"/>
              <w:jc w:val="right"/>
              <w:rPr>
                <w:color w:val="auto"/>
                <w:sz w:val="16"/>
                <w:szCs w:val="16"/>
              </w:rPr>
            </w:pPr>
            <w:r w:rsidRPr="00966D63">
              <w:rPr>
                <w:color w:val="auto"/>
                <w:sz w:val="16"/>
                <w:szCs w:val="16"/>
              </w:rPr>
              <w:t>464,819</w:t>
            </w:r>
          </w:p>
        </w:tc>
        <w:tc>
          <w:tcPr>
            <w:tcW w:w="919" w:type="dxa"/>
            <w:tcBorders>
              <w:top w:val="nil"/>
              <w:left w:val="nil"/>
              <w:bottom w:val="nil"/>
              <w:right w:val="nil"/>
            </w:tcBorders>
            <w:shd w:val="clear" w:color="000000" w:fill="D9D9D9"/>
            <w:noWrap/>
            <w:tcMar>
              <w:left w:w="57" w:type="dxa"/>
              <w:right w:w="57" w:type="dxa"/>
            </w:tcMar>
            <w:vAlign w:val="bottom"/>
            <w:hideMark/>
          </w:tcPr>
          <w:p w14:paraId="7C60D88B" w14:textId="77777777" w:rsidR="00966D63" w:rsidRPr="00966D63" w:rsidRDefault="00966D63" w:rsidP="00966D63">
            <w:pPr>
              <w:spacing w:before="0" w:after="0"/>
              <w:jc w:val="right"/>
              <w:rPr>
                <w:color w:val="auto"/>
                <w:sz w:val="16"/>
                <w:szCs w:val="16"/>
              </w:rPr>
            </w:pPr>
            <w:r w:rsidRPr="00966D63">
              <w:rPr>
                <w:color w:val="auto"/>
                <w:sz w:val="16"/>
                <w:szCs w:val="16"/>
              </w:rPr>
              <w:t>659,819</w:t>
            </w:r>
          </w:p>
        </w:tc>
        <w:tc>
          <w:tcPr>
            <w:tcW w:w="901" w:type="dxa"/>
            <w:tcBorders>
              <w:top w:val="nil"/>
              <w:left w:val="nil"/>
              <w:bottom w:val="nil"/>
              <w:right w:val="nil"/>
            </w:tcBorders>
            <w:shd w:val="clear" w:color="auto" w:fill="auto"/>
            <w:noWrap/>
            <w:tcMar>
              <w:left w:w="57" w:type="dxa"/>
              <w:right w:w="57" w:type="dxa"/>
            </w:tcMar>
            <w:vAlign w:val="bottom"/>
            <w:hideMark/>
          </w:tcPr>
          <w:p w14:paraId="2A604D13" w14:textId="77777777" w:rsidR="00966D63" w:rsidRPr="00966D63" w:rsidRDefault="00966D63" w:rsidP="00966D63">
            <w:pPr>
              <w:spacing w:before="0" w:after="0"/>
              <w:jc w:val="right"/>
              <w:rPr>
                <w:color w:val="auto"/>
                <w:sz w:val="16"/>
                <w:szCs w:val="16"/>
              </w:rPr>
            </w:pPr>
            <w:r w:rsidRPr="00966D63">
              <w:rPr>
                <w:color w:val="auto"/>
                <w:sz w:val="16"/>
                <w:szCs w:val="16"/>
              </w:rPr>
              <w:t>659,819</w:t>
            </w:r>
          </w:p>
        </w:tc>
        <w:tc>
          <w:tcPr>
            <w:tcW w:w="901" w:type="dxa"/>
            <w:tcBorders>
              <w:top w:val="nil"/>
              <w:left w:val="nil"/>
              <w:bottom w:val="nil"/>
              <w:right w:val="nil"/>
            </w:tcBorders>
            <w:shd w:val="clear" w:color="auto" w:fill="auto"/>
            <w:noWrap/>
            <w:tcMar>
              <w:left w:w="57" w:type="dxa"/>
              <w:right w:w="57" w:type="dxa"/>
            </w:tcMar>
            <w:vAlign w:val="bottom"/>
            <w:hideMark/>
          </w:tcPr>
          <w:p w14:paraId="4B79A00D" w14:textId="77777777" w:rsidR="00966D63" w:rsidRPr="00966D63" w:rsidRDefault="00966D63" w:rsidP="00966D63">
            <w:pPr>
              <w:spacing w:before="0" w:after="0"/>
              <w:jc w:val="right"/>
              <w:rPr>
                <w:color w:val="auto"/>
                <w:sz w:val="16"/>
                <w:szCs w:val="16"/>
              </w:rPr>
            </w:pPr>
            <w:r w:rsidRPr="00966D63">
              <w:rPr>
                <w:color w:val="auto"/>
                <w:sz w:val="16"/>
                <w:szCs w:val="16"/>
              </w:rPr>
              <w:t>659,819</w:t>
            </w:r>
          </w:p>
        </w:tc>
        <w:tc>
          <w:tcPr>
            <w:tcW w:w="901" w:type="dxa"/>
            <w:tcBorders>
              <w:top w:val="nil"/>
              <w:left w:val="nil"/>
              <w:bottom w:val="nil"/>
              <w:right w:val="nil"/>
            </w:tcBorders>
            <w:shd w:val="clear" w:color="auto" w:fill="auto"/>
            <w:noWrap/>
            <w:tcMar>
              <w:left w:w="57" w:type="dxa"/>
              <w:right w:w="57" w:type="dxa"/>
            </w:tcMar>
            <w:vAlign w:val="bottom"/>
            <w:hideMark/>
          </w:tcPr>
          <w:p w14:paraId="13FDFDE0" w14:textId="77777777" w:rsidR="00966D63" w:rsidRPr="00966D63" w:rsidRDefault="00966D63" w:rsidP="00966D63">
            <w:pPr>
              <w:spacing w:before="0" w:after="0"/>
              <w:jc w:val="right"/>
              <w:rPr>
                <w:color w:val="auto"/>
                <w:sz w:val="16"/>
                <w:szCs w:val="16"/>
              </w:rPr>
            </w:pPr>
            <w:r w:rsidRPr="00966D63">
              <w:rPr>
                <w:color w:val="auto"/>
                <w:sz w:val="16"/>
                <w:szCs w:val="16"/>
              </w:rPr>
              <w:t>659,819</w:t>
            </w:r>
          </w:p>
        </w:tc>
      </w:tr>
      <w:tr w:rsidR="00966D63" w:rsidRPr="00966D63" w14:paraId="587FD02D"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50D326AE" w14:textId="77777777" w:rsidR="00966D63" w:rsidRPr="00966D63" w:rsidRDefault="00966D63" w:rsidP="00966D63">
            <w:pPr>
              <w:spacing w:before="0" w:after="0"/>
              <w:ind w:leftChars="150" w:left="270"/>
              <w:rPr>
                <w:color w:val="auto"/>
                <w:sz w:val="16"/>
                <w:szCs w:val="16"/>
              </w:rPr>
            </w:pPr>
            <w:proofErr w:type="spellStart"/>
            <w:r w:rsidRPr="00966D63">
              <w:rPr>
                <w:color w:val="auto"/>
                <w:sz w:val="16"/>
                <w:szCs w:val="16"/>
              </w:rPr>
              <w:t>Non cash</w:t>
            </w:r>
            <w:proofErr w:type="spellEnd"/>
            <w:r w:rsidRPr="00966D63">
              <w:rPr>
                <w:color w:val="auto"/>
                <w:sz w:val="16"/>
                <w:szCs w:val="16"/>
              </w:rPr>
              <w:t xml:space="preserve"> expenses </w:t>
            </w:r>
            <w:r w:rsidRPr="00966D63">
              <w:rPr>
                <w:color w:val="auto"/>
                <w:sz w:val="16"/>
                <w:szCs w:val="16"/>
                <w:vertAlign w:val="superscript"/>
              </w:rPr>
              <w:t>(e)</w:t>
            </w:r>
          </w:p>
        </w:tc>
        <w:tc>
          <w:tcPr>
            <w:tcW w:w="919" w:type="dxa"/>
            <w:tcBorders>
              <w:top w:val="nil"/>
              <w:left w:val="nil"/>
              <w:bottom w:val="nil"/>
              <w:right w:val="nil"/>
            </w:tcBorders>
            <w:shd w:val="clear" w:color="auto" w:fill="auto"/>
            <w:noWrap/>
            <w:tcMar>
              <w:left w:w="57" w:type="dxa"/>
              <w:right w:w="57" w:type="dxa"/>
            </w:tcMar>
            <w:vAlign w:val="bottom"/>
            <w:hideMark/>
          </w:tcPr>
          <w:p w14:paraId="4F7FB940" w14:textId="77777777" w:rsidR="00966D63" w:rsidRPr="00966D63" w:rsidRDefault="00966D63" w:rsidP="00966D63">
            <w:pPr>
              <w:spacing w:before="0" w:after="0"/>
              <w:jc w:val="right"/>
              <w:rPr>
                <w:color w:val="auto"/>
                <w:sz w:val="16"/>
                <w:szCs w:val="16"/>
              </w:rPr>
            </w:pPr>
            <w:r w:rsidRPr="00966D63">
              <w:rPr>
                <w:color w:val="auto"/>
                <w:sz w:val="16"/>
                <w:szCs w:val="16"/>
              </w:rPr>
              <w:t>1,532,138</w:t>
            </w:r>
          </w:p>
        </w:tc>
        <w:tc>
          <w:tcPr>
            <w:tcW w:w="919" w:type="dxa"/>
            <w:tcBorders>
              <w:top w:val="nil"/>
              <w:left w:val="nil"/>
              <w:bottom w:val="nil"/>
              <w:right w:val="nil"/>
            </w:tcBorders>
            <w:shd w:val="clear" w:color="000000" w:fill="D9D9D9"/>
            <w:noWrap/>
            <w:tcMar>
              <w:left w:w="57" w:type="dxa"/>
              <w:right w:w="57" w:type="dxa"/>
            </w:tcMar>
            <w:vAlign w:val="bottom"/>
            <w:hideMark/>
          </w:tcPr>
          <w:p w14:paraId="71F2B67F" w14:textId="77777777" w:rsidR="00966D63" w:rsidRPr="00966D63" w:rsidRDefault="00966D63" w:rsidP="00966D63">
            <w:pPr>
              <w:spacing w:before="0" w:after="0"/>
              <w:jc w:val="right"/>
              <w:rPr>
                <w:color w:val="auto"/>
                <w:sz w:val="16"/>
                <w:szCs w:val="16"/>
              </w:rPr>
            </w:pPr>
            <w:r w:rsidRPr="00966D63">
              <w:rPr>
                <w:color w:val="auto"/>
                <w:sz w:val="16"/>
                <w:szCs w:val="16"/>
              </w:rPr>
              <w:t>5,113</w:t>
            </w:r>
          </w:p>
        </w:tc>
        <w:tc>
          <w:tcPr>
            <w:tcW w:w="901" w:type="dxa"/>
            <w:tcBorders>
              <w:top w:val="nil"/>
              <w:left w:val="nil"/>
              <w:bottom w:val="nil"/>
              <w:right w:val="nil"/>
            </w:tcBorders>
            <w:shd w:val="clear" w:color="auto" w:fill="auto"/>
            <w:noWrap/>
            <w:tcMar>
              <w:left w:w="57" w:type="dxa"/>
              <w:right w:w="57" w:type="dxa"/>
            </w:tcMar>
            <w:vAlign w:val="bottom"/>
            <w:hideMark/>
          </w:tcPr>
          <w:p w14:paraId="075015B5" w14:textId="77777777" w:rsidR="00966D63" w:rsidRPr="00966D63" w:rsidRDefault="00966D63" w:rsidP="00966D63">
            <w:pPr>
              <w:spacing w:before="0" w:after="0"/>
              <w:jc w:val="right"/>
              <w:rPr>
                <w:color w:val="auto"/>
                <w:sz w:val="16"/>
                <w:szCs w:val="16"/>
              </w:rPr>
            </w:pPr>
            <w:r w:rsidRPr="00966D63">
              <w:rPr>
                <w:color w:val="auto"/>
                <w:sz w:val="16"/>
                <w:szCs w:val="16"/>
              </w:rPr>
              <w:t>18,240</w:t>
            </w:r>
          </w:p>
        </w:tc>
        <w:tc>
          <w:tcPr>
            <w:tcW w:w="901" w:type="dxa"/>
            <w:tcBorders>
              <w:top w:val="nil"/>
              <w:left w:val="nil"/>
              <w:bottom w:val="nil"/>
              <w:right w:val="nil"/>
            </w:tcBorders>
            <w:shd w:val="clear" w:color="auto" w:fill="auto"/>
            <w:noWrap/>
            <w:tcMar>
              <w:left w:w="57" w:type="dxa"/>
              <w:right w:w="57" w:type="dxa"/>
            </w:tcMar>
            <w:vAlign w:val="bottom"/>
            <w:hideMark/>
          </w:tcPr>
          <w:p w14:paraId="265D8611" w14:textId="77777777" w:rsidR="00966D63" w:rsidRPr="00966D63" w:rsidRDefault="00966D63" w:rsidP="00966D63">
            <w:pPr>
              <w:spacing w:before="0" w:after="0"/>
              <w:jc w:val="right"/>
              <w:rPr>
                <w:color w:val="auto"/>
                <w:sz w:val="16"/>
                <w:szCs w:val="16"/>
              </w:rPr>
            </w:pPr>
            <w:r w:rsidRPr="00966D63">
              <w:rPr>
                <w:color w:val="auto"/>
                <w:sz w:val="16"/>
                <w:szCs w:val="16"/>
              </w:rPr>
              <w:t>17,963</w:t>
            </w:r>
          </w:p>
        </w:tc>
        <w:tc>
          <w:tcPr>
            <w:tcW w:w="901" w:type="dxa"/>
            <w:tcBorders>
              <w:top w:val="nil"/>
              <w:left w:val="nil"/>
              <w:bottom w:val="nil"/>
              <w:right w:val="nil"/>
            </w:tcBorders>
            <w:shd w:val="clear" w:color="auto" w:fill="auto"/>
            <w:noWrap/>
            <w:tcMar>
              <w:left w:w="57" w:type="dxa"/>
              <w:right w:w="57" w:type="dxa"/>
            </w:tcMar>
            <w:vAlign w:val="bottom"/>
            <w:hideMark/>
          </w:tcPr>
          <w:p w14:paraId="6CECEE53" w14:textId="77777777" w:rsidR="00966D63" w:rsidRPr="00966D63" w:rsidRDefault="00966D63" w:rsidP="00966D63">
            <w:pPr>
              <w:spacing w:before="0" w:after="0"/>
              <w:jc w:val="right"/>
              <w:rPr>
                <w:color w:val="auto"/>
                <w:sz w:val="16"/>
                <w:szCs w:val="16"/>
              </w:rPr>
            </w:pPr>
            <w:r w:rsidRPr="00966D63">
              <w:rPr>
                <w:color w:val="auto"/>
                <w:sz w:val="16"/>
                <w:szCs w:val="16"/>
              </w:rPr>
              <w:t>16,529</w:t>
            </w:r>
          </w:p>
        </w:tc>
      </w:tr>
      <w:tr w:rsidR="00966D63" w:rsidRPr="00966D63" w14:paraId="05F8F6CA" w14:textId="77777777" w:rsidTr="00966D63">
        <w:trPr>
          <w:trHeight w:val="300"/>
          <w:jc w:val="center"/>
        </w:trPr>
        <w:tc>
          <w:tcPr>
            <w:tcW w:w="2779" w:type="dxa"/>
            <w:tcBorders>
              <w:top w:val="nil"/>
              <w:left w:val="nil"/>
              <w:bottom w:val="nil"/>
              <w:right w:val="nil"/>
            </w:tcBorders>
            <w:shd w:val="clear" w:color="auto" w:fill="auto"/>
            <w:noWrap/>
            <w:vAlign w:val="bottom"/>
            <w:hideMark/>
          </w:tcPr>
          <w:p w14:paraId="3A622916" w14:textId="77777777" w:rsidR="00966D63" w:rsidRPr="00966D63" w:rsidRDefault="00966D63" w:rsidP="00966D63">
            <w:pPr>
              <w:spacing w:before="0" w:after="0"/>
              <w:ind w:leftChars="75" w:left="135"/>
              <w:rPr>
                <w:color w:val="auto"/>
                <w:sz w:val="16"/>
                <w:szCs w:val="16"/>
              </w:rPr>
            </w:pPr>
            <w:r w:rsidRPr="00966D63">
              <w:rPr>
                <w:color w:val="auto"/>
                <w:sz w:val="16"/>
                <w:szCs w:val="16"/>
              </w:rPr>
              <w:t>Departmental expenses</w:t>
            </w:r>
          </w:p>
        </w:tc>
        <w:tc>
          <w:tcPr>
            <w:tcW w:w="919" w:type="dxa"/>
            <w:tcBorders>
              <w:top w:val="nil"/>
              <w:left w:val="nil"/>
              <w:bottom w:val="nil"/>
              <w:right w:val="nil"/>
            </w:tcBorders>
            <w:shd w:val="clear" w:color="auto" w:fill="auto"/>
            <w:noWrap/>
            <w:tcMar>
              <w:left w:w="57" w:type="dxa"/>
              <w:right w:w="57" w:type="dxa"/>
            </w:tcMar>
            <w:vAlign w:val="bottom"/>
            <w:hideMark/>
          </w:tcPr>
          <w:p w14:paraId="62CF098E" w14:textId="77777777" w:rsidR="00966D63" w:rsidRPr="00966D63" w:rsidRDefault="00966D63" w:rsidP="00966D63">
            <w:pPr>
              <w:spacing w:before="0" w:after="0"/>
              <w:ind w:firstLineChars="100" w:firstLine="160"/>
              <w:rPr>
                <w:color w:val="auto"/>
                <w:sz w:val="16"/>
                <w:szCs w:val="16"/>
              </w:rPr>
            </w:pPr>
          </w:p>
        </w:tc>
        <w:tc>
          <w:tcPr>
            <w:tcW w:w="919" w:type="dxa"/>
            <w:tcBorders>
              <w:top w:val="nil"/>
              <w:left w:val="nil"/>
              <w:bottom w:val="nil"/>
              <w:right w:val="nil"/>
            </w:tcBorders>
            <w:shd w:val="clear" w:color="000000" w:fill="D9D9D9"/>
            <w:noWrap/>
            <w:tcMar>
              <w:left w:w="57" w:type="dxa"/>
              <w:right w:w="57" w:type="dxa"/>
            </w:tcMar>
            <w:vAlign w:val="bottom"/>
            <w:hideMark/>
          </w:tcPr>
          <w:p w14:paraId="3BAE8140" w14:textId="77777777" w:rsidR="00966D63" w:rsidRPr="00966D63" w:rsidRDefault="00966D63" w:rsidP="00966D63">
            <w:pPr>
              <w:spacing w:before="0" w:after="0"/>
              <w:jc w:val="right"/>
              <w:rPr>
                <w:color w:val="auto"/>
                <w:sz w:val="16"/>
                <w:szCs w:val="16"/>
              </w:rPr>
            </w:pPr>
            <w:r w:rsidRPr="00966D63">
              <w:rPr>
                <w:color w:val="auto"/>
                <w:sz w:val="16"/>
                <w:szCs w:val="16"/>
              </w:rPr>
              <w:t> </w:t>
            </w:r>
          </w:p>
        </w:tc>
        <w:tc>
          <w:tcPr>
            <w:tcW w:w="901" w:type="dxa"/>
            <w:tcBorders>
              <w:top w:val="nil"/>
              <w:left w:val="nil"/>
              <w:bottom w:val="nil"/>
              <w:right w:val="nil"/>
            </w:tcBorders>
            <w:shd w:val="clear" w:color="auto" w:fill="auto"/>
            <w:noWrap/>
            <w:tcMar>
              <w:left w:w="57" w:type="dxa"/>
              <w:right w:w="57" w:type="dxa"/>
            </w:tcMar>
            <w:vAlign w:val="bottom"/>
            <w:hideMark/>
          </w:tcPr>
          <w:p w14:paraId="30A146F9" w14:textId="77777777" w:rsidR="00966D63" w:rsidRPr="00966D63" w:rsidRDefault="00966D63" w:rsidP="00966D63">
            <w:pPr>
              <w:spacing w:before="0" w:after="0"/>
              <w:jc w:val="right"/>
              <w:rPr>
                <w:color w:val="auto"/>
                <w:sz w:val="16"/>
                <w:szCs w:val="16"/>
              </w:rPr>
            </w:pPr>
          </w:p>
        </w:tc>
        <w:tc>
          <w:tcPr>
            <w:tcW w:w="901" w:type="dxa"/>
            <w:tcBorders>
              <w:top w:val="nil"/>
              <w:left w:val="nil"/>
              <w:bottom w:val="nil"/>
              <w:right w:val="nil"/>
            </w:tcBorders>
            <w:shd w:val="clear" w:color="auto" w:fill="auto"/>
            <w:noWrap/>
            <w:tcMar>
              <w:left w:w="57" w:type="dxa"/>
              <w:right w:w="57" w:type="dxa"/>
            </w:tcMar>
            <w:vAlign w:val="bottom"/>
            <w:hideMark/>
          </w:tcPr>
          <w:p w14:paraId="362C8650" w14:textId="77777777" w:rsidR="00966D63" w:rsidRPr="00966D63" w:rsidRDefault="00966D63" w:rsidP="00966D63">
            <w:pPr>
              <w:spacing w:before="0" w:after="0"/>
              <w:jc w:val="right"/>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noWrap/>
            <w:tcMar>
              <w:left w:w="57" w:type="dxa"/>
              <w:right w:w="57" w:type="dxa"/>
            </w:tcMar>
            <w:vAlign w:val="bottom"/>
            <w:hideMark/>
          </w:tcPr>
          <w:p w14:paraId="65298C51" w14:textId="77777777" w:rsidR="00966D63" w:rsidRPr="00966D63" w:rsidRDefault="00966D63" w:rsidP="00966D63">
            <w:pPr>
              <w:spacing w:before="0" w:after="0"/>
              <w:jc w:val="right"/>
              <w:rPr>
                <w:rFonts w:ascii="Times New Roman" w:hAnsi="Times New Roman" w:cs="Times New Roman"/>
                <w:color w:val="auto"/>
                <w:sz w:val="20"/>
                <w:szCs w:val="20"/>
              </w:rPr>
            </w:pPr>
          </w:p>
        </w:tc>
      </w:tr>
      <w:tr w:rsidR="00966D63" w:rsidRPr="00966D63" w14:paraId="2E861FB1"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3B20646C" w14:textId="77777777" w:rsidR="00966D63" w:rsidRPr="00966D63" w:rsidRDefault="00966D63" w:rsidP="00966D63">
            <w:pPr>
              <w:spacing w:before="0" w:after="0"/>
              <w:ind w:leftChars="150" w:left="270"/>
              <w:rPr>
                <w:color w:val="auto"/>
                <w:sz w:val="16"/>
                <w:szCs w:val="16"/>
              </w:rPr>
            </w:pPr>
            <w:r w:rsidRPr="00966D63">
              <w:rPr>
                <w:color w:val="auto"/>
                <w:sz w:val="16"/>
                <w:szCs w:val="16"/>
              </w:rPr>
              <w:t>Departmental appropriation</w:t>
            </w:r>
            <w:r w:rsidRPr="00966D63">
              <w:rPr>
                <w:color w:val="auto"/>
                <w:sz w:val="16"/>
                <w:szCs w:val="16"/>
                <w:vertAlign w:val="superscript"/>
              </w:rPr>
              <w:t xml:space="preserve"> (c)</w:t>
            </w:r>
          </w:p>
        </w:tc>
        <w:tc>
          <w:tcPr>
            <w:tcW w:w="919" w:type="dxa"/>
            <w:tcBorders>
              <w:top w:val="nil"/>
              <w:left w:val="nil"/>
              <w:bottom w:val="nil"/>
              <w:right w:val="nil"/>
            </w:tcBorders>
            <w:shd w:val="clear" w:color="auto" w:fill="auto"/>
            <w:noWrap/>
            <w:tcMar>
              <w:left w:w="57" w:type="dxa"/>
              <w:right w:w="57" w:type="dxa"/>
            </w:tcMar>
            <w:vAlign w:val="bottom"/>
            <w:hideMark/>
          </w:tcPr>
          <w:p w14:paraId="64B9502F" w14:textId="77777777" w:rsidR="00966D63" w:rsidRPr="00966D63" w:rsidRDefault="00966D63" w:rsidP="00966D63">
            <w:pPr>
              <w:spacing w:before="0" w:after="0"/>
              <w:jc w:val="right"/>
              <w:rPr>
                <w:color w:val="auto"/>
                <w:sz w:val="16"/>
                <w:szCs w:val="16"/>
              </w:rPr>
            </w:pPr>
            <w:r w:rsidRPr="00966D63">
              <w:rPr>
                <w:color w:val="auto"/>
                <w:sz w:val="16"/>
                <w:szCs w:val="16"/>
              </w:rPr>
              <w:t>524,038</w:t>
            </w:r>
          </w:p>
        </w:tc>
        <w:tc>
          <w:tcPr>
            <w:tcW w:w="919" w:type="dxa"/>
            <w:tcBorders>
              <w:top w:val="nil"/>
              <w:left w:val="nil"/>
              <w:bottom w:val="nil"/>
              <w:right w:val="nil"/>
            </w:tcBorders>
            <w:shd w:val="clear" w:color="000000" w:fill="D9D9D9"/>
            <w:noWrap/>
            <w:tcMar>
              <w:left w:w="57" w:type="dxa"/>
              <w:right w:w="57" w:type="dxa"/>
            </w:tcMar>
            <w:vAlign w:val="bottom"/>
            <w:hideMark/>
          </w:tcPr>
          <w:p w14:paraId="344609D2" w14:textId="77777777" w:rsidR="00966D63" w:rsidRPr="00966D63" w:rsidRDefault="00966D63" w:rsidP="00966D63">
            <w:pPr>
              <w:spacing w:before="0" w:after="0"/>
              <w:jc w:val="right"/>
              <w:rPr>
                <w:color w:val="auto"/>
                <w:sz w:val="16"/>
                <w:szCs w:val="16"/>
              </w:rPr>
            </w:pPr>
            <w:r w:rsidRPr="00966D63">
              <w:rPr>
                <w:color w:val="auto"/>
                <w:sz w:val="16"/>
                <w:szCs w:val="16"/>
              </w:rPr>
              <w:t>446,917</w:t>
            </w:r>
          </w:p>
        </w:tc>
        <w:tc>
          <w:tcPr>
            <w:tcW w:w="901" w:type="dxa"/>
            <w:tcBorders>
              <w:top w:val="nil"/>
              <w:left w:val="nil"/>
              <w:bottom w:val="nil"/>
              <w:right w:val="nil"/>
            </w:tcBorders>
            <w:shd w:val="clear" w:color="auto" w:fill="auto"/>
            <w:noWrap/>
            <w:tcMar>
              <w:left w:w="57" w:type="dxa"/>
              <w:right w:w="57" w:type="dxa"/>
            </w:tcMar>
            <w:vAlign w:val="bottom"/>
            <w:hideMark/>
          </w:tcPr>
          <w:p w14:paraId="7DF38298" w14:textId="77777777" w:rsidR="00966D63" w:rsidRPr="00966D63" w:rsidRDefault="00966D63" w:rsidP="00966D63">
            <w:pPr>
              <w:spacing w:before="0" w:after="0"/>
              <w:jc w:val="right"/>
              <w:rPr>
                <w:color w:val="auto"/>
                <w:sz w:val="16"/>
                <w:szCs w:val="16"/>
              </w:rPr>
            </w:pPr>
            <w:r w:rsidRPr="00966D63">
              <w:rPr>
                <w:color w:val="auto"/>
                <w:sz w:val="16"/>
                <w:szCs w:val="16"/>
              </w:rPr>
              <w:t>351,858</w:t>
            </w:r>
          </w:p>
        </w:tc>
        <w:tc>
          <w:tcPr>
            <w:tcW w:w="901" w:type="dxa"/>
            <w:tcBorders>
              <w:top w:val="nil"/>
              <w:left w:val="nil"/>
              <w:bottom w:val="nil"/>
              <w:right w:val="nil"/>
            </w:tcBorders>
            <w:shd w:val="clear" w:color="auto" w:fill="auto"/>
            <w:noWrap/>
            <w:tcMar>
              <w:left w:w="57" w:type="dxa"/>
              <w:right w:w="57" w:type="dxa"/>
            </w:tcMar>
            <w:vAlign w:val="bottom"/>
            <w:hideMark/>
          </w:tcPr>
          <w:p w14:paraId="01E60219" w14:textId="77777777" w:rsidR="00966D63" w:rsidRPr="00966D63" w:rsidRDefault="00966D63" w:rsidP="00966D63">
            <w:pPr>
              <w:spacing w:before="0" w:after="0"/>
              <w:jc w:val="right"/>
              <w:rPr>
                <w:color w:val="auto"/>
                <w:sz w:val="16"/>
                <w:szCs w:val="16"/>
              </w:rPr>
            </w:pPr>
            <w:r w:rsidRPr="00966D63">
              <w:rPr>
                <w:color w:val="auto"/>
                <w:sz w:val="16"/>
                <w:szCs w:val="16"/>
              </w:rPr>
              <w:t>346,246</w:t>
            </w:r>
          </w:p>
        </w:tc>
        <w:tc>
          <w:tcPr>
            <w:tcW w:w="901" w:type="dxa"/>
            <w:tcBorders>
              <w:top w:val="nil"/>
              <w:left w:val="nil"/>
              <w:bottom w:val="nil"/>
              <w:right w:val="nil"/>
            </w:tcBorders>
            <w:shd w:val="clear" w:color="auto" w:fill="auto"/>
            <w:noWrap/>
            <w:tcMar>
              <w:left w:w="57" w:type="dxa"/>
              <w:right w:w="57" w:type="dxa"/>
            </w:tcMar>
            <w:vAlign w:val="bottom"/>
            <w:hideMark/>
          </w:tcPr>
          <w:p w14:paraId="6FEB3CBD" w14:textId="77777777" w:rsidR="00966D63" w:rsidRPr="00966D63" w:rsidRDefault="00966D63" w:rsidP="00966D63">
            <w:pPr>
              <w:spacing w:before="0" w:after="0"/>
              <w:jc w:val="right"/>
              <w:rPr>
                <w:color w:val="auto"/>
                <w:sz w:val="16"/>
                <w:szCs w:val="16"/>
              </w:rPr>
            </w:pPr>
            <w:r w:rsidRPr="00966D63">
              <w:rPr>
                <w:color w:val="auto"/>
                <w:sz w:val="16"/>
                <w:szCs w:val="16"/>
              </w:rPr>
              <w:t>341,994</w:t>
            </w:r>
          </w:p>
        </w:tc>
      </w:tr>
      <w:tr w:rsidR="00966D63" w:rsidRPr="00966D63" w14:paraId="33E6D677"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6A7A8B9C" w14:textId="77777777" w:rsidR="00966D63" w:rsidRPr="00966D63" w:rsidRDefault="00966D63" w:rsidP="00966D63">
            <w:pPr>
              <w:spacing w:before="0" w:after="0"/>
              <w:ind w:firstLineChars="300" w:firstLine="480"/>
              <w:rPr>
                <w:color w:val="auto"/>
                <w:sz w:val="16"/>
                <w:szCs w:val="16"/>
              </w:rPr>
            </w:pPr>
            <w:r w:rsidRPr="00966D63">
              <w:rPr>
                <w:color w:val="auto"/>
                <w:sz w:val="16"/>
                <w:szCs w:val="16"/>
              </w:rPr>
              <w:t>to Special accounts</w:t>
            </w:r>
          </w:p>
        </w:tc>
        <w:tc>
          <w:tcPr>
            <w:tcW w:w="919" w:type="dxa"/>
            <w:tcBorders>
              <w:top w:val="nil"/>
              <w:left w:val="nil"/>
              <w:bottom w:val="nil"/>
              <w:right w:val="nil"/>
            </w:tcBorders>
            <w:shd w:val="clear" w:color="auto" w:fill="auto"/>
            <w:noWrap/>
            <w:tcMar>
              <w:left w:w="57" w:type="dxa"/>
              <w:right w:w="57" w:type="dxa"/>
            </w:tcMar>
            <w:vAlign w:val="bottom"/>
            <w:hideMark/>
          </w:tcPr>
          <w:p w14:paraId="7A4AD65B" w14:textId="77777777" w:rsidR="00966D63" w:rsidRPr="00966D63" w:rsidRDefault="00966D63" w:rsidP="00966D63">
            <w:pPr>
              <w:spacing w:before="0" w:after="0"/>
              <w:jc w:val="right"/>
              <w:rPr>
                <w:color w:val="auto"/>
                <w:sz w:val="16"/>
                <w:szCs w:val="16"/>
              </w:rPr>
            </w:pPr>
            <w:r w:rsidRPr="00966D63">
              <w:rPr>
                <w:color w:val="auto"/>
                <w:sz w:val="16"/>
                <w:szCs w:val="16"/>
              </w:rPr>
              <w:t>(24,656)</w:t>
            </w:r>
          </w:p>
        </w:tc>
        <w:tc>
          <w:tcPr>
            <w:tcW w:w="919" w:type="dxa"/>
            <w:tcBorders>
              <w:top w:val="nil"/>
              <w:left w:val="nil"/>
              <w:bottom w:val="nil"/>
              <w:right w:val="nil"/>
            </w:tcBorders>
            <w:shd w:val="clear" w:color="000000" w:fill="D9D9D9"/>
            <w:noWrap/>
            <w:tcMar>
              <w:left w:w="57" w:type="dxa"/>
              <w:right w:w="57" w:type="dxa"/>
            </w:tcMar>
            <w:vAlign w:val="bottom"/>
            <w:hideMark/>
          </w:tcPr>
          <w:p w14:paraId="240E5679" w14:textId="77777777" w:rsidR="00966D63" w:rsidRPr="00966D63" w:rsidRDefault="00966D63" w:rsidP="00966D63">
            <w:pPr>
              <w:spacing w:before="0" w:after="0"/>
              <w:jc w:val="right"/>
              <w:rPr>
                <w:color w:val="auto"/>
                <w:sz w:val="16"/>
                <w:szCs w:val="16"/>
              </w:rPr>
            </w:pPr>
            <w:r w:rsidRPr="00966D63">
              <w:rPr>
                <w:color w:val="auto"/>
                <w:sz w:val="16"/>
                <w:szCs w:val="16"/>
              </w:rPr>
              <w:t>(29,617)</w:t>
            </w:r>
          </w:p>
        </w:tc>
        <w:tc>
          <w:tcPr>
            <w:tcW w:w="901" w:type="dxa"/>
            <w:tcBorders>
              <w:top w:val="nil"/>
              <w:left w:val="nil"/>
              <w:bottom w:val="nil"/>
              <w:right w:val="nil"/>
            </w:tcBorders>
            <w:shd w:val="clear" w:color="auto" w:fill="auto"/>
            <w:noWrap/>
            <w:tcMar>
              <w:left w:w="57" w:type="dxa"/>
              <w:right w:w="57" w:type="dxa"/>
            </w:tcMar>
            <w:vAlign w:val="bottom"/>
            <w:hideMark/>
          </w:tcPr>
          <w:p w14:paraId="55182BB5" w14:textId="77777777" w:rsidR="00966D63" w:rsidRPr="00966D63" w:rsidRDefault="00966D63" w:rsidP="00966D63">
            <w:pPr>
              <w:spacing w:before="0" w:after="0"/>
              <w:jc w:val="right"/>
              <w:rPr>
                <w:color w:val="auto"/>
                <w:sz w:val="16"/>
                <w:szCs w:val="16"/>
              </w:rPr>
            </w:pPr>
            <w:r w:rsidRPr="00966D63">
              <w:rPr>
                <w:color w:val="auto"/>
                <w:sz w:val="16"/>
                <w:szCs w:val="16"/>
              </w:rPr>
              <w:t>(24,570)</w:t>
            </w:r>
          </w:p>
        </w:tc>
        <w:tc>
          <w:tcPr>
            <w:tcW w:w="901" w:type="dxa"/>
            <w:tcBorders>
              <w:top w:val="nil"/>
              <w:left w:val="nil"/>
              <w:bottom w:val="nil"/>
              <w:right w:val="nil"/>
            </w:tcBorders>
            <w:shd w:val="clear" w:color="auto" w:fill="auto"/>
            <w:noWrap/>
            <w:tcMar>
              <w:left w:w="57" w:type="dxa"/>
              <w:right w:w="57" w:type="dxa"/>
            </w:tcMar>
            <w:vAlign w:val="bottom"/>
            <w:hideMark/>
          </w:tcPr>
          <w:p w14:paraId="1B51B119" w14:textId="77777777" w:rsidR="00966D63" w:rsidRPr="00966D63" w:rsidRDefault="00966D63" w:rsidP="00966D63">
            <w:pPr>
              <w:spacing w:before="0" w:after="0"/>
              <w:jc w:val="right"/>
              <w:rPr>
                <w:color w:val="auto"/>
                <w:sz w:val="16"/>
                <w:szCs w:val="16"/>
              </w:rPr>
            </w:pPr>
            <w:r w:rsidRPr="00966D63">
              <w:rPr>
                <w:color w:val="auto"/>
                <w:sz w:val="16"/>
                <w:szCs w:val="16"/>
              </w:rPr>
              <w:t>(23,919)</w:t>
            </w:r>
          </w:p>
        </w:tc>
        <w:tc>
          <w:tcPr>
            <w:tcW w:w="901" w:type="dxa"/>
            <w:tcBorders>
              <w:top w:val="nil"/>
              <w:left w:val="nil"/>
              <w:bottom w:val="nil"/>
              <w:right w:val="nil"/>
            </w:tcBorders>
            <w:shd w:val="clear" w:color="auto" w:fill="auto"/>
            <w:noWrap/>
            <w:tcMar>
              <w:left w:w="57" w:type="dxa"/>
              <w:right w:w="57" w:type="dxa"/>
            </w:tcMar>
            <w:vAlign w:val="bottom"/>
            <w:hideMark/>
          </w:tcPr>
          <w:p w14:paraId="2803C69A" w14:textId="77777777" w:rsidR="00966D63" w:rsidRPr="00966D63" w:rsidRDefault="00966D63" w:rsidP="00966D63">
            <w:pPr>
              <w:spacing w:before="0" w:after="0"/>
              <w:jc w:val="right"/>
              <w:rPr>
                <w:color w:val="auto"/>
                <w:sz w:val="16"/>
                <w:szCs w:val="16"/>
              </w:rPr>
            </w:pPr>
            <w:r w:rsidRPr="00966D63">
              <w:rPr>
                <w:color w:val="auto"/>
                <w:sz w:val="16"/>
                <w:szCs w:val="16"/>
              </w:rPr>
              <w:t>(23,561)</w:t>
            </w:r>
          </w:p>
        </w:tc>
      </w:tr>
      <w:tr w:rsidR="00966D63" w:rsidRPr="00966D63" w14:paraId="1DDA465B" w14:textId="77777777" w:rsidTr="00966D63">
        <w:trPr>
          <w:trHeight w:val="675"/>
          <w:jc w:val="center"/>
        </w:trPr>
        <w:tc>
          <w:tcPr>
            <w:tcW w:w="2779" w:type="dxa"/>
            <w:tcBorders>
              <w:top w:val="nil"/>
              <w:left w:val="nil"/>
              <w:bottom w:val="nil"/>
              <w:right w:val="nil"/>
            </w:tcBorders>
            <w:shd w:val="clear" w:color="auto" w:fill="auto"/>
            <w:vAlign w:val="bottom"/>
            <w:hideMark/>
          </w:tcPr>
          <w:p w14:paraId="39BE68E0" w14:textId="15AFEB60" w:rsidR="00966D63" w:rsidRPr="00966D63" w:rsidRDefault="00966D63" w:rsidP="00966D63">
            <w:pPr>
              <w:spacing w:before="0" w:after="0"/>
              <w:ind w:leftChars="150" w:left="270"/>
              <w:rPr>
                <w:color w:val="auto"/>
                <w:sz w:val="16"/>
                <w:szCs w:val="16"/>
              </w:rPr>
            </w:pPr>
            <w:r w:rsidRPr="00966D63">
              <w:rPr>
                <w:color w:val="auto"/>
                <w:sz w:val="16"/>
                <w:szCs w:val="16"/>
              </w:rPr>
              <w:t>Expenses not requiring a</w:t>
            </w:r>
            <w:r>
              <w:rPr>
                <w:color w:val="auto"/>
                <w:sz w:val="16"/>
                <w:szCs w:val="16"/>
              </w:rPr>
              <w:t>ppropriation in the Budget year </w:t>
            </w:r>
            <w:r w:rsidRPr="00966D63">
              <w:rPr>
                <w:color w:val="auto"/>
                <w:sz w:val="16"/>
                <w:szCs w:val="16"/>
                <w:vertAlign w:val="superscript"/>
              </w:rPr>
              <w:t>(d)</w:t>
            </w:r>
          </w:p>
        </w:tc>
        <w:tc>
          <w:tcPr>
            <w:tcW w:w="919" w:type="dxa"/>
            <w:tcBorders>
              <w:top w:val="nil"/>
              <w:left w:val="nil"/>
              <w:bottom w:val="nil"/>
              <w:right w:val="nil"/>
            </w:tcBorders>
            <w:shd w:val="clear" w:color="auto" w:fill="auto"/>
            <w:noWrap/>
            <w:tcMar>
              <w:left w:w="57" w:type="dxa"/>
              <w:right w:w="57" w:type="dxa"/>
            </w:tcMar>
            <w:vAlign w:val="bottom"/>
            <w:hideMark/>
          </w:tcPr>
          <w:p w14:paraId="58CA2474" w14:textId="77777777" w:rsidR="00966D63" w:rsidRPr="00966D63" w:rsidRDefault="00966D63" w:rsidP="00966D63">
            <w:pPr>
              <w:spacing w:before="0" w:after="0"/>
              <w:jc w:val="right"/>
              <w:rPr>
                <w:color w:val="auto"/>
                <w:sz w:val="16"/>
                <w:szCs w:val="16"/>
              </w:rPr>
            </w:pPr>
            <w:r w:rsidRPr="00966D63">
              <w:rPr>
                <w:color w:val="auto"/>
                <w:sz w:val="16"/>
                <w:szCs w:val="16"/>
              </w:rPr>
              <w:t>39,320</w:t>
            </w:r>
          </w:p>
        </w:tc>
        <w:tc>
          <w:tcPr>
            <w:tcW w:w="919" w:type="dxa"/>
            <w:tcBorders>
              <w:top w:val="nil"/>
              <w:left w:val="nil"/>
              <w:bottom w:val="nil"/>
              <w:right w:val="nil"/>
            </w:tcBorders>
            <w:shd w:val="clear" w:color="000000" w:fill="D9D9D9"/>
            <w:noWrap/>
            <w:tcMar>
              <w:left w:w="57" w:type="dxa"/>
              <w:right w:w="57" w:type="dxa"/>
            </w:tcMar>
            <w:vAlign w:val="bottom"/>
            <w:hideMark/>
          </w:tcPr>
          <w:p w14:paraId="5DE55021" w14:textId="77777777" w:rsidR="00966D63" w:rsidRPr="00966D63" w:rsidRDefault="00966D63" w:rsidP="00966D63">
            <w:pPr>
              <w:spacing w:before="0" w:after="0"/>
              <w:jc w:val="right"/>
              <w:rPr>
                <w:color w:val="auto"/>
                <w:sz w:val="16"/>
                <w:szCs w:val="16"/>
              </w:rPr>
            </w:pPr>
            <w:r w:rsidRPr="00966D63">
              <w:rPr>
                <w:color w:val="auto"/>
                <w:sz w:val="16"/>
                <w:szCs w:val="16"/>
              </w:rPr>
              <w:t>49,167</w:t>
            </w:r>
          </w:p>
        </w:tc>
        <w:tc>
          <w:tcPr>
            <w:tcW w:w="901" w:type="dxa"/>
            <w:tcBorders>
              <w:top w:val="nil"/>
              <w:left w:val="nil"/>
              <w:bottom w:val="nil"/>
              <w:right w:val="nil"/>
            </w:tcBorders>
            <w:shd w:val="clear" w:color="auto" w:fill="auto"/>
            <w:noWrap/>
            <w:tcMar>
              <w:left w:w="57" w:type="dxa"/>
              <w:right w:w="57" w:type="dxa"/>
            </w:tcMar>
            <w:vAlign w:val="bottom"/>
            <w:hideMark/>
          </w:tcPr>
          <w:p w14:paraId="413FE199" w14:textId="77777777" w:rsidR="00966D63" w:rsidRPr="00966D63" w:rsidRDefault="00966D63" w:rsidP="00966D63">
            <w:pPr>
              <w:spacing w:before="0" w:after="0"/>
              <w:jc w:val="right"/>
              <w:rPr>
                <w:color w:val="auto"/>
                <w:sz w:val="16"/>
                <w:szCs w:val="16"/>
              </w:rPr>
            </w:pPr>
            <w:r w:rsidRPr="00966D63">
              <w:rPr>
                <w:color w:val="auto"/>
                <w:sz w:val="16"/>
                <w:szCs w:val="16"/>
              </w:rPr>
              <w:t>44,631</w:t>
            </w:r>
          </w:p>
        </w:tc>
        <w:tc>
          <w:tcPr>
            <w:tcW w:w="901" w:type="dxa"/>
            <w:tcBorders>
              <w:top w:val="nil"/>
              <w:left w:val="nil"/>
              <w:bottom w:val="nil"/>
              <w:right w:val="nil"/>
            </w:tcBorders>
            <w:shd w:val="clear" w:color="auto" w:fill="auto"/>
            <w:noWrap/>
            <w:tcMar>
              <w:left w:w="57" w:type="dxa"/>
              <w:right w:w="57" w:type="dxa"/>
            </w:tcMar>
            <w:vAlign w:val="bottom"/>
            <w:hideMark/>
          </w:tcPr>
          <w:p w14:paraId="4ABE7BBB" w14:textId="77777777" w:rsidR="00966D63" w:rsidRPr="00966D63" w:rsidRDefault="00966D63" w:rsidP="00966D63">
            <w:pPr>
              <w:spacing w:before="0" w:after="0"/>
              <w:jc w:val="right"/>
              <w:rPr>
                <w:color w:val="auto"/>
                <w:sz w:val="16"/>
                <w:szCs w:val="16"/>
              </w:rPr>
            </w:pPr>
            <w:r w:rsidRPr="00966D63">
              <w:rPr>
                <w:color w:val="auto"/>
                <w:sz w:val="16"/>
                <w:szCs w:val="16"/>
              </w:rPr>
              <w:t>42,023</w:t>
            </w:r>
          </w:p>
        </w:tc>
        <w:tc>
          <w:tcPr>
            <w:tcW w:w="901" w:type="dxa"/>
            <w:tcBorders>
              <w:top w:val="nil"/>
              <w:left w:val="nil"/>
              <w:bottom w:val="nil"/>
              <w:right w:val="nil"/>
            </w:tcBorders>
            <w:shd w:val="clear" w:color="auto" w:fill="auto"/>
            <w:noWrap/>
            <w:tcMar>
              <w:left w:w="57" w:type="dxa"/>
              <w:right w:w="57" w:type="dxa"/>
            </w:tcMar>
            <w:vAlign w:val="bottom"/>
            <w:hideMark/>
          </w:tcPr>
          <w:p w14:paraId="089D83E9" w14:textId="77777777" w:rsidR="00966D63" w:rsidRPr="00966D63" w:rsidRDefault="00966D63" w:rsidP="00966D63">
            <w:pPr>
              <w:spacing w:before="0" w:after="0"/>
              <w:jc w:val="right"/>
              <w:rPr>
                <w:color w:val="auto"/>
                <w:sz w:val="16"/>
                <w:szCs w:val="16"/>
              </w:rPr>
            </w:pPr>
            <w:r w:rsidRPr="00966D63">
              <w:rPr>
                <w:color w:val="auto"/>
                <w:sz w:val="16"/>
                <w:szCs w:val="16"/>
              </w:rPr>
              <w:t>37,305</w:t>
            </w:r>
          </w:p>
        </w:tc>
      </w:tr>
      <w:tr w:rsidR="00966D63" w:rsidRPr="00966D63" w14:paraId="19D07644"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59C9DA30" w14:textId="77777777" w:rsidR="00966D63" w:rsidRPr="00966D63" w:rsidRDefault="00966D63" w:rsidP="00966D63">
            <w:pPr>
              <w:spacing w:before="0" w:after="0"/>
              <w:ind w:leftChars="150" w:left="270"/>
              <w:rPr>
                <w:color w:val="auto"/>
                <w:sz w:val="16"/>
                <w:szCs w:val="16"/>
              </w:rPr>
            </w:pPr>
            <w:r w:rsidRPr="00966D63">
              <w:rPr>
                <w:color w:val="auto"/>
                <w:sz w:val="16"/>
                <w:szCs w:val="16"/>
              </w:rPr>
              <w:t>Special accounts</w:t>
            </w:r>
          </w:p>
        </w:tc>
        <w:tc>
          <w:tcPr>
            <w:tcW w:w="919" w:type="dxa"/>
            <w:tcBorders>
              <w:top w:val="nil"/>
              <w:left w:val="nil"/>
              <w:bottom w:val="single" w:sz="4" w:space="0" w:color="auto"/>
              <w:right w:val="nil"/>
            </w:tcBorders>
            <w:shd w:val="clear" w:color="auto" w:fill="auto"/>
            <w:noWrap/>
            <w:tcMar>
              <w:left w:w="57" w:type="dxa"/>
              <w:right w:w="57" w:type="dxa"/>
            </w:tcMar>
            <w:vAlign w:val="center"/>
            <w:hideMark/>
          </w:tcPr>
          <w:p w14:paraId="2FC44811" w14:textId="77777777" w:rsidR="00966D63" w:rsidRPr="00966D63" w:rsidRDefault="00966D63" w:rsidP="00966D63">
            <w:pPr>
              <w:spacing w:before="0" w:after="0"/>
              <w:jc w:val="right"/>
              <w:rPr>
                <w:color w:val="auto"/>
                <w:sz w:val="16"/>
                <w:szCs w:val="16"/>
              </w:rPr>
            </w:pPr>
            <w:r w:rsidRPr="00966D63">
              <w:rPr>
                <w:color w:val="auto"/>
                <w:sz w:val="16"/>
                <w:szCs w:val="16"/>
              </w:rPr>
              <w:t>221,897</w:t>
            </w:r>
          </w:p>
        </w:tc>
        <w:tc>
          <w:tcPr>
            <w:tcW w:w="919" w:type="dxa"/>
            <w:tcBorders>
              <w:top w:val="nil"/>
              <w:left w:val="nil"/>
              <w:bottom w:val="nil"/>
              <w:right w:val="nil"/>
            </w:tcBorders>
            <w:shd w:val="clear" w:color="000000" w:fill="D9D9D9"/>
            <w:noWrap/>
            <w:tcMar>
              <w:left w:w="57" w:type="dxa"/>
              <w:right w:w="57" w:type="dxa"/>
            </w:tcMar>
            <w:vAlign w:val="bottom"/>
            <w:hideMark/>
          </w:tcPr>
          <w:p w14:paraId="180D8BD8" w14:textId="77777777" w:rsidR="00966D63" w:rsidRPr="00966D63" w:rsidRDefault="00966D63" w:rsidP="00966D63">
            <w:pPr>
              <w:spacing w:before="0" w:after="0"/>
              <w:jc w:val="right"/>
              <w:rPr>
                <w:color w:val="auto"/>
                <w:sz w:val="16"/>
                <w:szCs w:val="16"/>
              </w:rPr>
            </w:pPr>
            <w:r w:rsidRPr="00966D63">
              <w:rPr>
                <w:color w:val="auto"/>
                <w:sz w:val="16"/>
                <w:szCs w:val="16"/>
              </w:rPr>
              <w:t>228,884</w:t>
            </w:r>
          </w:p>
        </w:tc>
        <w:tc>
          <w:tcPr>
            <w:tcW w:w="901" w:type="dxa"/>
            <w:tcBorders>
              <w:top w:val="nil"/>
              <w:left w:val="nil"/>
              <w:bottom w:val="single" w:sz="4" w:space="0" w:color="auto"/>
              <w:right w:val="nil"/>
            </w:tcBorders>
            <w:shd w:val="clear" w:color="auto" w:fill="auto"/>
            <w:noWrap/>
            <w:tcMar>
              <w:left w:w="57" w:type="dxa"/>
              <w:right w:w="57" w:type="dxa"/>
            </w:tcMar>
            <w:vAlign w:val="center"/>
            <w:hideMark/>
          </w:tcPr>
          <w:p w14:paraId="5ABAA4E0" w14:textId="77777777" w:rsidR="00966D63" w:rsidRPr="00966D63" w:rsidRDefault="00966D63" w:rsidP="00966D63">
            <w:pPr>
              <w:spacing w:before="0" w:after="0"/>
              <w:jc w:val="right"/>
              <w:rPr>
                <w:color w:val="auto"/>
                <w:sz w:val="16"/>
                <w:szCs w:val="16"/>
              </w:rPr>
            </w:pPr>
            <w:r w:rsidRPr="00966D63">
              <w:rPr>
                <w:color w:val="auto"/>
                <w:sz w:val="16"/>
                <w:szCs w:val="16"/>
              </w:rPr>
              <w:t>222,956</w:t>
            </w:r>
          </w:p>
        </w:tc>
        <w:tc>
          <w:tcPr>
            <w:tcW w:w="901" w:type="dxa"/>
            <w:tcBorders>
              <w:top w:val="nil"/>
              <w:left w:val="nil"/>
              <w:bottom w:val="single" w:sz="4" w:space="0" w:color="auto"/>
              <w:right w:val="nil"/>
            </w:tcBorders>
            <w:shd w:val="clear" w:color="auto" w:fill="auto"/>
            <w:noWrap/>
            <w:tcMar>
              <w:left w:w="57" w:type="dxa"/>
              <w:right w:w="57" w:type="dxa"/>
            </w:tcMar>
            <w:vAlign w:val="center"/>
            <w:hideMark/>
          </w:tcPr>
          <w:p w14:paraId="4554032F" w14:textId="77777777" w:rsidR="00966D63" w:rsidRPr="00966D63" w:rsidRDefault="00966D63" w:rsidP="00966D63">
            <w:pPr>
              <w:spacing w:before="0" w:after="0"/>
              <w:jc w:val="right"/>
              <w:rPr>
                <w:color w:val="auto"/>
                <w:sz w:val="16"/>
                <w:szCs w:val="16"/>
              </w:rPr>
            </w:pPr>
            <w:r w:rsidRPr="00966D63">
              <w:rPr>
                <w:color w:val="auto"/>
                <w:sz w:val="16"/>
                <w:szCs w:val="16"/>
              </w:rPr>
              <w:t>223,629</w:t>
            </w:r>
          </w:p>
        </w:tc>
        <w:tc>
          <w:tcPr>
            <w:tcW w:w="901" w:type="dxa"/>
            <w:tcBorders>
              <w:top w:val="nil"/>
              <w:left w:val="nil"/>
              <w:bottom w:val="single" w:sz="4" w:space="0" w:color="auto"/>
              <w:right w:val="nil"/>
            </w:tcBorders>
            <w:shd w:val="clear" w:color="auto" w:fill="auto"/>
            <w:noWrap/>
            <w:tcMar>
              <w:left w:w="57" w:type="dxa"/>
              <w:right w:w="57" w:type="dxa"/>
            </w:tcMar>
            <w:vAlign w:val="center"/>
            <w:hideMark/>
          </w:tcPr>
          <w:p w14:paraId="430B0BCC" w14:textId="77777777" w:rsidR="00966D63" w:rsidRPr="00966D63" w:rsidRDefault="00966D63" w:rsidP="00966D63">
            <w:pPr>
              <w:spacing w:before="0" w:after="0"/>
              <w:jc w:val="right"/>
              <w:rPr>
                <w:color w:val="auto"/>
                <w:sz w:val="16"/>
                <w:szCs w:val="16"/>
              </w:rPr>
            </w:pPr>
            <w:r w:rsidRPr="00966D63">
              <w:rPr>
                <w:color w:val="auto"/>
                <w:sz w:val="16"/>
                <w:szCs w:val="16"/>
              </w:rPr>
              <w:t>223,271</w:t>
            </w:r>
          </w:p>
        </w:tc>
      </w:tr>
      <w:tr w:rsidR="00966D63" w:rsidRPr="00966D63" w14:paraId="73C8EFBA" w14:textId="77777777" w:rsidTr="00966D63">
        <w:trPr>
          <w:trHeight w:val="300"/>
          <w:jc w:val="center"/>
        </w:trPr>
        <w:tc>
          <w:tcPr>
            <w:tcW w:w="2779" w:type="dxa"/>
            <w:tcBorders>
              <w:top w:val="nil"/>
              <w:left w:val="nil"/>
              <w:bottom w:val="single" w:sz="4" w:space="0" w:color="auto"/>
              <w:right w:val="nil"/>
            </w:tcBorders>
            <w:shd w:val="clear" w:color="auto" w:fill="auto"/>
            <w:noWrap/>
            <w:vAlign w:val="bottom"/>
            <w:hideMark/>
          </w:tcPr>
          <w:p w14:paraId="6D55CA6B" w14:textId="77777777" w:rsidR="00966D63" w:rsidRPr="00966D63" w:rsidRDefault="00966D63" w:rsidP="00966D63">
            <w:pPr>
              <w:spacing w:before="0" w:after="0"/>
              <w:rPr>
                <w:b/>
                <w:bCs/>
                <w:color w:val="auto"/>
                <w:sz w:val="16"/>
                <w:szCs w:val="16"/>
              </w:rPr>
            </w:pPr>
            <w:r w:rsidRPr="00966D63">
              <w:rPr>
                <w:b/>
                <w:bCs/>
                <w:color w:val="auto"/>
                <w:sz w:val="16"/>
                <w:szCs w:val="16"/>
              </w:rPr>
              <w:t>Total expenses for Outcome 1</w:t>
            </w:r>
          </w:p>
        </w:tc>
        <w:tc>
          <w:tcPr>
            <w:tcW w:w="919" w:type="dxa"/>
            <w:tcBorders>
              <w:top w:val="nil"/>
              <w:left w:val="nil"/>
              <w:bottom w:val="single" w:sz="4" w:space="0" w:color="auto"/>
              <w:right w:val="nil"/>
            </w:tcBorders>
            <w:shd w:val="clear" w:color="auto" w:fill="auto"/>
            <w:noWrap/>
            <w:tcMar>
              <w:left w:w="57" w:type="dxa"/>
              <w:right w:w="57" w:type="dxa"/>
            </w:tcMar>
            <w:vAlign w:val="bottom"/>
            <w:hideMark/>
          </w:tcPr>
          <w:p w14:paraId="0F436229" w14:textId="77777777" w:rsidR="00966D63" w:rsidRPr="00966D63" w:rsidRDefault="00966D63" w:rsidP="00966D63">
            <w:pPr>
              <w:spacing w:before="0" w:after="0"/>
              <w:jc w:val="right"/>
              <w:rPr>
                <w:b/>
                <w:bCs/>
                <w:color w:val="auto"/>
                <w:sz w:val="16"/>
                <w:szCs w:val="16"/>
              </w:rPr>
            </w:pPr>
            <w:r w:rsidRPr="00966D63">
              <w:rPr>
                <w:b/>
                <w:bCs/>
                <w:color w:val="auto"/>
                <w:sz w:val="16"/>
                <w:szCs w:val="16"/>
              </w:rPr>
              <w:t>18,747,310</w:t>
            </w:r>
          </w:p>
        </w:tc>
        <w:tc>
          <w:tcPr>
            <w:tcW w:w="919" w:type="dxa"/>
            <w:tcBorders>
              <w:top w:val="single" w:sz="4" w:space="0" w:color="auto"/>
              <w:left w:val="nil"/>
              <w:bottom w:val="single" w:sz="4" w:space="0" w:color="auto"/>
              <w:right w:val="nil"/>
            </w:tcBorders>
            <w:shd w:val="clear" w:color="000000" w:fill="D9D9D9"/>
            <w:noWrap/>
            <w:tcMar>
              <w:left w:w="57" w:type="dxa"/>
              <w:right w:w="57" w:type="dxa"/>
            </w:tcMar>
            <w:vAlign w:val="bottom"/>
            <w:hideMark/>
          </w:tcPr>
          <w:p w14:paraId="271978F7" w14:textId="77777777" w:rsidR="00966D63" w:rsidRPr="00966D63" w:rsidRDefault="00966D63" w:rsidP="00966D63">
            <w:pPr>
              <w:spacing w:before="0" w:after="0"/>
              <w:jc w:val="right"/>
              <w:rPr>
                <w:b/>
                <w:bCs/>
                <w:color w:val="auto"/>
                <w:sz w:val="16"/>
                <w:szCs w:val="16"/>
              </w:rPr>
            </w:pPr>
            <w:r w:rsidRPr="00966D63">
              <w:rPr>
                <w:b/>
                <w:bCs/>
                <w:color w:val="auto"/>
                <w:sz w:val="16"/>
                <w:szCs w:val="16"/>
              </w:rPr>
              <w:t>13,382,587</w:t>
            </w:r>
          </w:p>
        </w:tc>
        <w:tc>
          <w:tcPr>
            <w:tcW w:w="901" w:type="dxa"/>
            <w:tcBorders>
              <w:top w:val="nil"/>
              <w:left w:val="nil"/>
              <w:bottom w:val="single" w:sz="4" w:space="0" w:color="auto"/>
              <w:right w:val="nil"/>
            </w:tcBorders>
            <w:shd w:val="clear" w:color="auto" w:fill="auto"/>
            <w:noWrap/>
            <w:tcMar>
              <w:left w:w="57" w:type="dxa"/>
              <w:right w:w="57" w:type="dxa"/>
            </w:tcMar>
            <w:vAlign w:val="bottom"/>
            <w:hideMark/>
          </w:tcPr>
          <w:p w14:paraId="17426CCE" w14:textId="77777777" w:rsidR="00966D63" w:rsidRPr="00966D63" w:rsidRDefault="00966D63" w:rsidP="00966D63">
            <w:pPr>
              <w:spacing w:before="0" w:after="0"/>
              <w:jc w:val="right"/>
              <w:rPr>
                <w:b/>
                <w:bCs/>
                <w:color w:val="auto"/>
                <w:sz w:val="16"/>
                <w:szCs w:val="16"/>
              </w:rPr>
            </w:pPr>
            <w:r w:rsidRPr="00966D63">
              <w:rPr>
                <w:b/>
                <w:bCs/>
                <w:color w:val="auto"/>
                <w:sz w:val="16"/>
                <w:szCs w:val="16"/>
              </w:rPr>
              <w:t>9,240,412</w:t>
            </w:r>
          </w:p>
        </w:tc>
        <w:tc>
          <w:tcPr>
            <w:tcW w:w="901" w:type="dxa"/>
            <w:tcBorders>
              <w:top w:val="nil"/>
              <w:left w:val="nil"/>
              <w:bottom w:val="single" w:sz="4" w:space="0" w:color="auto"/>
              <w:right w:val="nil"/>
            </w:tcBorders>
            <w:shd w:val="clear" w:color="auto" w:fill="auto"/>
            <w:noWrap/>
            <w:tcMar>
              <w:left w:w="57" w:type="dxa"/>
              <w:right w:w="57" w:type="dxa"/>
            </w:tcMar>
            <w:vAlign w:val="bottom"/>
            <w:hideMark/>
          </w:tcPr>
          <w:p w14:paraId="6A54E2D7" w14:textId="77777777" w:rsidR="00966D63" w:rsidRPr="00966D63" w:rsidRDefault="00966D63" w:rsidP="00966D63">
            <w:pPr>
              <w:spacing w:before="0" w:after="0"/>
              <w:jc w:val="right"/>
              <w:rPr>
                <w:b/>
                <w:bCs/>
                <w:color w:val="auto"/>
                <w:sz w:val="16"/>
                <w:szCs w:val="16"/>
              </w:rPr>
            </w:pPr>
            <w:r w:rsidRPr="00966D63">
              <w:rPr>
                <w:b/>
                <w:bCs/>
                <w:color w:val="auto"/>
                <w:sz w:val="16"/>
                <w:szCs w:val="16"/>
              </w:rPr>
              <w:t>8,892,670</w:t>
            </w:r>
          </w:p>
        </w:tc>
        <w:tc>
          <w:tcPr>
            <w:tcW w:w="901" w:type="dxa"/>
            <w:tcBorders>
              <w:top w:val="nil"/>
              <w:left w:val="nil"/>
              <w:bottom w:val="single" w:sz="4" w:space="0" w:color="auto"/>
              <w:right w:val="nil"/>
            </w:tcBorders>
            <w:shd w:val="clear" w:color="auto" w:fill="auto"/>
            <w:noWrap/>
            <w:tcMar>
              <w:left w:w="57" w:type="dxa"/>
              <w:right w:w="57" w:type="dxa"/>
            </w:tcMar>
            <w:vAlign w:val="bottom"/>
            <w:hideMark/>
          </w:tcPr>
          <w:p w14:paraId="558F414C" w14:textId="77777777" w:rsidR="00966D63" w:rsidRPr="00966D63" w:rsidRDefault="00966D63" w:rsidP="00966D63">
            <w:pPr>
              <w:spacing w:before="0" w:after="0"/>
              <w:jc w:val="right"/>
              <w:rPr>
                <w:b/>
                <w:bCs/>
                <w:color w:val="auto"/>
                <w:sz w:val="16"/>
                <w:szCs w:val="16"/>
              </w:rPr>
            </w:pPr>
            <w:r w:rsidRPr="00966D63">
              <w:rPr>
                <w:b/>
                <w:bCs/>
                <w:color w:val="auto"/>
                <w:sz w:val="16"/>
                <w:szCs w:val="16"/>
              </w:rPr>
              <w:t>8,975,416</w:t>
            </w:r>
          </w:p>
        </w:tc>
      </w:tr>
      <w:tr w:rsidR="00966D63" w:rsidRPr="00966D63" w14:paraId="5627A90E" w14:textId="77777777" w:rsidTr="00966D63">
        <w:trPr>
          <w:trHeight w:val="225"/>
          <w:jc w:val="center"/>
        </w:trPr>
        <w:tc>
          <w:tcPr>
            <w:tcW w:w="2779" w:type="dxa"/>
            <w:tcBorders>
              <w:top w:val="nil"/>
              <w:left w:val="nil"/>
              <w:bottom w:val="nil"/>
              <w:right w:val="nil"/>
            </w:tcBorders>
            <w:shd w:val="clear" w:color="auto" w:fill="auto"/>
            <w:noWrap/>
            <w:vAlign w:val="bottom"/>
            <w:hideMark/>
          </w:tcPr>
          <w:p w14:paraId="7EA19AB8" w14:textId="77777777" w:rsidR="00966D63" w:rsidRPr="00966D63" w:rsidRDefault="00966D63" w:rsidP="00966D63">
            <w:pPr>
              <w:spacing w:before="0" w:after="0"/>
              <w:jc w:val="right"/>
              <w:rPr>
                <w:b/>
                <w:bCs/>
                <w:color w:val="auto"/>
                <w:sz w:val="16"/>
                <w:szCs w:val="16"/>
              </w:rPr>
            </w:pPr>
          </w:p>
        </w:tc>
        <w:tc>
          <w:tcPr>
            <w:tcW w:w="919" w:type="dxa"/>
            <w:tcBorders>
              <w:top w:val="nil"/>
              <w:left w:val="nil"/>
              <w:bottom w:val="single" w:sz="4" w:space="0" w:color="auto"/>
              <w:right w:val="nil"/>
            </w:tcBorders>
            <w:shd w:val="clear" w:color="auto" w:fill="auto"/>
            <w:noWrap/>
            <w:tcMar>
              <w:left w:w="57" w:type="dxa"/>
              <w:right w:w="57" w:type="dxa"/>
            </w:tcMar>
            <w:vAlign w:val="bottom"/>
            <w:hideMark/>
          </w:tcPr>
          <w:p w14:paraId="18B97145" w14:textId="77777777" w:rsidR="00966D63" w:rsidRPr="00966D63" w:rsidRDefault="00966D63" w:rsidP="00966D63">
            <w:pPr>
              <w:spacing w:before="0" w:after="0"/>
              <w:jc w:val="right"/>
              <w:rPr>
                <w:b/>
                <w:bCs/>
                <w:color w:val="auto"/>
                <w:sz w:val="16"/>
                <w:szCs w:val="16"/>
              </w:rPr>
            </w:pPr>
            <w:r w:rsidRPr="00966D63">
              <w:rPr>
                <w:b/>
                <w:bCs/>
                <w:color w:val="auto"/>
                <w:sz w:val="16"/>
                <w:szCs w:val="16"/>
              </w:rPr>
              <w:t> </w:t>
            </w:r>
          </w:p>
        </w:tc>
        <w:tc>
          <w:tcPr>
            <w:tcW w:w="919" w:type="dxa"/>
            <w:tcBorders>
              <w:top w:val="nil"/>
              <w:left w:val="nil"/>
              <w:bottom w:val="single" w:sz="4" w:space="0" w:color="auto"/>
              <w:right w:val="nil"/>
            </w:tcBorders>
            <w:shd w:val="clear" w:color="auto" w:fill="auto"/>
            <w:noWrap/>
            <w:tcMar>
              <w:left w:w="57" w:type="dxa"/>
              <w:right w:w="57" w:type="dxa"/>
            </w:tcMar>
            <w:vAlign w:val="bottom"/>
            <w:hideMark/>
          </w:tcPr>
          <w:p w14:paraId="1D3B1140" w14:textId="77777777" w:rsidR="00966D63" w:rsidRPr="00966D63" w:rsidRDefault="00966D63" w:rsidP="00966D63">
            <w:pPr>
              <w:spacing w:before="0" w:after="0"/>
              <w:jc w:val="right"/>
              <w:rPr>
                <w:b/>
                <w:bCs/>
                <w:color w:val="auto"/>
                <w:sz w:val="16"/>
                <w:szCs w:val="16"/>
              </w:rPr>
            </w:pPr>
            <w:r w:rsidRPr="00966D63">
              <w:rPr>
                <w:b/>
                <w:bCs/>
                <w:color w:val="auto"/>
                <w:sz w:val="16"/>
                <w:szCs w:val="16"/>
              </w:rPr>
              <w:t> </w:t>
            </w:r>
          </w:p>
        </w:tc>
        <w:tc>
          <w:tcPr>
            <w:tcW w:w="901" w:type="dxa"/>
            <w:tcBorders>
              <w:top w:val="nil"/>
              <w:left w:val="nil"/>
              <w:bottom w:val="nil"/>
              <w:right w:val="nil"/>
            </w:tcBorders>
            <w:shd w:val="clear" w:color="auto" w:fill="auto"/>
            <w:noWrap/>
            <w:tcMar>
              <w:left w:w="57" w:type="dxa"/>
              <w:right w:w="57" w:type="dxa"/>
            </w:tcMar>
            <w:vAlign w:val="bottom"/>
            <w:hideMark/>
          </w:tcPr>
          <w:p w14:paraId="7E118C07" w14:textId="77777777" w:rsidR="00966D63" w:rsidRPr="00966D63" w:rsidRDefault="00966D63" w:rsidP="00966D63">
            <w:pPr>
              <w:spacing w:before="0" w:after="0"/>
              <w:jc w:val="right"/>
              <w:rPr>
                <w:b/>
                <w:bCs/>
                <w:color w:val="auto"/>
                <w:sz w:val="16"/>
                <w:szCs w:val="16"/>
              </w:rPr>
            </w:pPr>
          </w:p>
        </w:tc>
        <w:tc>
          <w:tcPr>
            <w:tcW w:w="901" w:type="dxa"/>
            <w:tcBorders>
              <w:top w:val="nil"/>
              <w:left w:val="nil"/>
              <w:bottom w:val="nil"/>
              <w:right w:val="nil"/>
            </w:tcBorders>
            <w:shd w:val="clear" w:color="auto" w:fill="auto"/>
            <w:noWrap/>
            <w:tcMar>
              <w:left w:w="57" w:type="dxa"/>
              <w:right w:w="57" w:type="dxa"/>
            </w:tcMar>
            <w:vAlign w:val="bottom"/>
            <w:hideMark/>
          </w:tcPr>
          <w:p w14:paraId="0235E933" w14:textId="77777777" w:rsidR="00966D63" w:rsidRPr="00966D63" w:rsidRDefault="00966D63" w:rsidP="00966D63">
            <w:pPr>
              <w:spacing w:before="0" w:after="0"/>
              <w:jc w:val="right"/>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noWrap/>
            <w:tcMar>
              <w:left w:w="57" w:type="dxa"/>
              <w:right w:w="57" w:type="dxa"/>
            </w:tcMar>
            <w:vAlign w:val="bottom"/>
            <w:hideMark/>
          </w:tcPr>
          <w:p w14:paraId="693FF85B" w14:textId="77777777" w:rsidR="00966D63" w:rsidRPr="00966D63" w:rsidRDefault="00966D63" w:rsidP="00966D63">
            <w:pPr>
              <w:spacing w:before="0" w:after="0"/>
              <w:jc w:val="right"/>
              <w:rPr>
                <w:rFonts w:ascii="Times New Roman" w:hAnsi="Times New Roman" w:cs="Times New Roman"/>
                <w:color w:val="auto"/>
                <w:sz w:val="20"/>
                <w:szCs w:val="20"/>
              </w:rPr>
            </w:pPr>
          </w:p>
        </w:tc>
      </w:tr>
      <w:tr w:rsidR="00966D63" w:rsidRPr="00966D63" w14:paraId="648341BF" w14:textId="77777777" w:rsidTr="00966D63">
        <w:trPr>
          <w:trHeight w:val="225"/>
          <w:jc w:val="center"/>
        </w:trPr>
        <w:tc>
          <w:tcPr>
            <w:tcW w:w="2779" w:type="dxa"/>
            <w:tcBorders>
              <w:top w:val="single" w:sz="4" w:space="0" w:color="auto"/>
              <w:left w:val="nil"/>
              <w:bottom w:val="nil"/>
              <w:right w:val="nil"/>
            </w:tcBorders>
            <w:shd w:val="clear" w:color="auto" w:fill="auto"/>
            <w:noWrap/>
            <w:vAlign w:val="center"/>
            <w:hideMark/>
          </w:tcPr>
          <w:p w14:paraId="4A8D6171" w14:textId="77777777" w:rsidR="00966D63" w:rsidRPr="00966D63" w:rsidRDefault="00966D63" w:rsidP="00966D63">
            <w:pPr>
              <w:spacing w:before="0" w:after="0"/>
              <w:ind w:firstLineChars="100" w:firstLine="160"/>
              <w:rPr>
                <w:color w:val="auto"/>
                <w:sz w:val="16"/>
                <w:szCs w:val="16"/>
              </w:rPr>
            </w:pPr>
            <w:r w:rsidRPr="00966D63">
              <w:rPr>
                <w:color w:val="auto"/>
                <w:sz w:val="16"/>
                <w:szCs w:val="16"/>
              </w:rPr>
              <w:t> </w:t>
            </w:r>
          </w:p>
        </w:tc>
        <w:tc>
          <w:tcPr>
            <w:tcW w:w="919" w:type="dxa"/>
            <w:tcBorders>
              <w:top w:val="nil"/>
              <w:left w:val="nil"/>
              <w:bottom w:val="single" w:sz="4" w:space="0" w:color="auto"/>
              <w:right w:val="nil"/>
            </w:tcBorders>
            <w:shd w:val="clear" w:color="auto" w:fill="auto"/>
            <w:noWrap/>
            <w:tcMar>
              <w:left w:w="57" w:type="dxa"/>
              <w:right w:w="57" w:type="dxa"/>
            </w:tcMar>
            <w:vAlign w:val="bottom"/>
            <w:hideMark/>
          </w:tcPr>
          <w:p w14:paraId="2CE00059" w14:textId="77777777" w:rsidR="00966D63" w:rsidRPr="00966D63" w:rsidRDefault="00966D63" w:rsidP="00966D63">
            <w:pPr>
              <w:spacing w:before="0" w:after="0"/>
              <w:jc w:val="right"/>
              <w:rPr>
                <w:b/>
                <w:bCs/>
                <w:color w:val="auto"/>
                <w:sz w:val="16"/>
                <w:szCs w:val="16"/>
              </w:rPr>
            </w:pPr>
            <w:r w:rsidRPr="00966D63">
              <w:rPr>
                <w:b/>
                <w:bCs/>
                <w:color w:val="auto"/>
                <w:sz w:val="16"/>
                <w:szCs w:val="16"/>
              </w:rPr>
              <w:t>2021–22</w:t>
            </w:r>
          </w:p>
        </w:tc>
        <w:tc>
          <w:tcPr>
            <w:tcW w:w="919" w:type="dxa"/>
            <w:tcBorders>
              <w:top w:val="nil"/>
              <w:left w:val="nil"/>
              <w:bottom w:val="single" w:sz="4" w:space="0" w:color="auto"/>
              <w:right w:val="nil"/>
            </w:tcBorders>
            <w:shd w:val="clear" w:color="000000" w:fill="D9D9D9"/>
            <w:noWrap/>
            <w:tcMar>
              <w:left w:w="57" w:type="dxa"/>
              <w:right w:w="57" w:type="dxa"/>
            </w:tcMar>
            <w:vAlign w:val="bottom"/>
            <w:hideMark/>
          </w:tcPr>
          <w:p w14:paraId="287A1712" w14:textId="77777777" w:rsidR="00966D63" w:rsidRPr="00966D63" w:rsidRDefault="00966D63" w:rsidP="00966D63">
            <w:pPr>
              <w:spacing w:before="0" w:after="0"/>
              <w:jc w:val="right"/>
              <w:rPr>
                <w:b/>
                <w:bCs/>
                <w:color w:val="auto"/>
                <w:sz w:val="16"/>
                <w:szCs w:val="16"/>
              </w:rPr>
            </w:pPr>
            <w:r w:rsidRPr="00966D63">
              <w:rPr>
                <w:b/>
                <w:bCs/>
                <w:color w:val="auto"/>
                <w:sz w:val="16"/>
                <w:szCs w:val="16"/>
              </w:rPr>
              <w:t>2022–23</w:t>
            </w:r>
          </w:p>
        </w:tc>
        <w:tc>
          <w:tcPr>
            <w:tcW w:w="901" w:type="dxa"/>
            <w:tcBorders>
              <w:top w:val="nil"/>
              <w:left w:val="nil"/>
              <w:bottom w:val="nil"/>
              <w:right w:val="nil"/>
            </w:tcBorders>
            <w:shd w:val="clear" w:color="auto" w:fill="auto"/>
            <w:tcMar>
              <w:left w:w="57" w:type="dxa"/>
              <w:right w:w="57" w:type="dxa"/>
            </w:tcMar>
            <w:vAlign w:val="bottom"/>
            <w:hideMark/>
          </w:tcPr>
          <w:p w14:paraId="6ED3E4FA" w14:textId="77777777" w:rsidR="00966D63" w:rsidRPr="00966D63" w:rsidRDefault="00966D63" w:rsidP="00966D63">
            <w:pPr>
              <w:spacing w:before="0" w:after="0"/>
              <w:jc w:val="right"/>
              <w:rPr>
                <w:b/>
                <w:bCs/>
                <w:color w:val="auto"/>
                <w:sz w:val="16"/>
                <w:szCs w:val="16"/>
              </w:rPr>
            </w:pPr>
          </w:p>
        </w:tc>
        <w:tc>
          <w:tcPr>
            <w:tcW w:w="901" w:type="dxa"/>
            <w:tcBorders>
              <w:top w:val="nil"/>
              <w:left w:val="nil"/>
              <w:bottom w:val="nil"/>
              <w:right w:val="nil"/>
            </w:tcBorders>
            <w:shd w:val="clear" w:color="auto" w:fill="auto"/>
            <w:tcMar>
              <w:left w:w="57" w:type="dxa"/>
              <w:right w:w="57" w:type="dxa"/>
            </w:tcMar>
            <w:vAlign w:val="bottom"/>
            <w:hideMark/>
          </w:tcPr>
          <w:p w14:paraId="52044A0C" w14:textId="77777777" w:rsidR="00966D63" w:rsidRPr="00966D63" w:rsidRDefault="00966D63" w:rsidP="00966D63">
            <w:pPr>
              <w:spacing w:before="0" w:after="0"/>
              <w:jc w:val="right"/>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tcMar>
              <w:left w:w="57" w:type="dxa"/>
              <w:right w:w="57" w:type="dxa"/>
            </w:tcMar>
            <w:vAlign w:val="bottom"/>
            <w:hideMark/>
          </w:tcPr>
          <w:p w14:paraId="099998B0" w14:textId="77777777" w:rsidR="00966D63" w:rsidRPr="00966D63" w:rsidRDefault="00966D63" w:rsidP="00966D63">
            <w:pPr>
              <w:spacing w:before="0" w:after="0"/>
              <w:jc w:val="right"/>
              <w:rPr>
                <w:rFonts w:ascii="Times New Roman" w:hAnsi="Times New Roman" w:cs="Times New Roman"/>
                <w:color w:val="auto"/>
                <w:sz w:val="20"/>
                <w:szCs w:val="20"/>
              </w:rPr>
            </w:pPr>
          </w:p>
        </w:tc>
      </w:tr>
      <w:tr w:rsidR="00966D63" w:rsidRPr="00966D63" w14:paraId="7C614038" w14:textId="77777777" w:rsidTr="00966D63">
        <w:trPr>
          <w:trHeight w:val="225"/>
          <w:jc w:val="center"/>
        </w:trPr>
        <w:tc>
          <w:tcPr>
            <w:tcW w:w="2779" w:type="dxa"/>
            <w:tcBorders>
              <w:top w:val="nil"/>
              <w:left w:val="nil"/>
              <w:bottom w:val="single" w:sz="4" w:space="0" w:color="auto"/>
              <w:right w:val="nil"/>
            </w:tcBorders>
            <w:shd w:val="clear" w:color="auto" w:fill="auto"/>
            <w:noWrap/>
            <w:vAlign w:val="bottom"/>
            <w:hideMark/>
          </w:tcPr>
          <w:p w14:paraId="1A7E23DE" w14:textId="77777777" w:rsidR="00966D63" w:rsidRPr="00966D63" w:rsidRDefault="00966D63" w:rsidP="00966D63">
            <w:pPr>
              <w:spacing w:before="0" w:after="0"/>
              <w:rPr>
                <w:b/>
                <w:bCs/>
                <w:sz w:val="16"/>
                <w:szCs w:val="16"/>
              </w:rPr>
            </w:pPr>
            <w:r w:rsidRPr="00966D63">
              <w:rPr>
                <w:b/>
                <w:bCs/>
                <w:sz w:val="16"/>
                <w:szCs w:val="16"/>
              </w:rPr>
              <w:t xml:space="preserve">Average </w:t>
            </w:r>
            <w:r w:rsidRPr="00966D63">
              <w:rPr>
                <w:b/>
                <w:bCs/>
                <w:color w:val="auto"/>
                <w:sz w:val="16"/>
                <w:szCs w:val="16"/>
              </w:rPr>
              <w:t>s</w:t>
            </w:r>
            <w:r w:rsidRPr="00966D63">
              <w:rPr>
                <w:b/>
                <w:bCs/>
                <w:sz w:val="16"/>
                <w:szCs w:val="16"/>
              </w:rPr>
              <w:t xml:space="preserve">taffing </w:t>
            </w:r>
            <w:r w:rsidRPr="00966D63">
              <w:rPr>
                <w:b/>
                <w:bCs/>
                <w:color w:val="auto"/>
                <w:sz w:val="16"/>
                <w:szCs w:val="16"/>
              </w:rPr>
              <w:t>l</w:t>
            </w:r>
            <w:r w:rsidRPr="00966D63">
              <w:rPr>
                <w:b/>
                <w:bCs/>
                <w:sz w:val="16"/>
                <w:szCs w:val="16"/>
              </w:rPr>
              <w:t>evel (number)</w:t>
            </w:r>
          </w:p>
        </w:tc>
        <w:tc>
          <w:tcPr>
            <w:tcW w:w="919" w:type="dxa"/>
            <w:tcBorders>
              <w:top w:val="nil"/>
              <w:left w:val="nil"/>
              <w:bottom w:val="single" w:sz="4" w:space="0" w:color="auto"/>
              <w:right w:val="nil"/>
            </w:tcBorders>
            <w:shd w:val="clear" w:color="auto" w:fill="auto"/>
            <w:noWrap/>
            <w:tcMar>
              <w:left w:w="57" w:type="dxa"/>
              <w:right w:w="57" w:type="dxa"/>
            </w:tcMar>
            <w:vAlign w:val="bottom"/>
            <w:hideMark/>
          </w:tcPr>
          <w:p w14:paraId="7432A934" w14:textId="77777777" w:rsidR="00966D63" w:rsidRPr="00966D63" w:rsidRDefault="00966D63" w:rsidP="00966D63">
            <w:pPr>
              <w:spacing w:before="0" w:after="0"/>
              <w:jc w:val="right"/>
              <w:rPr>
                <w:color w:val="auto"/>
                <w:sz w:val="16"/>
                <w:szCs w:val="16"/>
              </w:rPr>
            </w:pPr>
            <w:r w:rsidRPr="00966D63">
              <w:rPr>
                <w:color w:val="auto"/>
                <w:sz w:val="16"/>
                <w:szCs w:val="16"/>
              </w:rPr>
              <w:t>2,767</w:t>
            </w:r>
          </w:p>
        </w:tc>
        <w:tc>
          <w:tcPr>
            <w:tcW w:w="919" w:type="dxa"/>
            <w:tcBorders>
              <w:top w:val="nil"/>
              <w:left w:val="nil"/>
              <w:bottom w:val="single" w:sz="4" w:space="0" w:color="auto"/>
              <w:right w:val="nil"/>
            </w:tcBorders>
            <w:shd w:val="clear" w:color="000000" w:fill="D9D9D9"/>
            <w:noWrap/>
            <w:tcMar>
              <w:left w:w="57" w:type="dxa"/>
              <w:right w:w="57" w:type="dxa"/>
            </w:tcMar>
            <w:vAlign w:val="bottom"/>
            <w:hideMark/>
          </w:tcPr>
          <w:p w14:paraId="56921A83" w14:textId="77777777" w:rsidR="00966D63" w:rsidRPr="00966D63" w:rsidRDefault="00966D63" w:rsidP="00966D63">
            <w:pPr>
              <w:spacing w:before="0" w:after="0"/>
              <w:jc w:val="right"/>
              <w:rPr>
                <w:color w:val="auto"/>
                <w:sz w:val="16"/>
                <w:szCs w:val="16"/>
              </w:rPr>
            </w:pPr>
            <w:r w:rsidRPr="00966D63">
              <w:rPr>
                <w:color w:val="auto"/>
                <w:sz w:val="16"/>
                <w:szCs w:val="16"/>
              </w:rPr>
              <w:t>2,495</w:t>
            </w:r>
          </w:p>
        </w:tc>
        <w:tc>
          <w:tcPr>
            <w:tcW w:w="901" w:type="dxa"/>
            <w:tcBorders>
              <w:top w:val="nil"/>
              <w:left w:val="nil"/>
              <w:bottom w:val="nil"/>
              <w:right w:val="nil"/>
            </w:tcBorders>
            <w:shd w:val="clear" w:color="auto" w:fill="auto"/>
            <w:tcMar>
              <w:left w:w="57" w:type="dxa"/>
              <w:right w:w="57" w:type="dxa"/>
            </w:tcMar>
            <w:vAlign w:val="bottom"/>
            <w:hideMark/>
          </w:tcPr>
          <w:p w14:paraId="3E0FFFB6" w14:textId="77777777" w:rsidR="00966D63" w:rsidRPr="00966D63" w:rsidRDefault="00966D63" w:rsidP="00966D63">
            <w:pPr>
              <w:spacing w:before="0" w:after="0"/>
              <w:jc w:val="right"/>
              <w:rPr>
                <w:color w:val="auto"/>
                <w:sz w:val="16"/>
                <w:szCs w:val="16"/>
              </w:rPr>
            </w:pPr>
          </w:p>
        </w:tc>
        <w:tc>
          <w:tcPr>
            <w:tcW w:w="901" w:type="dxa"/>
            <w:tcBorders>
              <w:top w:val="nil"/>
              <w:left w:val="nil"/>
              <w:bottom w:val="nil"/>
              <w:right w:val="nil"/>
            </w:tcBorders>
            <w:shd w:val="clear" w:color="auto" w:fill="auto"/>
            <w:tcMar>
              <w:left w:w="57" w:type="dxa"/>
              <w:right w:w="57" w:type="dxa"/>
            </w:tcMar>
            <w:vAlign w:val="bottom"/>
            <w:hideMark/>
          </w:tcPr>
          <w:p w14:paraId="06D1C715" w14:textId="77777777" w:rsidR="00966D63" w:rsidRPr="00966D63" w:rsidRDefault="00966D63" w:rsidP="00966D63">
            <w:pPr>
              <w:spacing w:before="0" w:after="0"/>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tcMar>
              <w:left w:w="57" w:type="dxa"/>
              <w:right w:w="57" w:type="dxa"/>
            </w:tcMar>
            <w:vAlign w:val="bottom"/>
            <w:hideMark/>
          </w:tcPr>
          <w:p w14:paraId="38CF1B90" w14:textId="77777777" w:rsidR="00966D63" w:rsidRPr="00966D63" w:rsidRDefault="00966D63" w:rsidP="00966D63">
            <w:pPr>
              <w:spacing w:before="0" w:after="0"/>
              <w:rPr>
                <w:rFonts w:ascii="Times New Roman" w:hAnsi="Times New Roman" w:cs="Times New Roman"/>
                <w:color w:val="auto"/>
                <w:sz w:val="20"/>
                <w:szCs w:val="20"/>
              </w:rPr>
            </w:pPr>
          </w:p>
        </w:tc>
      </w:tr>
    </w:tbl>
    <w:p w14:paraId="570A97A5" w14:textId="08F94179" w:rsidR="00B32B98" w:rsidRDefault="00B32B98" w:rsidP="00B32B98">
      <w:pPr>
        <w:pStyle w:val="FootnoteText"/>
        <w:spacing w:before="120"/>
        <w:ind w:left="284" w:hanging="284"/>
      </w:pPr>
      <w:r w:rsidRPr="00B32B98">
        <w:rPr>
          <w:vertAlign w:val="superscript"/>
        </w:rPr>
        <w:t>(a)</w:t>
      </w:r>
      <w:r>
        <w:tab/>
        <w:t>Budget estimates for this program exclude National Partnership funding paid to state and territory governments by Treasury as part of the Federal Financial Relations (FFR) Framework. National Partnerships are listed in this chapter under each program. For Budget estimates relating to the National Partnership component of this program, please refer to Budget Paper No. 3 or Program 1.9 of Treasury's Portfolio Budget Statements.</w:t>
      </w:r>
    </w:p>
    <w:p w14:paraId="4C688077" w14:textId="52F099C2" w:rsidR="00B32B98" w:rsidRDefault="00B32B98" w:rsidP="00B32B98">
      <w:pPr>
        <w:pStyle w:val="FootnoteText"/>
        <w:spacing w:before="0"/>
        <w:ind w:left="284" w:hanging="284"/>
      </w:pPr>
      <w:r w:rsidRPr="00B32B98">
        <w:rPr>
          <w:vertAlign w:val="superscript"/>
        </w:rPr>
        <w:t>(b)</w:t>
      </w:r>
      <w:r w:rsidRPr="00B32B98">
        <w:rPr>
          <w:vertAlign w:val="superscript"/>
        </w:rPr>
        <w:tab/>
      </w:r>
      <w:r w:rsidRPr="00B32B98">
        <w:rPr>
          <w:i/>
        </w:rPr>
        <w:t>Appropriation Act (No. 1) 2022–23.</w:t>
      </w:r>
    </w:p>
    <w:p w14:paraId="601521CE" w14:textId="03FE8682" w:rsidR="00B32B98" w:rsidRDefault="00B32B98" w:rsidP="00B32B98">
      <w:pPr>
        <w:pStyle w:val="FootnoteText"/>
        <w:spacing w:before="0"/>
        <w:ind w:left="284" w:hanging="284"/>
      </w:pPr>
      <w:r w:rsidRPr="00B32B98">
        <w:rPr>
          <w:vertAlign w:val="superscript"/>
        </w:rPr>
        <w:t>(c)</w:t>
      </w:r>
      <w:r>
        <w:tab/>
        <w:t>Departmental appropriation combines 'Ordinary annual services Appropriation Bill (No. 1)' and 'Revenue from independent sources (s74)'.</w:t>
      </w:r>
    </w:p>
    <w:p w14:paraId="25BECE1A" w14:textId="4EC0382C" w:rsidR="00B32B98" w:rsidRDefault="00B32B98" w:rsidP="00B32B98">
      <w:pPr>
        <w:pStyle w:val="FootnoteText"/>
        <w:spacing w:before="0"/>
        <w:ind w:left="284" w:hanging="284"/>
      </w:pPr>
      <w:r w:rsidRPr="00B32B98">
        <w:rPr>
          <w:vertAlign w:val="superscript"/>
        </w:rPr>
        <w:t>(d)</w:t>
      </w:r>
      <w:r>
        <w:tab/>
        <w:t xml:space="preserve">Expenses not requiring appropriation in the Budget year are made up of depreciation expense, amortisation expense, </w:t>
      </w:r>
      <w:proofErr w:type="spellStart"/>
      <w:r>
        <w:t>makegood</w:t>
      </w:r>
      <w:proofErr w:type="spellEnd"/>
      <w:r>
        <w:t xml:space="preserve"> expense and audit fees.</w:t>
      </w:r>
    </w:p>
    <w:p w14:paraId="23F5955C" w14:textId="5558C95D" w:rsidR="00B32B98" w:rsidRDefault="00B32B98" w:rsidP="00B32B98">
      <w:pPr>
        <w:pStyle w:val="FootnoteText"/>
        <w:spacing w:before="0"/>
        <w:ind w:left="284" w:hanging="284"/>
      </w:pPr>
      <w:r w:rsidRPr="00B32B98">
        <w:rPr>
          <w:vertAlign w:val="superscript"/>
        </w:rPr>
        <w:t>(e)</w:t>
      </w:r>
      <w:r>
        <w:tab/>
        <w:t>'Non cash expenses' relate to the write down of drug stockpile inventory due to expiration, consumption and distribution.</w:t>
      </w:r>
    </w:p>
    <w:p w14:paraId="1F6FC310" w14:textId="5AF41790" w:rsidR="00B32B98" w:rsidRDefault="00B32B98" w:rsidP="00B32B98">
      <w:pPr>
        <w:pStyle w:val="FootnoteText"/>
        <w:spacing w:before="0"/>
        <w:ind w:left="284" w:hanging="284"/>
      </w:pPr>
      <w:r w:rsidRPr="00B32B98">
        <w:rPr>
          <w:vertAlign w:val="superscript"/>
        </w:rPr>
        <w:t>(</w:t>
      </w:r>
      <w:proofErr w:type="gramStart"/>
      <w:r w:rsidRPr="00B32B98">
        <w:rPr>
          <w:vertAlign w:val="superscript"/>
        </w:rPr>
        <w:t>f</w:t>
      </w:r>
      <w:proofErr w:type="gramEnd"/>
      <w:r w:rsidRPr="00B32B98">
        <w:rPr>
          <w:vertAlign w:val="superscript"/>
        </w:rPr>
        <w:t>)</w:t>
      </w:r>
      <w:r>
        <w:tab/>
        <w:t>Office of the Gene Technology Regulator (OGTR) Special Account.</w:t>
      </w:r>
    </w:p>
    <w:p w14:paraId="1D9B1215" w14:textId="10531629" w:rsidR="00B32B98" w:rsidRDefault="00B32B98" w:rsidP="00B32B98">
      <w:pPr>
        <w:pStyle w:val="FootnoteText"/>
        <w:spacing w:before="0"/>
        <w:ind w:left="284" w:hanging="284"/>
      </w:pPr>
      <w:r w:rsidRPr="00B32B98">
        <w:rPr>
          <w:vertAlign w:val="superscript"/>
        </w:rPr>
        <w:t>(g)</w:t>
      </w:r>
      <w:r>
        <w:tab/>
        <w:t>Industrial Chemicals Special Account. The Australian Industrial Chemicals Introduction Scheme (AICIS) replaced the National Industrial Chemicals Notification and Assessment Sche</w:t>
      </w:r>
      <w:r w:rsidR="00980B4B">
        <w:t>me (NICNAS) on 1 July </w:t>
      </w:r>
      <w:r>
        <w:t>2020.</w:t>
      </w:r>
    </w:p>
    <w:p w14:paraId="61117E3A" w14:textId="0001F09D" w:rsidR="00B32B98" w:rsidRDefault="00B32B98" w:rsidP="00B32B98">
      <w:pPr>
        <w:pStyle w:val="FootnoteText"/>
        <w:spacing w:before="0"/>
        <w:ind w:left="284" w:hanging="284"/>
      </w:pPr>
      <w:r w:rsidRPr="00B32B98">
        <w:rPr>
          <w:vertAlign w:val="superscript"/>
        </w:rPr>
        <w:t>(h)</w:t>
      </w:r>
      <w:r>
        <w:tab/>
        <w:t>Therapeutic Goods Administration (TGA) Special Account.</w:t>
      </w:r>
    </w:p>
    <w:p w14:paraId="0B4E74C8" w14:textId="0A37E3E6" w:rsidR="0039060A" w:rsidRDefault="00B32B98" w:rsidP="00B32B98">
      <w:pPr>
        <w:pStyle w:val="FootnoteText"/>
        <w:spacing w:before="0"/>
        <w:ind w:left="284" w:hanging="284"/>
      </w:pPr>
      <w:r w:rsidRPr="00B32B98">
        <w:rPr>
          <w:vertAlign w:val="superscript"/>
        </w:rPr>
        <w:t>(</w:t>
      </w:r>
      <w:proofErr w:type="spellStart"/>
      <w:r w:rsidRPr="00B32B98">
        <w:rPr>
          <w:vertAlign w:val="superscript"/>
        </w:rPr>
        <w:t>i</w:t>
      </w:r>
      <w:proofErr w:type="spellEnd"/>
      <w:r w:rsidRPr="00B32B98">
        <w:rPr>
          <w:vertAlign w:val="superscript"/>
        </w:rPr>
        <w:t>)</w:t>
      </w:r>
      <w:r>
        <w:tab/>
        <w:t>Special accounts are reported on a cash basis. This adjustment reflects the differences between expense and cash.</w:t>
      </w:r>
    </w:p>
    <w:p w14:paraId="113D6679" w14:textId="0BCE1C63" w:rsidR="007D313A" w:rsidRDefault="007D313A" w:rsidP="00241758">
      <w:pPr>
        <w:pStyle w:val="FootnoteText"/>
        <w:spacing w:before="0"/>
        <w:ind w:left="284" w:hanging="284"/>
      </w:pPr>
      <w:r>
        <w:br w:type="page"/>
      </w:r>
    </w:p>
    <w:p w14:paraId="57844C4C" w14:textId="1300655D" w:rsidR="00F76F6B" w:rsidRPr="00685583" w:rsidRDefault="00F76F6B" w:rsidP="007D313A">
      <w:pPr>
        <w:pStyle w:val="Heading4"/>
        <w:rPr>
          <w:color w:val="auto"/>
        </w:rPr>
      </w:pPr>
      <w:r w:rsidRPr="00685583">
        <w:rPr>
          <w:color w:val="auto"/>
        </w:rPr>
        <w:lastRenderedPageBreak/>
        <w:t>P</w:t>
      </w:r>
      <w:r w:rsidR="00897B40" w:rsidRPr="00685583">
        <w:rPr>
          <w:color w:val="auto"/>
        </w:rPr>
        <w:t>lanned Performance for Outcome 1</w:t>
      </w:r>
    </w:p>
    <w:p w14:paraId="363BC2A6" w14:textId="57CFC00C" w:rsidR="00A00258" w:rsidRPr="00A00258" w:rsidRDefault="00A00258" w:rsidP="00A00258">
      <w:pPr>
        <w:pStyle w:val="NormalBookAntiqua"/>
        <w:rPr>
          <w:color w:val="auto"/>
        </w:rPr>
      </w:pPr>
      <w:r w:rsidRPr="00A00258">
        <w:rPr>
          <w:color w:val="auto"/>
        </w:rPr>
        <w:t>Table</w:t>
      </w:r>
      <w:r>
        <w:rPr>
          <w:color w:val="auto"/>
        </w:rPr>
        <w:t>s</w:t>
      </w:r>
      <w:r w:rsidRPr="00A00258">
        <w:rPr>
          <w:color w:val="auto"/>
        </w:rPr>
        <w:t xml:space="preserve"> 2.</w:t>
      </w:r>
      <w:r>
        <w:rPr>
          <w:color w:val="auto"/>
        </w:rPr>
        <w:t>1</w:t>
      </w:r>
      <w:r w:rsidRPr="00A00258">
        <w:rPr>
          <w:color w:val="auto"/>
        </w:rPr>
        <w:t>.</w:t>
      </w:r>
      <w:r>
        <w:rPr>
          <w:color w:val="auto"/>
        </w:rPr>
        <w:t>2</w:t>
      </w:r>
      <w:r w:rsidR="00225F2A">
        <w:rPr>
          <w:color w:val="auto"/>
        </w:rPr>
        <w:t xml:space="preserve"> – </w:t>
      </w:r>
      <w:r w:rsidRPr="00685583">
        <w:rPr>
          <w:color w:val="auto"/>
        </w:rPr>
        <w:t>2.1.10</w:t>
      </w:r>
      <w:r w:rsidRPr="00A00258">
        <w:rPr>
          <w:color w:val="auto"/>
        </w:rPr>
        <w:t xml:space="preserve"> detail the performance measures for each program associated with Outcome </w:t>
      </w:r>
      <w:r>
        <w:rPr>
          <w:color w:val="auto"/>
        </w:rPr>
        <w:t>1</w:t>
      </w:r>
      <w:r w:rsidRPr="00A00258">
        <w:rPr>
          <w:color w:val="auto"/>
        </w:rPr>
        <w:t xml:space="preserve">. </w:t>
      </w:r>
      <w:r>
        <w:rPr>
          <w:color w:val="auto"/>
        </w:rPr>
        <w:t>These tables</w:t>
      </w:r>
      <w:r w:rsidRPr="00A00258">
        <w:rPr>
          <w:color w:val="auto"/>
        </w:rPr>
        <w:t xml:space="preserve"> also provide the related key activities as expressed in the current </w:t>
      </w:r>
      <w:r w:rsidR="0001182E">
        <w:rPr>
          <w:color w:val="auto"/>
        </w:rPr>
        <w:t>C</w:t>
      </w:r>
      <w:r w:rsidRPr="00A00258">
        <w:rPr>
          <w:color w:val="auto"/>
        </w:rPr>
        <w:t xml:space="preserve">orporate </w:t>
      </w:r>
      <w:r w:rsidR="0001182E">
        <w:rPr>
          <w:color w:val="auto"/>
        </w:rPr>
        <w:t>P</w:t>
      </w:r>
      <w:r w:rsidRPr="00A00258">
        <w:rPr>
          <w:color w:val="auto"/>
        </w:rPr>
        <w:t>lan where further detail is provided about the delivery of the activities related to the program, the context in which these activities are delivered and how the performance of these activities will be measured. Where relevant, details of 202</w:t>
      </w:r>
      <w:r>
        <w:rPr>
          <w:color w:val="auto"/>
        </w:rPr>
        <w:t>2</w:t>
      </w:r>
      <w:r w:rsidR="00BB01F1">
        <w:rPr>
          <w:color w:val="auto"/>
        </w:rPr>
        <w:t>–</w:t>
      </w:r>
      <w:r>
        <w:rPr>
          <w:color w:val="auto"/>
        </w:rPr>
        <w:t>23</w:t>
      </w:r>
      <w:r w:rsidRPr="00A00258">
        <w:rPr>
          <w:color w:val="auto"/>
        </w:rPr>
        <w:t xml:space="preserve"> Budget measures that have created new programs or materially changed existing programs are provided.</w:t>
      </w:r>
    </w:p>
    <w:p w14:paraId="24CD4D3E" w14:textId="2F9956C0" w:rsidR="00F76F6B" w:rsidRPr="00685583" w:rsidRDefault="00FE29FD" w:rsidP="00F76F6B">
      <w:pPr>
        <w:pStyle w:val="Tablenumberandreference"/>
        <w:rPr>
          <w:color w:val="auto"/>
        </w:rPr>
      </w:pPr>
      <w:r w:rsidRPr="00685583">
        <w:rPr>
          <w:color w:val="auto"/>
        </w:rPr>
        <w:t>Table 2.1</w:t>
      </w:r>
      <w:r w:rsidR="00F76F6B" w:rsidRPr="00685583">
        <w:rPr>
          <w:color w:val="auto"/>
        </w:rPr>
        <w:t>.2: Pe</w:t>
      </w:r>
      <w:r w:rsidR="00D26B6C" w:rsidRPr="00685583">
        <w:rPr>
          <w:color w:val="auto"/>
        </w:rPr>
        <w:t xml:space="preserve">rformance </w:t>
      </w:r>
      <w:r w:rsidR="000F7A14" w:rsidRPr="00685583">
        <w:rPr>
          <w:color w:val="auto"/>
        </w:rPr>
        <w:t>Measures</w:t>
      </w:r>
      <w:r w:rsidR="00D26B6C" w:rsidRPr="00685583">
        <w:rPr>
          <w:color w:val="auto"/>
        </w:rPr>
        <w:t xml:space="preserve"> for Progra</w:t>
      </w:r>
      <w:r w:rsidRPr="00685583">
        <w:rPr>
          <w:color w:val="auto"/>
        </w:rPr>
        <w:t>m 1</w:t>
      </w:r>
      <w:r w:rsidR="00F76F6B" w:rsidRPr="00685583">
        <w:rPr>
          <w:color w:val="auto"/>
        </w:rPr>
        <w:t>.1</w:t>
      </w:r>
    </w:p>
    <w:tbl>
      <w:tblPr>
        <w:tblStyle w:val="TableGrid"/>
        <w:tblW w:w="7677" w:type="dxa"/>
        <w:jc w:val="center"/>
        <w:tblLayout w:type="fixed"/>
        <w:tblLook w:val="04A0" w:firstRow="1" w:lastRow="0" w:firstColumn="1" w:lastColumn="0" w:noHBand="0" w:noVBand="1"/>
        <w:tblCaption w:val="Table 2.1.2: Performance Measures for Program 1.1"/>
        <w:tblDescription w:val="This table outlines Outcome 1's outcome statement, Program 1.1's objective and the key activities for Program 1.1. It also includes a performance measure for Program 1.1, with an expected performance result for 2021-22, and planned performance results for 2022-23 and the forward estimates"/>
      </w:tblPr>
      <w:tblGrid>
        <w:gridCol w:w="2559"/>
        <w:gridCol w:w="2559"/>
        <w:gridCol w:w="2559"/>
      </w:tblGrid>
      <w:tr w:rsidR="00685583" w:rsidRPr="00685583" w14:paraId="21EAB41A" w14:textId="77777777" w:rsidTr="000A74AA">
        <w:trPr>
          <w:trHeight w:val="106"/>
          <w:jc w:val="center"/>
        </w:trPr>
        <w:tc>
          <w:tcPr>
            <w:tcW w:w="7677" w:type="dxa"/>
            <w:gridSpan w:val="3"/>
            <w:shd w:val="clear" w:color="auto" w:fill="D9D9D9" w:themeFill="background1" w:themeFillShade="D9"/>
          </w:tcPr>
          <w:p w14:paraId="7319053C" w14:textId="06669111" w:rsidR="00EA2674" w:rsidRPr="00685583" w:rsidRDefault="00564EA0" w:rsidP="00FE29FD">
            <w:pPr>
              <w:pStyle w:val="Tableheadingrow9pt"/>
              <w:rPr>
                <w:color w:val="auto"/>
              </w:rPr>
            </w:pPr>
            <w:r w:rsidRPr="00685583">
              <w:rPr>
                <w:color w:val="auto"/>
              </w:rPr>
              <w:t xml:space="preserve">Outcome </w:t>
            </w:r>
            <w:r w:rsidR="00FE29FD" w:rsidRPr="00685583">
              <w:rPr>
                <w:color w:val="auto"/>
              </w:rPr>
              <w:t>1</w:t>
            </w:r>
            <w:r w:rsidRPr="00685583">
              <w:rPr>
                <w:color w:val="auto"/>
              </w:rPr>
              <w:t xml:space="preserve">: </w:t>
            </w:r>
            <w:r w:rsidR="00FE29FD" w:rsidRPr="00685583">
              <w:rPr>
                <w:color w:val="auto"/>
              </w:rPr>
              <w:t>Health Policy, Access and Support</w:t>
            </w:r>
          </w:p>
        </w:tc>
      </w:tr>
      <w:tr w:rsidR="00685583" w:rsidRPr="00685583" w14:paraId="6E76CDCE" w14:textId="77777777" w:rsidTr="000A74AA">
        <w:trPr>
          <w:jc w:val="center"/>
        </w:trPr>
        <w:tc>
          <w:tcPr>
            <w:tcW w:w="7677" w:type="dxa"/>
            <w:gridSpan w:val="3"/>
          </w:tcPr>
          <w:p w14:paraId="1E459521" w14:textId="277BE9F8" w:rsidR="00EA2674" w:rsidRPr="00EA2674" w:rsidRDefault="0040134B" w:rsidP="00EA2674">
            <w:pPr>
              <w:pStyle w:val="Heading2"/>
              <w:outlineLvl w:val="1"/>
            </w:pPr>
            <w:r w:rsidRPr="00685583">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sidR="00652447" w:rsidRPr="00685583">
              <w:rPr>
                <w:color w:val="auto"/>
              </w:rPr>
              <w:t>.</w:t>
            </w:r>
          </w:p>
        </w:tc>
      </w:tr>
      <w:tr w:rsidR="00685583" w:rsidRPr="00685583" w14:paraId="5E59C497" w14:textId="77777777" w:rsidTr="000A74AA">
        <w:trPr>
          <w:trHeight w:val="50"/>
          <w:jc w:val="center"/>
        </w:trPr>
        <w:tc>
          <w:tcPr>
            <w:tcW w:w="7677" w:type="dxa"/>
            <w:gridSpan w:val="3"/>
            <w:shd w:val="clear" w:color="auto" w:fill="D9D9D9" w:themeFill="background1" w:themeFillShade="D9"/>
          </w:tcPr>
          <w:p w14:paraId="5EC2483A" w14:textId="5AB195D8" w:rsidR="00EA2674" w:rsidRPr="00685583" w:rsidRDefault="00564EA0" w:rsidP="00E7155B">
            <w:pPr>
              <w:pStyle w:val="Tableheadingrow9pt"/>
              <w:rPr>
                <w:color w:val="auto"/>
              </w:rPr>
            </w:pPr>
            <w:r w:rsidRPr="00685583">
              <w:rPr>
                <w:color w:val="auto"/>
              </w:rPr>
              <w:t xml:space="preserve">Program Objective – Program </w:t>
            </w:r>
            <w:r w:rsidR="00FE29FD" w:rsidRPr="00685583">
              <w:rPr>
                <w:color w:val="auto"/>
              </w:rPr>
              <w:t>1</w:t>
            </w:r>
            <w:r w:rsidRPr="00685583">
              <w:rPr>
                <w:color w:val="auto"/>
              </w:rPr>
              <w:t xml:space="preserve">.1: </w:t>
            </w:r>
            <w:r w:rsidR="00FE29FD" w:rsidRPr="00685583">
              <w:rPr>
                <w:color w:val="auto"/>
              </w:rPr>
              <w:t>Health Research, Coordination and Access</w:t>
            </w:r>
          </w:p>
        </w:tc>
      </w:tr>
      <w:tr w:rsidR="00685583" w:rsidRPr="00685583" w14:paraId="2E18B201" w14:textId="77777777" w:rsidTr="000A74AA">
        <w:trPr>
          <w:jc w:val="center"/>
        </w:trPr>
        <w:tc>
          <w:tcPr>
            <w:tcW w:w="7677" w:type="dxa"/>
            <w:gridSpan w:val="3"/>
          </w:tcPr>
          <w:p w14:paraId="5518A903" w14:textId="44A82CE8" w:rsidR="00564EA0" w:rsidRPr="00685583" w:rsidRDefault="00E25A31" w:rsidP="00A2050D">
            <w:pPr>
              <w:pStyle w:val="Heading2"/>
              <w:outlineLvl w:val="1"/>
              <w:rPr>
                <w:b/>
                <w:color w:val="auto"/>
              </w:rPr>
            </w:pPr>
            <w:r w:rsidRPr="00041BDA">
              <w:t>Collaborate with state and territory governments, the broader healthcare sector and engage internationally to improve access to high quality, comprehensive and coordinated health care to support better health outcomes for all Australians through nationally consistent approaches, sustainable public hospital funding, digital health, supporting health infrastructure, international standards and best practice, and world class health and medical research</w:t>
            </w:r>
            <w:r w:rsidR="00E34F41" w:rsidRPr="00685583">
              <w:rPr>
                <w:color w:val="auto"/>
              </w:rPr>
              <w:t>.</w:t>
            </w:r>
          </w:p>
        </w:tc>
      </w:tr>
      <w:tr w:rsidR="00685583" w:rsidRPr="00685583" w14:paraId="176D60A2" w14:textId="77777777" w:rsidTr="000A74AA">
        <w:trPr>
          <w:jc w:val="center"/>
        </w:trPr>
        <w:tc>
          <w:tcPr>
            <w:tcW w:w="7677" w:type="dxa"/>
            <w:gridSpan w:val="3"/>
            <w:shd w:val="clear" w:color="auto" w:fill="D9D9D9" w:themeFill="background1" w:themeFillShade="D9"/>
          </w:tcPr>
          <w:p w14:paraId="0471A902" w14:textId="7F617F49" w:rsidR="00EA2674" w:rsidRPr="00685583" w:rsidRDefault="00A00258" w:rsidP="00E7155B">
            <w:pPr>
              <w:pStyle w:val="Tableheadingrow9pt"/>
              <w:rPr>
                <w:color w:val="auto"/>
              </w:rPr>
            </w:pPr>
            <w:r>
              <w:rPr>
                <w:color w:val="auto"/>
              </w:rPr>
              <w:t>Key Activities</w:t>
            </w:r>
          </w:p>
        </w:tc>
      </w:tr>
      <w:tr w:rsidR="00685583" w:rsidRPr="00685583" w14:paraId="652CAE31" w14:textId="77777777" w:rsidTr="00F56B38">
        <w:trPr>
          <w:jc w:val="center"/>
        </w:trPr>
        <w:tc>
          <w:tcPr>
            <w:tcW w:w="7677" w:type="dxa"/>
            <w:gridSpan w:val="3"/>
            <w:shd w:val="clear" w:color="auto" w:fill="auto"/>
          </w:tcPr>
          <w:p w14:paraId="56A415A7" w14:textId="601D343D"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 xml:space="preserve">Providing a sustainable source of funding for transformative health and medical research through sources including the </w:t>
            </w:r>
            <w:r w:rsidR="00340B9E">
              <w:rPr>
                <w:rFonts w:ascii="Arial" w:hAnsi="Arial" w:cs="Arial"/>
                <w:sz w:val="18"/>
                <w:szCs w:val="18"/>
              </w:rPr>
              <w:t>Medical Research Future Fund (</w:t>
            </w:r>
            <w:r w:rsidRPr="00415570">
              <w:rPr>
                <w:rFonts w:ascii="Arial" w:hAnsi="Arial" w:cs="Arial"/>
                <w:sz w:val="18"/>
                <w:szCs w:val="18"/>
              </w:rPr>
              <w:t>MRFF</w:t>
            </w:r>
            <w:r w:rsidR="00340B9E">
              <w:rPr>
                <w:rFonts w:ascii="Arial" w:hAnsi="Arial" w:cs="Arial"/>
                <w:sz w:val="18"/>
                <w:szCs w:val="18"/>
              </w:rPr>
              <w:t>)</w:t>
            </w:r>
            <w:r w:rsidRPr="00415570">
              <w:rPr>
                <w:rFonts w:ascii="Arial" w:hAnsi="Arial" w:cs="Arial"/>
                <w:sz w:val="18"/>
                <w:szCs w:val="18"/>
              </w:rPr>
              <w:t xml:space="preserve"> and the Biomedical Translation Fund.</w:t>
            </w:r>
          </w:p>
          <w:p w14:paraId="6FDF88FF"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Supporting research into potential COVID-19 treatments and vaccines.</w:t>
            </w:r>
          </w:p>
          <w:p w14:paraId="6D979CF7" w14:textId="4F09A07D"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Working with states and territories to redesign clinical trial operating systems to make it easier to conduct and participate in safe, high quality clinical trials.</w:t>
            </w:r>
          </w:p>
          <w:p w14:paraId="6C6D9328"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Implementing the National Clinical Quality Registry and Virtual Registry Strategy in collaboration with jurisdictions and key stakeholders.</w:t>
            </w:r>
          </w:p>
          <w:p w14:paraId="42B3673B"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Driving the Australian Immunisation Register and the Multi-Agency Data Integration Project data linkage to support prioritised rollout of COVID-19 vaccination for priority groups.</w:t>
            </w:r>
          </w:p>
          <w:p w14:paraId="778C2C74"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Providing streamlined, fit for purpose data governance to support safe data sharing in a rapidly evolving environment.</w:t>
            </w:r>
          </w:p>
          <w:p w14:paraId="57925F2B"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Implementing a whole of department evaluation strategy, streamlined data release strategy and data governance and data release strategy.</w:t>
            </w:r>
          </w:p>
          <w:p w14:paraId="2559C65F" w14:textId="2599EBFC"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 xml:space="preserve">Providing our ministers and the </w:t>
            </w:r>
            <w:r w:rsidR="00E7155B">
              <w:rPr>
                <w:rFonts w:ascii="Arial" w:hAnsi="Arial" w:cs="Arial"/>
                <w:sz w:val="18"/>
                <w:szCs w:val="18"/>
              </w:rPr>
              <w:t>Australian Digital Health Agency</w:t>
            </w:r>
            <w:r w:rsidRPr="00415570">
              <w:rPr>
                <w:rFonts w:ascii="Arial" w:hAnsi="Arial" w:cs="Arial"/>
                <w:sz w:val="18"/>
                <w:szCs w:val="18"/>
              </w:rPr>
              <w:t xml:space="preserve"> with timely and </w:t>
            </w:r>
            <w:r w:rsidR="00A15B46">
              <w:rPr>
                <w:rFonts w:ascii="Arial" w:hAnsi="Arial" w:cs="Arial"/>
                <w:sz w:val="18"/>
                <w:szCs w:val="18"/>
              </w:rPr>
              <w:br/>
            </w:r>
            <w:r w:rsidRPr="00415570">
              <w:rPr>
                <w:rFonts w:ascii="Arial" w:hAnsi="Arial" w:cs="Arial"/>
                <w:sz w:val="18"/>
                <w:szCs w:val="18"/>
              </w:rPr>
              <w:t>well-inf</w:t>
            </w:r>
            <w:r w:rsidR="00E329C9">
              <w:rPr>
                <w:rFonts w:ascii="Arial" w:hAnsi="Arial" w:cs="Arial"/>
                <w:sz w:val="18"/>
                <w:szCs w:val="18"/>
              </w:rPr>
              <w:t>ormed research, policy and legislative</w:t>
            </w:r>
            <w:r w:rsidRPr="00415570">
              <w:rPr>
                <w:rFonts w:ascii="Arial" w:hAnsi="Arial" w:cs="Arial"/>
                <w:sz w:val="18"/>
                <w:szCs w:val="18"/>
              </w:rPr>
              <w:t xml:space="preserve"> advice that supports the Government’s digital health agenda, including the My Health Record </w:t>
            </w:r>
            <w:r w:rsidR="00E7155B">
              <w:rPr>
                <w:rFonts w:ascii="Arial" w:hAnsi="Arial" w:cs="Arial"/>
                <w:sz w:val="18"/>
                <w:szCs w:val="18"/>
              </w:rPr>
              <w:t>s</w:t>
            </w:r>
            <w:r w:rsidRPr="00415570">
              <w:rPr>
                <w:rFonts w:ascii="Arial" w:hAnsi="Arial" w:cs="Arial"/>
                <w:sz w:val="18"/>
                <w:szCs w:val="18"/>
              </w:rPr>
              <w:t>ystem.</w:t>
            </w:r>
          </w:p>
          <w:p w14:paraId="001BE483" w14:textId="26F617C4"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Working with the National Blood Authority, Organ and Tissue Authority, and states and territories to ensure access to a safe, secure supply of essential blood and blood products, as well as life</w:t>
            </w:r>
            <w:r w:rsidR="00A15B46">
              <w:rPr>
                <w:rFonts w:ascii="Arial" w:hAnsi="Arial" w:cs="Arial"/>
                <w:sz w:val="18"/>
                <w:szCs w:val="18"/>
              </w:rPr>
              <w:t xml:space="preserve"> </w:t>
            </w:r>
            <w:r w:rsidRPr="00415570">
              <w:rPr>
                <w:rFonts w:ascii="Arial" w:hAnsi="Arial" w:cs="Arial"/>
                <w:sz w:val="18"/>
                <w:szCs w:val="18"/>
              </w:rPr>
              <w:t xml:space="preserve">saving organ, tissue and </w:t>
            </w:r>
            <w:proofErr w:type="spellStart"/>
            <w:r w:rsidRPr="00415570">
              <w:rPr>
                <w:rFonts w:ascii="Arial" w:hAnsi="Arial" w:cs="Arial"/>
                <w:sz w:val="18"/>
                <w:szCs w:val="18"/>
              </w:rPr>
              <w:t>haemopoietic</w:t>
            </w:r>
            <w:proofErr w:type="spellEnd"/>
            <w:r w:rsidRPr="00415570">
              <w:rPr>
                <w:rFonts w:ascii="Arial" w:hAnsi="Arial" w:cs="Arial"/>
                <w:sz w:val="18"/>
                <w:szCs w:val="18"/>
              </w:rPr>
              <w:t xml:space="preserve"> progenitor cell transplants.</w:t>
            </w:r>
          </w:p>
          <w:p w14:paraId="491A1955" w14:textId="747C3ABD" w:rsidR="00415570" w:rsidRPr="00415570" w:rsidRDefault="00E50E88"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Pr>
                <w:rFonts w:ascii="Arial" w:hAnsi="Arial" w:cs="Arial"/>
                <w:sz w:val="18"/>
                <w:szCs w:val="18"/>
              </w:rPr>
              <w:t>Managing the Centre for National Resilience in the Northern Territory, including supports to maintain access to scalable quarantine capacity and invoicing arrangements for international arrivals who undertake quarantining at the Centre.</w:t>
            </w:r>
            <w:r>
              <w:rPr>
                <w:rStyle w:val="FootnoteReference"/>
                <w:rFonts w:ascii="Arial" w:hAnsi="Arial" w:cs="Arial"/>
                <w:sz w:val="18"/>
                <w:szCs w:val="18"/>
              </w:rPr>
              <w:footnoteReference w:id="14"/>
            </w:r>
          </w:p>
          <w:p w14:paraId="094A9E03"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lastRenderedPageBreak/>
              <w:t>Continuing to work with jurisdictions and relevant federal departments to repatriate Australians and provide safe, reliable and compliant quarantine options.</w:t>
            </w:r>
          </w:p>
          <w:p w14:paraId="0E9C8992"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Providing support to states and territories for costs incurred as a result of the COVID-19 pandemic under the National Partnership on COVID-19 Response.</w:t>
            </w:r>
          </w:p>
          <w:p w14:paraId="26566D86"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Delivering health infrastructure projects and monitoring compliance as part of managing the Community Health and Hospitals Program and other infrastructure programs.</w:t>
            </w:r>
          </w:p>
          <w:p w14:paraId="5CB46C18"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Supporting effective engagement with the Health Ministers’ Meeting Forum and Health Chief Executive Forum, managing the transition to the new arrangements, and providing secretariat support for the Health National Cabinet Reform Committee.</w:t>
            </w:r>
          </w:p>
          <w:p w14:paraId="10A3BA53" w14:textId="0B115893"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Leading collaboration with states and territories on long term, system</w:t>
            </w:r>
            <w:r w:rsidR="00E7155B">
              <w:rPr>
                <w:rFonts w:ascii="Arial" w:hAnsi="Arial" w:cs="Arial"/>
                <w:sz w:val="18"/>
                <w:szCs w:val="18"/>
              </w:rPr>
              <w:t>-</w:t>
            </w:r>
            <w:r w:rsidRPr="00415570">
              <w:rPr>
                <w:rFonts w:ascii="Arial" w:hAnsi="Arial" w:cs="Arial"/>
                <w:sz w:val="18"/>
                <w:szCs w:val="18"/>
              </w:rPr>
              <w:t>wide health reform and administration of the Addendum to the National Health Reform Agreement 2020–25.</w:t>
            </w:r>
          </w:p>
          <w:p w14:paraId="742FC150"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Monitoring implementation and compliance with state and territory public hospitals through the National Health Reform Agreement.</w:t>
            </w:r>
          </w:p>
          <w:p w14:paraId="67181EFC" w14:textId="77777777" w:rsidR="00415570"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Developing policies that embed emerging technologies into the Australian health system to effectively balance public benefit, cost and risk. This includes the staged introduction of mitochondrial donation in Australia.</w:t>
            </w:r>
          </w:p>
          <w:p w14:paraId="2913518F" w14:textId="093901C5" w:rsidR="00445AFF" w:rsidRPr="00415570" w:rsidRDefault="00415570" w:rsidP="00415570">
            <w:pPr>
              <w:pStyle w:val="ListParagraph"/>
              <w:numPr>
                <w:ilvl w:val="0"/>
                <w:numId w:val="36"/>
              </w:numPr>
              <w:tabs>
                <w:tab w:val="clear" w:pos="357"/>
                <w:tab w:val="left" w:pos="314"/>
              </w:tabs>
              <w:autoSpaceDE w:val="0"/>
              <w:autoSpaceDN w:val="0"/>
              <w:adjustRightInd w:val="0"/>
              <w:spacing w:before="40" w:after="40"/>
              <w:ind w:left="312" w:hanging="284"/>
              <w:contextualSpacing w:val="0"/>
              <w:rPr>
                <w:rFonts w:ascii="Arial" w:hAnsi="Arial" w:cs="Arial"/>
                <w:sz w:val="18"/>
                <w:szCs w:val="18"/>
              </w:rPr>
            </w:pPr>
            <w:r w:rsidRPr="00415570">
              <w:rPr>
                <w:rFonts w:ascii="Arial" w:hAnsi="Arial" w:cs="Arial"/>
                <w:sz w:val="18"/>
                <w:szCs w:val="18"/>
              </w:rPr>
              <w:t>Providing strong leadership on international health issues and reforms to international health architecture as a result of the COVID-19 pandemic.</w:t>
            </w:r>
          </w:p>
        </w:tc>
      </w:tr>
      <w:tr w:rsidR="00685583" w:rsidRPr="00685583" w14:paraId="33E93B19" w14:textId="77777777" w:rsidTr="000A74AA">
        <w:trPr>
          <w:jc w:val="center"/>
        </w:trPr>
        <w:tc>
          <w:tcPr>
            <w:tcW w:w="7677" w:type="dxa"/>
            <w:gridSpan w:val="3"/>
            <w:shd w:val="clear" w:color="auto" w:fill="D9D9D9" w:themeFill="background1" w:themeFillShade="D9"/>
          </w:tcPr>
          <w:p w14:paraId="7E23866F" w14:textId="365F028D" w:rsidR="00C004D1" w:rsidRPr="00685583" w:rsidRDefault="00564EA0" w:rsidP="00445AFF">
            <w:pPr>
              <w:pStyle w:val="Tableheadingrow9pt"/>
              <w:keepNext/>
              <w:keepLines/>
              <w:rPr>
                <w:color w:val="auto"/>
              </w:rPr>
            </w:pPr>
            <w:r w:rsidRPr="00685583">
              <w:rPr>
                <w:color w:val="auto"/>
              </w:rPr>
              <w:lastRenderedPageBreak/>
              <w:t xml:space="preserve">Performance </w:t>
            </w:r>
            <w:r w:rsidR="000F7A14" w:rsidRPr="00685583">
              <w:rPr>
                <w:color w:val="auto"/>
              </w:rPr>
              <w:t>Measures</w:t>
            </w:r>
          </w:p>
        </w:tc>
      </w:tr>
      <w:tr w:rsidR="00685583" w:rsidRPr="00685583" w14:paraId="5D8A0502" w14:textId="77777777" w:rsidTr="000A74AA">
        <w:trPr>
          <w:jc w:val="center"/>
        </w:trPr>
        <w:tc>
          <w:tcPr>
            <w:tcW w:w="7677" w:type="dxa"/>
            <w:gridSpan w:val="3"/>
            <w:shd w:val="clear" w:color="auto" w:fill="D9D9D9" w:themeFill="background1" w:themeFillShade="D9"/>
          </w:tcPr>
          <w:p w14:paraId="158D01C8" w14:textId="16B08C31" w:rsidR="00445AFF" w:rsidRPr="00685583" w:rsidRDefault="00E70257" w:rsidP="00445AFF">
            <w:pPr>
              <w:pStyle w:val="Tableheadingrow9pt"/>
              <w:keepNext/>
              <w:keepLines/>
              <w:rPr>
                <w:color w:val="auto"/>
                <w:sz w:val="17"/>
                <w:szCs w:val="17"/>
              </w:rPr>
            </w:pPr>
            <w:r w:rsidRPr="00685583">
              <w:rPr>
                <w:color w:val="auto"/>
                <w:sz w:val="17"/>
                <w:szCs w:val="17"/>
              </w:rPr>
              <w:t>Fund transformative health and medical research that improves lives, contributes to health system sustainability, and drives innovation.</w:t>
            </w:r>
          </w:p>
        </w:tc>
      </w:tr>
      <w:tr w:rsidR="00CC420F" w:rsidRPr="00685583" w14:paraId="64883630" w14:textId="77777777" w:rsidTr="00CE5473">
        <w:trPr>
          <w:jc w:val="center"/>
        </w:trPr>
        <w:tc>
          <w:tcPr>
            <w:tcW w:w="2559" w:type="dxa"/>
            <w:shd w:val="clear" w:color="auto" w:fill="auto"/>
          </w:tcPr>
          <w:p w14:paraId="45FDC9A9" w14:textId="4E4138F3" w:rsidR="00CC420F" w:rsidRPr="00C004D1" w:rsidRDefault="00BB01F1" w:rsidP="00CC420F">
            <w:pPr>
              <w:pStyle w:val="Tableheadingrowmeasures85pt"/>
              <w:rPr>
                <w:color w:val="auto"/>
              </w:rPr>
            </w:pPr>
            <w:r>
              <w:t>Current Year</w:t>
            </w:r>
            <w:r>
              <w:br/>
              <w:t>2021–</w:t>
            </w:r>
            <w:r w:rsidR="00CC420F">
              <w:t>22 Expected Performance</w:t>
            </w:r>
            <w:r w:rsidR="00CC420F" w:rsidRPr="00C004D1">
              <w:t xml:space="preserve"> </w:t>
            </w:r>
            <w:r w:rsidR="00CC420F">
              <w:t>R</w:t>
            </w:r>
            <w:r w:rsidR="00CC420F" w:rsidRPr="00C004D1">
              <w:t>esult</w:t>
            </w:r>
            <w:r w:rsidR="00CC420F">
              <w:t>s</w:t>
            </w:r>
          </w:p>
        </w:tc>
        <w:tc>
          <w:tcPr>
            <w:tcW w:w="2559" w:type="dxa"/>
            <w:shd w:val="clear" w:color="auto" w:fill="auto"/>
          </w:tcPr>
          <w:p w14:paraId="342E3635" w14:textId="662DE840" w:rsidR="00CC420F" w:rsidRPr="00C004D1" w:rsidRDefault="00BB01F1" w:rsidP="00CC420F">
            <w:pPr>
              <w:pStyle w:val="Tableheadingrowmeasures85pt"/>
              <w:rPr>
                <w:color w:val="auto"/>
              </w:rPr>
            </w:pPr>
            <w:r>
              <w:t>Budget Year</w:t>
            </w:r>
            <w:r>
              <w:br/>
              <w:t>2022–</w:t>
            </w:r>
            <w:r w:rsidR="00CC420F">
              <w:t xml:space="preserve">23 Planned Performance Results </w:t>
            </w:r>
          </w:p>
        </w:tc>
        <w:tc>
          <w:tcPr>
            <w:tcW w:w="2559" w:type="dxa"/>
            <w:shd w:val="clear" w:color="auto" w:fill="auto"/>
          </w:tcPr>
          <w:p w14:paraId="6BE2529D" w14:textId="487DC065" w:rsidR="00CC420F" w:rsidRPr="00685583" w:rsidRDefault="00CC420F" w:rsidP="00CC420F">
            <w:pPr>
              <w:pStyle w:val="Tableheadingrowmeasures85pt"/>
              <w:rPr>
                <w:color w:val="auto"/>
              </w:rPr>
            </w:pPr>
            <w:r>
              <w:t>Forward Estimates</w:t>
            </w:r>
            <w:r>
              <w:br/>
            </w:r>
            <w:r w:rsidR="00BB01F1">
              <w:t>2023–</w:t>
            </w:r>
            <w:r w:rsidRPr="00C004D1">
              <w:t>2</w:t>
            </w:r>
            <w:r>
              <w:t>6</w:t>
            </w:r>
            <w:r w:rsidRPr="00C004D1">
              <w:t xml:space="preserve"> </w:t>
            </w:r>
            <w:r>
              <w:t>Planned Performance Results</w:t>
            </w:r>
          </w:p>
        </w:tc>
      </w:tr>
      <w:tr w:rsidR="00685583" w:rsidRPr="00685583" w14:paraId="5CD9B685" w14:textId="77777777" w:rsidTr="008E0921">
        <w:trPr>
          <w:jc w:val="center"/>
        </w:trPr>
        <w:tc>
          <w:tcPr>
            <w:tcW w:w="2559" w:type="dxa"/>
            <w:shd w:val="clear" w:color="auto" w:fill="auto"/>
          </w:tcPr>
          <w:p w14:paraId="2F86E687" w14:textId="450816AB" w:rsidR="003120CF" w:rsidRDefault="003120CF" w:rsidP="0001182E">
            <w:pPr>
              <w:autoSpaceDE w:val="0"/>
              <w:autoSpaceDN w:val="0"/>
              <w:adjustRightInd w:val="0"/>
              <w:spacing w:after="0"/>
              <w:rPr>
                <w:rFonts w:ascii="ArialMT" w:eastAsiaTheme="minorHAnsi" w:hAnsi="ArialMT" w:cs="ArialMT"/>
                <w:color w:val="auto"/>
                <w:sz w:val="17"/>
                <w:szCs w:val="17"/>
                <w:lang w:eastAsia="en-US"/>
              </w:rPr>
            </w:pPr>
            <w:r>
              <w:rPr>
                <w:rFonts w:ascii="ArialMT" w:eastAsiaTheme="minorHAnsi" w:hAnsi="ArialMT" w:cs="ArialMT"/>
                <w:color w:val="auto"/>
                <w:sz w:val="17"/>
                <w:szCs w:val="17"/>
                <w:lang w:eastAsia="en-US"/>
              </w:rPr>
              <w:t>100% of investments were</w:t>
            </w:r>
          </w:p>
          <w:p w14:paraId="654695C5" w14:textId="77777777" w:rsidR="003120CF" w:rsidRDefault="003120CF" w:rsidP="003120CF">
            <w:pPr>
              <w:autoSpaceDE w:val="0"/>
              <w:autoSpaceDN w:val="0"/>
              <w:adjustRightInd w:val="0"/>
              <w:spacing w:before="0" w:after="0"/>
              <w:rPr>
                <w:rFonts w:ascii="ArialMT" w:eastAsiaTheme="minorHAnsi" w:hAnsi="ArialMT" w:cs="ArialMT"/>
                <w:color w:val="auto"/>
                <w:sz w:val="17"/>
                <w:szCs w:val="17"/>
                <w:lang w:eastAsia="en-US"/>
              </w:rPr>
            </w:pPr>
            <w:r>
              <w:rPr>
                <w:rFonts w:ascii="ArialMT" w:eastAsiaTheme="minorHAnsi" w:hAnsi="ArialMT" w:cs="ArialMT"/>
                <w:color w:val="auto"/>
                <w:sz w:val="17"/>
                <w:szCs w:val="17"/>
                <w:lang w:eastAsia="en-US"/>
              </w:rPr>
              <w:t>announced, grant</w:t>
            </w:r>
          </w:p>
          <w:p w14:paraId="5FEC8067" w14:textId="77777777" w:rsidR="003120CF" w:rsidRDefault="003120CF" w:rsidP="003120CF">
            <w:pPr>
              <w:autoSpaceDE w:val="0"/>
              <w:autoSpaceDN w:val="0"/>
              <w:adjustRightInd w:val="0"/>
              <w:spacing w:before="0" w:after="0"/>
              <w:rPr>
                <w:rFonts w:ascii="ArialMT" w:eastAsiaTheme="minorHAnsi" w:hAnsi="ArialMT" w:cs="ArialMT"/>
                <w:color w:val="auto"/>
                <w:sz w:val="17"/>
                <w:szCs w:val="17"/>
                <w:lang w:eastAsia="en-US"/>
              </w:rPr>
            </w:pPr>
            <w:r>
              <w:rPr>
                <w:rFonts w:ascii="ArialMT" w:eastAsiaTheme="minorHAnsi" w:hAnsi="ArialMT" w:cs="ArialMT"/>
                <w:color w:val="auto"/>
                <w:sz w:val="17"/>
                <w:szCs w:val="17"/>
                <w:lang w:eastAsia="en-US"/>
              </w:rPr>
              <w:t>opportunities offered and grant</w:t>
            </w:r>
          </w:p>
          <w:p w14:paraId="16EA2688" w14:textId="274C821A" w:rsidR="003120CF" w:rsidRDefault="003120CF" w:rsidP="003120CF">
            <w:pPr>
              <w:autoSpaceDE w:val="0"/>
              <w:autoSpaceDN w:val="0"/>
              <w:adjustRightInd w:val="0"/>
              <w:spacing w:before="0" w:after="0"/>
              <w:rPr>
                <w:rFonts w:ascii="ArialMT" w:eastAsiaTheme="minorHAnsi" w:hAnsi="ArialMT" w:cs="ArialMT"/>
                <w:color w:val="auto"/>
                <w:sz w:val="17"/>
                <w:szCs w:val="17"/>
                <w:lang w:eastAsia="en-US"/>
              </w:rPr>
            </w:pPr>
            <w:r>
              <w:rPr>
                <w:rFonts w:ascii="ArialMT" w:eastAsiaTheme="minorHAnsi" w:hAnsi="ArialMT" w:cs="ArialMT"/>
                <w:color w:val="auto"/>
                <w:sz w:val="17"/>
                <w:szCs w:val="17"/>
                <w:lang w:eastAsia="en-US"/>
              </w:rPr>
              <w:t>agreements were executed under various MRFF initiatives</w:t>
            </w:r>
          </w:p>
          <w:p w14:paraId="2FD4FDA2" w14:textId="77777777" w:rsidR="003120CF" w:rsidRDefault="003120CF" w:rsidP="003120CF">
            <w:pPr>
              <w:autoSpaceDE w:val="0"/>
              <w:autoSpaceDN w:val="0"/>
              <w:adjustRightInd w:val="0"/>
              <w:spacing w:before="0" w:after="0"/>
              <w:rPr>
                <w:rFonts w:ascii="Arial-ItalicMT" w:eastAsiaTheme="minorHAnsi" w:hAnsi="Arial-ItalicMT" w:cs="Arial-ItalicMT"/>
                <w:i/>
                <w:iCs/>
                <w:color w:val="auto"/>
                <w:sz w:val="17"/>
                <w:szCs w:val="17"/>
                <w:lang w:eastAsia="en-US"/>
              </w:rPr>
            </w:pPr>
            <w:r>
              <w:rPr>
                <w:rFonts w:ascii="ArialMT" w:eastAsiaTheme="minorHAnsi" w:hAnsi="ArialMT" w:cs="ArialMT"/>
                <w:color w:val="auto"/>
                <w:sz w:val="17"/>
                <w:szCs w:val="17"/>
                <w:lang w:eastAsia="en-US"/>
              </w:rPr>
              <w:t xml:space="preserve">consistent with the </w:t>
            </w:r>
            <w:r>
              <w:rPr>
                <w:rFonts w:ascii="Arial-ItalicMT" w:eastAsiaTheme="minorHAnsi" w:hAnsi="Arial-ItalicMT" w:cs="Arial-ItalicMT"/>
                <w:i/>
                <w:iCs/>
                <w:color w:val="auto"/>
                <w:sz w:val="17"/>
                <w:szCs w:val="17"/>
                <w:lang w:eastAsia="en-US"/>
              </w:rPr>
              <w:t>Medical</w:t>
            </w:r>
          </w:p>
          <w:p w14:paraId="1912FB9B" w14:textId="77777777" w:rsidR="003120CF" w:rsidRDefault="003120CF" w:rsidP="003120CF">
            <w:pPr>
              <w:autoSpaceDE w:val="0"/>
              <w:autoSpaceDN w:val="0"/>
              <w:adjustRightInd w:val="0"/>
              <w:spacing w:before="0" w:after="0"/>
              <w:rPr>
                <w:rFonts w:ascii="Arial-ItalicMT" w:eastAsiaTheme="minorHAnsi" w:hAnsi="Arial-ItalicMT" w:cs="Arial-ItalicMT"/>
                <w:i/>
                <w:iCs/>
                <w:color w:val="auto"/>
                <w:sz w:val="17"/>
                <w:szCs w:val="17"/>
                <w:lang w:eastAsia="en-US"/>
              </w:rPr>
            </w:pPr>
            <w:r>
              <w:rPr>
                <w:rFonts w:ascii="Arial-ItalicMT" w:eastAsiaTheme="minorHAnsi" w:hAnsi="Arial-ItalicMT" w:cs="Arial-ItalicMT"/>
                <w:i/>
                <w:iCs/>
                <w:color w:val="auto"/>
                <w:sz w:val="17"/>
                <w:szCs w:val="17"/>
                <w:lang w:eastAsia="en-US"/>
              </w:rPr>
              <w:t>Research Future Fund Act</w:t>
            </w:r>
          </w:p>
          <w:p w14:paraId="64A12E69" w14:textId="77777777" w:rsidR="0091535A" w:rsidRDefault="003120CF" w:rsidP="00563362">
            <w:pPr>
              <w:spacing w:before="0" w:after="0"/>
              <w:rPr>
                <w:rFonts w:ascii="ArialMT" w:eastAsiaTheme="minorHAnsi" w:hAnsi="ArialMT" w:cs="ArialMT"/>
                <w:color w:val="auto"/>
                <w:lang w:eastAsia="en-US"/>
              </w:rPr>
            </w:pPr>
            <w:r>
              <w:rPr>
                <w:rFonts w:ascii="Arial-ItalicMT" w:eastAsiaTheme="minorHAnsi" w:hAnsi="Arial-ItalicMT" w:cs="Arial-ItalicMT"/>
                <w:i/>
                <w:iCs/>
                <w:color w:val="auto"/>
                <w:lang w:eastAsia="en-US"/>
              </w:rPr>
              <w:t xml:space="preserve">2015 </w:t>
            </w:r>
            <w:r>
              <w:rPr>
                <w:rFonts w:ascii="ArialMT" w:eastAsiaTheme="minorHAnsi" w:hAnsi="ArialMT" w:cs="ArialMT"/>
                <w:color w:val="auto"/>
                <w:lang w:eastAsia="en-US"/>
              </w:rPr>
              <w:t>(MRFF Act).</w:t>
            </w:r>
          </w:p>
          <w:p w14:paraId="56F70F28" w14:textId="2443F679" w:rsidR="003120CF" w:rsidRPr="00685583" w:rsidRDefault="003120CF" w:rsidP="003120CF">
            <w:pPr>
              <w:rPr>
                <w:b/>
                <w:color w:val="auto"/>
                <w:sz w:val="17"/>
                <w:szCs w:val="17"/>
              </w:rPr>
            </w:pPr>
          </w:p>
        </w:tc>
        <w:tc>
          <w:tcPr>
            <w:tcW w:w="2559" w:type="dxa"/>
            <w:shd w:val="clear" w:color="auto" w:fill="auto"/>
          </w:tcPr>
          <w:p w14:paraId="262D25F2" w14:textId="1642F612" w:rsidR="003120CF" w:rsidRPr="00587923" w:rsidRDefault="003120CF" w:rsidP="003120CF">
            <w:pPr>
              <w:pStyle w:val="Tabletextmeasures85pt"/>
              <w:rPr>
                <w:color w:val="000000" w:themeColor="text1"/>
              </w:rPr>
            </w:pPr>
            <w:r w:rsidRPr="00587923">
              <w:rPr>
                <w:color w:val="000000" w:themeColor="text1"/>
              </w:rPr>
              <w:t>Disburse 100% of the availa</w:t>
            </w:r>
            <w:r w:rsidR="00BB01F1" w:rsidRPr="00587923">
              <w:rPr>
                <w:color w:val="000000" w:themeColor="text1"/>
              </w:rPr>
              <w:t>ble budget for the MRFF in 2022–</w:t>
            </w:r>
            <w:r w:rsidRPr="00587923">
              <w:rPr>
                <w:color w:val="000000" w:themeColor="text1"/>
              </w:rPr>
              <w:t xml:space="preserve">23 to grants of financial assistance, consistent with the MRFF Act and the MRFF 10-Year Investment Plan. </w:t>
            </w:r>
          </w:p>
          <w:p w14:paraId="7840B2FB" w14:textId="77777777" w:rsidR="008B23B4" w:rsidRPr="00587923" w:rsidRDefault="008B23B4" w:rsidP="008B23B4">
            <w:pPr>
              <w:pStyle w:val="Tabletextmeasures85pt"/>
              <w:rPr>
                <w:color w:val="000000" w:themeColor="text1"/>
              </w:rPr>
            </w:pPr>
            <w:r w:rsidRPr="00587923">
              <w:rPr>
                <w:color w:val="000000" w:themeColor="text1"/>
              </w:rPr>
              <w:t>Support 40 new clinical trials.</w:t>
            </w:r>
          </w:p>
          <w:p w14:paraId="7E063A9E" w14:textId="651F5120" w:rsidR="003120CF" w:rsidRPr="00587923" w:rsidRDefault="008B23B4" w:rsidP="008B23B4">
            <w:pPr>
              <w:pStyle w:val="Tabletextmeasures85pt"/>
              <w:rPr>
                <w:color w:val="000000" w:themeColor="text1"/>
              </w:rPr>
            </w:pPr>
            <w:r w:rsidRPr="00587923">
              <w:rPr>
                <w:color w:val="000000" w:themeColor="text1"/>
              </w:rPr>
              <w:t>Provide funding for 15 new projects to develop and commercialise health technologies, treatments, drugs and devices</w:t>
            </w:r>
            <w:r w:rsidR="003120CF" w:rsidRPr="00587923">
              <w:rPr>
                <w:color w:val="000000" w:themeColor="text1"/>
              </w:rPr>
              <w:t>.</w:t>
            </w:r>
          </w:p>
          <w:p w14:paraId="3CCB923F" w14:textId="1DE66850" w:rsidR="003120CF" w:rsidRPr="00587923" w:rsidRDefault="003120CF" w:rsidP="003120CF">
            <w:pPr>
              <w:pStyle w:val="Tabletextmeasures85pt"/>
              <w:rPr>
                <w:color w:val="000000" w:themeColor="text1"/>
              </w:rPr>
            </w:pPr>
            <w:r w:rsidRPr="00587923">
              <w:rPr>
                <w:color w:val="000000" w:themeColor="text1"/>
              </w:rPr>
              <w:t>Build the capacity of Aboriginal and Torres Strait Islander people to lead Indigenous health and medical research.</w:t>
            </w:r>
          </w:p>
          <w:p w14:paraId="32707CB0" w14:textId="1953B067" w:rsidR="003120CF" w:rsidRPr="00587923" w:rsidRDefault="003120CF" w:rsidP="003120CF">
            <w:pPr>
              <w:pStyle w:val="Tabletextmeasures85pt"/>
              <w:rPr>
                <w:color w:val="000000" w:themeColor="text1"/>
              </w:rPr>
            </w:pPr>
            <w:r w:rsidRPr="00587923">
              <w:rPr>
                <w:color w:val="000000" w:themeColor="text1"/>
              </w:rPr>
              <w:t>Build the capacity of the health and medical research sector.</w:t>
            </w:r>
          </w:p>
          <w:p w14:paraId="7350A563" w14:textId="116CA198" w:rsidR="003120CF" w:rsidRPr="00587923" w:rsidRDefault="003120CF" w:rsidP="003120CF">
            <w:pPr>
              <w:pStyle w:val="Tabletextmeasures85pt"/>
              <w:rPr>
                <w:color w:val="000000" w:themeColor="text1"/>
              </w:rPr>
            </w:pPr>
            <w:r w:rsidRPr="00587923">
              <w:rPr>
                <w:color w:val="000000" w:themeColor="text1"/>
              </w:rPr>
              <w:t>Support collaboration across the health and medical research sector.</w:t>
            </w:r>
          </w:p>
          <w:p w14:paraId="5F0D44ED" w14:textId="11EA8E2B" w:rsidR="0091535A" w:rsidRPr="00587923" w:rsidRDefault="003120CF" w:rsidP="003120CF">
            <w:pPr>
              <w:pStyle w:val="Tabletextmeasures85pt"/>
              <w:rPr>
                <w:color w:val="000000" w:themeColor="text1"/>
              </w:rPr>
            </w:pPr>
            <w:r w:rsidRPr="00587923">
              <w:rPr>
                <w:color w:val="000000" w:themeColor="text1"/>
              </w:rPr>
              <w:t>Enhance the capacity of the health and medical research sector by expanding the range of entities able to receive MRFF funding.</w:t>
            </w:r>
          </w:p>
        </w:tc>
        <w:tc>
          <w:tcPr>
            <w:tcW w:w="2559" w:type="dxa"/>
            <w:shd w:val="clear" w:color="auto" w:fill="auto"/>
          </w:tcPr>
          <w:p w14:paraId="45C1A7A4" w14:textId="0F05B2F2" w:rsidR="00CC420F" w:rsidRPr="00587923" w:rsidRDefault="00BB01F1" w:rsidP="00CC420F">
            <w:pPr>
              <w:pStyle w:val="Tabletextmeasures85pt"/>
              <w:rPr>
                <w:b/>
                <w:color w:val="000000" w:themeColor="text1"/>
              </w:rPr>
            </w:pPr>
            <w:r w:rsidRPr="00587923">
              <w:rPr>
                <w:color w:val="000000" w:themeColor="text1"/>
              </w:rPr>
              <w:t>As per 2022–</w:t>
            </w:r>
            <w:r w:rsidR="003120CF" w:rsidRPr="00587923">
              <w:rPr>
                <w:color w:val="000000" w:themeColor="text1"/>
              </w:rPr>
              <w:t>23.</w:t>
            </w:r>
          </w:p>
          <w:p w14:paraId="510A91EB" w14:textId="66DE4784" w:rsidR="0091535A" w:rsidRPr="00587923" w:rsidRDefault="0091535A" w:rsidP="008606A0">
            <w:pPr>
              <w:pStyle w:val="Tableheadingrow9pt"/>
              <w:spacing w:before="80"/>
              <w:rPr>
                <w:color w:val="000000" w:themeColor="text1"/>
                <w:sz w:val="17"/>
                <w:szCs w:val="17"/>
              </w:rPr>
            </w:pPr>
          </w:p>
          <w:p w14:paraId="336DA41E" w14:textId="77777777" w:rsidR="009C4E14" w:rsidRPr="00587923" w:rsidRDefault="009C4E14" w:rsidP="008606A0">
            <w:pPr>
              <w:pStyle w:val="Tableheadingrow9pt"/>
              <w:spacing w:before="80"/>
              <w:rPr>
                <w:color w:val="000000" w:themeColor="text1"/>
                <w:sz w:val="17"/>
                <w:szCs w:val="17"/>
              </w:rPr>
            </w:pPr>
          </w:p>
          <w:p w14:paraId="0BFBFB05" w14:textId="44C77F9B" w:rsidR="009C4E14" w:rsidRPr="00587923" w:rsidRDefault="009C4E14" w:rsidP="008606A0">
            <w:pPr>
              <w:pStyle w:val="Tableheadingrow9pt"/>
              <w:spacing w:before="80"/>
              <w:rPr>
                <w:color w:val="000000" w:themeColor="text1"/>
                <w:sz w:val="17"/>
                <w:szCs w:val="17"/>
              </w:rPr>
            </w:pPr>
          </w:p>
        </w:tc>
      </w:tr>
    </w:tbl>
    <w:p w14:paraId="23D9AB8B" w14:textId="77777777" w:rsidR="00297974" w:rsidRDefault="00297974">
      <w:r>
        <w:rPr>
          <w:b/>
        </w:rPr>
        <w:br w:type="page"/>
      </w:r>
    </w:p>
    <w:tbl>
      <w:tblPr>
        <w:tblStyle w:val="TableGrid"/>
        <w:tblW w:w="7677" w:type="dxa"/>
        <w:jc w:val="center"/>
        <w:tblLayout w:type="fixed"/>
        <w:tblLook w:val="04A0" w:firstRow="1" w:lastRow="0" w:firstColumn="1" w:lastColumn="0" w:noHBand="0" w:noVBand="1"/>
        <w:tblCaption w:val="Table 2.1.2: Performance Measures for Program 1.1 (continued)"/>
        <w:tblDescription w:val="This table includes a performance measure for Program 1.1, with an expected performance result for 2021-22, and planned performance results for 2022-23 and the forward estimates"/>
      </w:tblPr>
      <w:tblGrid>
        <w:gridCol w:w="2559"/>
        <w:gridCol w:w="2559"/>
        <w:gridCol w:w="2559"/>
      </w:tblGrid>
      <w:tr w:rsidR="00685583" w:rsidRPr="00685583" w14:paraId="52100D1F" w14:textId="77777777" w:rsidTr="000A74AA">
        <w:trPr>
          <w:jc w:val="center"/>
        </w:trPr>
        <w:tc>
          <w:tcPr>
            <w:tcW w:w="7677" w:type="dxa"/>
            <w:gridSpan w:val="3"/>
            <w:shd w:val="clear" w:color="auto" w:fill="D9D9D9" w:themeFill="background1" w:themeFillShade="D9"/>
          </w:tcPr>
          <w:p w14:paraId="3E475837" w14:textId="265B9E6E" w:rsidR="00445AFF" w:rsidRPr="006426C1" w:rsidRDefault="00DB086A" w:rsidP="00445AFF">
            <w:pPr>
              <w:pStyle w:val="Tableheadingrow9pt"/>
              <w:rPr>
                <w:bCs/>
                <w:color w:val="auto"/>
                <w:sz w:val="17"/>
                <w:szCs w:val="17"/>
              </w:rPr>
            </w:pPr>
            <w:r w:rsidRPr="00685583">
              <w:rPr>
                <w:bCs/>
                <w:color w:val="auto"/>
                <w:sz w:val="17"/>
                <w:szCs w:val="17"/>
              </w:rPr>
              <w:lastRenderedPageBreak/>
              <w:t>The rate of avoidable readmissions to public hospitals reduces over time.</w:t>
            </w:r>
          </w:p>
        </w:tc>
      </w:tr>
      <w:tr w:rsidR="00CC420F" w:rsidRPr="00685583" w14:paraId="3A706DDC" w14:textId="77777777" w:rsidTr="00CE5473">
        <w:trPr>
          <w:jc w:val="center"/>
        </w:trPr>
        <w:tc>
          <w:tcPr>
            <w:tcW w:w="2559" w:type="dxa"/>
            <w:shd w:val="clear" w:color="auto" w:fill="auto"/>
          </w:tcPr>
          <w:p w14:paraId="4CD4419E" w14:textId="4DAE6958" w:rsidR="00CC420F" w:rsidRPr="00685583" w:rsidRDefault="00BB01F1" w:rsidP="00CC420F">
            <w:pPr>
              <w:pStyle w:val="Tableheadingrowmeasures85pt"/>
              <w:rPr>
                <w:color w:val="auto"/>
              </w:rPr>
            </w:pPr>
            <w:r>
              <w:t>Current Year</w:t>
            </w:r>
            <w:r>
              <w:br/>
              <w:t>2021–</w:t>
            </w:r>
            <w:r w:rsidR="00CC420F">
              <w:t>22 Expected Performance</w:t>
            </w:r>
            <w:r w:rsidR="00CC420F" w:rsidRPr="00C004D1">
              <w:t xml:space="preserve"> </w:t>
            </w:r>
            <w:r w:rsidR="00CC420F">
              <w:t>R</w:t>
            </w:r>
            <w:r w:rsidR="00CC420F" w:rsidRPr="00C004D1">
              <w:t>esult</w:t>
            </w:r>
            <w:r w:rsidR="00CC420F">
              <w:t>s</w:t>
            </w:r>
          </w:p>
        </w:tc>
        <w:tc>
          <w:tcPr>
            <w:tcW w:w="2559" w:type="dxa"/>
            <w:shd w:val="clear" w:color="auto" w:fill="auto"/>
          </w:tcPr>
          <w:p w14:paraId="05E61EB2" w14:textId="2DACC1A1" w:rsidR="00CC420F" w:rsidRPr="00685583" w:rsidRDefault="00BB01F1" w:rsidP="00CC420F">
            <w:pPr>
              <w:pStyle w:val="Tableheadingrowmeasures85pt"/>
              <w:rPr>
                <w:color w:val="auto"/>
              </w:rPr>
            </w:pPr>
            <w:r>
              <w:t>Budget Year</w:t>
            </w:r>
            <w:r>
              <w:br/>
              <w:t>2022–</w:t>
            </w:r>
            <w:r w:rsidR="00CC420F">
              <w:t xml:space="preserve">23 Planned Performance Results </w:t>
            </w:r>
          </w:p>
        </w:tc>
        <w:tc>
          <w:tcPr>
            <w:tcW w:w="2559" w:type="dxa"/>
            <w:shd w:val="clear" w:color="auto" w:fill="auto"/>
          </w:tcPr>
          <w:p w14:paraId="68345366" w14:textId="79C1A415" w:rsidR="00CC420F" w:rsidRPr="00685583" w:rsidRDefault="00CC420F" w:rsidP="00CC420F">
            <w:pPr>
              <w:pStyle w:val="Tableheadingrowmeasures85pt"/>
              <w:rPr>
                <w:color w:val="auto"/>
              </w:rPr>
            </w:pPr>
            <w:r>
              <w:t>Forward Estimates</w:t>
            </w:r>
            <w:r>
              <w:br/>
            </w:r>
            <w:r w:rsidR="00BB01F1">
              <w:t>2023–</w:t>
            </w:r>
            <w:r w:rsidRPr="00C004D1">
              <w:t>2</w:t>
            </w:r>
            <w:r>
              <w:t>6</w:t>
            </w:r>
            <w:r w:rsidRPr="00C004D1">
              <w:t xml:space="preserve"> </w:t>
            </w:r>
            <w:r>
              <w:t>Planned Performance Results</w:t>
            </w:r>
          </w:p>
        </w:tc>
      </w:tr>
      <w:tr w:rsidR="00F82F23" w:rsidRPr="00685583" w14:paraId="0BF7FD1B" w14:textId="77777777" w:rsidTr="00A644F1">
        <w:trPr>
          <w:jc w:val="center"/>
        </w:trPr>
        <w:tc>
          <w:tcPr>
            <w:tcW w:w="2559" w:type="dxa"/>
            <w:shd w:val="clear" w:color="auto" w:fill="auto"/>
          </w:tcPr>
          <w:p w14:paraId="063369CA" w14:textId="1C7E41BE" w:rsidR="00F82F23" w:rsidRPr="00685583" w:rsidRDefault="00F82F23" w:rsidP="00F82F23">
            <w:pPr>
              <w:rPr>
                <w:b/>
                <w:color w:val="auto"/>
                <w:sz w:val="17"/>
                <w:szCs w:val="17"/>
              </w:rPr>
            </w:pPr>
            <w:r w:rsidRPr="00685583">
              <w:rPr>
                <w:color w:val="auto"/>
                <w:sz w:val="17"/>
                <w:szCs w:val="17"/>
              </w:rPr>
              <w:t>Implement</w:t>
            </w:r>
            <w:r w:rsidR="00967A74">
              <w:rPr>
                <w:color w:val="auto"/>
                <w:sz w:val="17"/>
                <w:szCs w:val="17"/>
              </w:rPr>
              <w:t>ed</w:t>
            </w:r>
            <w:r w:rsidRPr="00685583">
              <w:rPr>
                <w:color w:val="auto"/>
                <w:sz w:val="17"/>
                <w:szCs w:val="17"/>
              </w:rPr>
              <w:t xml:space="preserve"> more consistent definitions of avoidable readmissions, as per clauses A169-A171 of the 2020</w:t>
            </w:r>
            <w:r w:rsidRPr="00F82F23">
              <w:rPr>
                <w:color w:val="auto"/>
                <w:sz w:val="17"/>
                <w:szCs w:val="17"/>
              </w:rPr>
              <w:t>–</w:t>
            </w:r>
            <w:r w:rsidRPr="00685583">
              <w:rPr>
                <w:color w:val="auto"/>
                <w:sz w:val="17"/>
                <w:szCs w:val="17"/>
              </w:rPr>
              <w:t>25 National Health Reform Agreement.</w:t>
            </w:r>
          </w:p>
        </w:tc>
        <w:tc>
          <w:tcPr>
            <w:tcW w:w="2559" w:type="dxa"/>
            <w:shd w:val="clear" w:color="auto" w:fill="auto"/>
          </w:tcPr>
          <w:p w14:paraId="7D6E2E31" w14:textId="056A0F25" w:rsidR="00967A74" w:rsidRPr="00685583" w:rsidRDefault="00F82F23" w:rsidP="008A2540">
            <w:pPr>
              <w:rPr>
                <w:color w:val="auto"/>
                <w:sz w:val="17"/>
                <w:szCs w:val="17"/>
              </w:rPr>
            </w:pPr>
            <w:r w:rsidRPr="00685583">
              <w:rPr>
                <w:color w:val="auto"/>
                <w:sz w:val="17"/>
                <w:szCs w:val="17"/>
              </w:rPr>
              <w:t xml:space="preserve">Reduced rate of avoidable readmissions compared to </w:t>
            </w:r>
            <w:r w:rsidR="00BB01F1">
              <w:rPr>
                <w:color w:val="auto"/>
                <w:sz w:val="17"/>
                <w:szCs w:val="17"/>
              </w:rPr>
              <w:t>2021–</w:t>
            </w:r>
            <w:r>
              <w:rPr>
                <w:color w:val="auto"/>
                <w:sz w:val="17"/>
                <w:szCs w:val="17"/>
              </w:rPr>
              <w:t>22</w:t>
            </w:r>
            <w:r w:rsidRPr="00685583">
              <w:rPr>
                <w:color w:val="auto"/>
                <w:sz w:val="17"/>
                <w:szCs w:val="17"/>
              </w:rPr>
              <w:t xml:space="preserve"> baseline.</w:t>
            </w:r>
          </w:p>
        </w:tc>
        <w:tc>
          <w:tcPr>
            <w:tcW w:w="2559" w:type="dxa"/>
            <w:shd w:val="clear" w:color="auto" w:fill="auto"/>
          </w:tcPr>
          <w:p w14:paraId="0F05A823" w14:textId="20816C96" w:rsidR="00CC420F" w:rsidRPr="006426C1" w:rsidRDefault="00BB01F1" w:rsidP="00CC420F">
            <w:pPr>
              <w:pStyle w:val="Tabletextmeasures85pt"/>
              <w:rPr>
                <w:color w:val="auto"/>
              </w:rPr>
            </w:pPr>
            <w:r>
              <w:rPr>
                <w:color w:val="auto"/>
              </w:rPr>
              <w:t>As per 2022–</w:t>
            </w:r>
            <w:r w:rsidR="006426C1" w:rsidRPr="006426C1">
              <w:rPr>
                <w:color w:val="auto"/>
              </w:rPr>
              <w:t>23</w:t>
            </w:r>
            <w:r w:rsidR="009C4E14">
              <w:rPr>
                <w:color w:val="auto"/>
              </w:rPr>
              <w:t>.</w:t>
            </w:r>
          </w:p>
          <w:p w14:paraId="186F96C7" w14:textId="4B6E1105" w:rsidR="00F82F23" w:rsidRPr="00685583" w:rsidRDefault="00F82F23" w:rsidP="00F82F23">
            <w:pPr>
              <w:rPr>
                <w:color w:val="auto"/>
                <w:sz w:val="17"/>
                <w:szCs w:val="17"/>
              </w:rPr>
            </w:pPr>
          </w:p>
        </w:tc>
      </w:tr>
      <w:tr w:rsidR="00F82F23" w:rsidRPr="00685583" w14:paraId="7E14DBB5" w14:textId="77777777" w:rsidTr="000A74AA">
        <w:trPr>
          <w:jc w:val="center"/>
        </w:trPr>
        <w:tc>
          <w:tcPr>
            <w:tcW w:w="7677" w:type="dxa"/>
            <w:gridSpan w:val="3"/>
            <w:shd w:val="clear" w:color="auto" w:fill="auto"/>
          </w:tcPr>
          <w:p w14:paraId="43B599C0" w14:textId="77777777" w:rsidR="00F82F23" w:rsidRPr="00685583" w:rsidRDefault="00F82F23" w:rsidP="00F82F23">
            <w:pPr>
              <w:pStyle w:val="Tableheadingrow9pt"/>
              <w:rPr>
                <w:color w:val="auto"/>
              </w:rPr>
            </w:pPr>
            <w:r w:rsidRPr="00685583">
              <w:rPr>
                <w:color w:val="auto"/>
              </w:rPr>
              <w:t>Material changes to Program 1.1 resulting from the following measures:</w:t>
            </w:r>
          </w:p>
          <w:p w14:paraId="3488C5B1" w14:textId="6D20E8C8" w:rsidR="00F82F23" w:rsidRPr="00685583" w:rsidRDefault="005A1C5A" w:rsidP="005A1C5A">
            <w:pPr>
              <w:rPr>
                <w:color w:val="auto"/>
              </w:rPr>
            </w:pPr>
            <w:r w:rsidRPr="00473719">
              <w:rPr>
                <w:sz w:val="17"/>
                <w:szCs w:val="17"/>
              </w:rPr>
              <w:t>There are no material changes to Program 1.1 resulting from measures.</w:t>
            </w:r>
          </w:p>
        </w:tc>
      </w:tr>
    </w:tbl>
    <w:p w14:paraId="013DA8BE" w14:textId="6F92AA9E" w:rsidR="00D26B6C" w:rsidRPr="00685583" w:rsidRDefault="00D26B6C" w:rsidP="00D26B6C">
      <w:pPr>
        <w:rPr>
          <w:color w:val="auto"/>
          <w:szCs w:val="20"/>
        </w:rPr>
      </w:pPr>
      <w:r w:rsidRPr="00685583">
        <w:rPr>
          <w:color w:val="auto"/>
        </w:rPr>
        <w:br w:type="page"/>
      </w:r>
    </w:p>
    <w:p w14:paraId="357F2969" w14:textId="0BE94CF3" w:rsidR="00D26B6C" w:rsidRPr="00685583" w:rsidRDefault="00D26B6C" w:rsidP="00917D72">
      <w:pPr>
        <w:pStyle w:val="Tablenumberandreference"/>
        <w:rPr>
          <w:color w:val="auto"/>
        </w:rPr>
      </w:pPr>
      <w:r w:rsidRPr="00685583">
        <w:rPr>
          <w:color w:val="auto"/>
        </w:rPr>
        <w:lastRenderedPageBreak/>
        <w:t>Table 2.</w:t>
      </w:r>
      <w:r w:rsidR="00CF22F4" w:rsidRPr="00685583">
        <w:rPr>
          <w:color w:val="auto"/>
        </w:rPr>
        <w:t>1</w:t>
      </w:r>
      <w:r w:rsidRPr="00685583">
        <w:rPr>
          <w:color w:val="auto"/>
        </w:rPr>
        <w:t>.</w:t>
      </w:r>
      <w:r w:rsidR="00D628C2" w:rsidRPr="00685583">
        <w:rPr>
          <w:color w:val="auto"/>
        </w:rPr>
        <w:t>3</w:t>
      </w:r>
      <w:r w:rsidRPr="00685583">
        <w:rPr>
          <w:color w:val="auto"/>
        </w:rPr>
        <w:t>: Pe</w:t>
      </w:r>
      <w:r w:rsidR="00CF22F4" w:rsidRPr="00685583">
        <w:rPr>
          <w:color w:val="auto"/>
        </w:rPr>
        <w:t xml:space="preserve">rformance </w:t>
      </w:r>
      <w:r w:rsidR="000F7A14" w:rsidRPr="00685583">
        <w:rPr>
          <w:color w:val="auto"/>
        </w:rPr>
        <w:t>Measures</w:t>
      </w:r>
      <w:r w:rsidR="00CF22F4" w:rsidRPr="00685583">
        <w:rPr>
          <w:color w:val="auto"/>
        </w:rPr>
        <w:t xml:space="preserve"> for Program 1.2</w:t>
      </w:r>
      <w:r w:rsidR="000C1B9B">
        <w:rPr>
          <w:color w:val="auto"/>
        </w:rPr>
        <w:t xml:space="preserve"> </w:t>
      </w:r>
    </w:p>
    <w:tbl>
      <w:tblPr>
        <w:tblStyle w:val="TableGrid"/>
        <w:tblW w:w="7677" w:type="dxa"/>
        <w:jc w:val="center"/>
        <w:tblLayout w:type="fixed"/>
        <w:tblLook w:val="04A0" w:firstRow="1" w:lastRow="0" w:firstColumn="1" w:lastColumn="0" w:noHBand="0" w:noVBand="1"/>
        <w:tblCaption w:val="Table 2.1.3: Performance Measures for Program 1.2"/>
        <w:tblDescription w:val="This table outlines Program 1.2's objective and the key activities for Program 1.2. It also includes a performance measure for Program 1.2, with an expected performance result for 2021-22, and planned performance results for 2022-23 and the forward estimates"/>
      </w:tblPr>
      <w:tblGrid>
        <w:gridCol w:w="2559"/>
        <w:gridCol w:w="2559"/>
        <w:gridCol w:w="2559"/>
      </w:tblGrid>
      <w:tr w:rsidR="00685583" w:rsidRPr="00685583" w14:paraId="2B421905" w14:textId="77777777" w:rsidTr="000A74AA">
        <w:trPr>
          <w:trHeight w:val="50"/>
          <w:jc w:val="center"/>
        </w:trPr>
        <w:tc>
          <w:tcPr>
            <w:tcW w:w="7677" w:type="dxa"/>
            <w:gridSpan w:val="3"/>
            <w:shd w:val="clear" w:color="auto" w:fill="D9D9D9" w:themeFill="background1" w:themeFillShade="D9"/>
          </w:tcPr>
          <w:p w14:paraId="6A647750" w14:textId="7AEA112F" w:rsidR="005A1C5A" w:rsidRPr="00685583" w:rsidRDefault="00D26B6C" w:rsidP="00E7155B">
            <w:pPr>
              <w:pStyle w:val="Tableheadingrow9pt"/>
              <w:rPr>
                <w:color w:val="auto"/>
              </w:rPr>
            </w:pPr>
            <w:r w:rsidRPr="00685583">
              <w:rPr>
                <w:color w:val="auto"/>
              </w:rPr>
              <w:t xml:space="preserve">Program Objective – Program </w:t>
            </w:r>
            <w:r w:rsidR="00CF22F4" w:rsidRPr="00685583">
              <w:rPr>
                <w:color w:val="auto"/>
              </w:rPr>
              <w:t>1</w:t>
            </w:r>
            <w:r w:rsidR="00D628C2" w:rsidRPr="00685583">
              <w:rPr>
                <w:color w:val="auto"/>
              </w:rPr>
              <w:t xml:space="preserve">.2: </w:t>
            </w:r>
            <w:r w:rsidR="00CF22F4" w:rsidRPr="00685583">
              <w:rPr>
                <w:color w:val="auto"/>
              </w:rPr>
              <w:t xml:space="preserve">Mental </w:t>
            </w:r>
            <w:r w:rsidR="008606A0" w:rsidRPr="00685583">
              <w:rPr>
                <w:color w:val="auto"/>
              </w:rPr>
              <w:t>H</w:t>
            </w:r>
            <w:r w:rsidR="00CF22F4" w:rsidRPr="00685583">
              <w:rPr>
                <w:color w:val="auto"/>
              </w:rPr>
              <w:t>ealth</w:t>
            </w:r>
          </w:p>
        </w:tc>
      </w:tr>
      <w:tr w:rsidR="00685583" w:rsidRPr="00685583" w14:paraId="5E6671DB" w14:textId="77777777" w:rsidTr="000A74AA">
        <w:trPr>
          <w:jc w:val="center"/>
        </w:trPr>
        <w:tc>
          <w:tcPr>
            <w:tcW w:w="7677" w:type="dxa"/>
            <w:gridSpan w:val="3"/>
          </w:tcPr>
          <w:p w14:paraId="21C6B04E" w14:textId="2581B707" w:rsidR="00D26B6C" w:rsidRPr="00685583" w:rsidRDefault="00CD3725" w:rsidP="0066322A">
            <w:pPr>
              <w:pStyle w:val="Heading2"/>
              <w:outlineLvl w:val="1"/>
              <w:rPr>
                <w:b/>
                <w:color w:val="auto"/>
              </w:rPr>
            </w:pPr>
            <w:r w:rsidRPr="00685583">
              <w:rPr>
                <w:color w:val="auto"/>
              </w:rPr>
              <w:t xml:space="preserve">Improve the mental health and wellbeing of all Australians, </w:t>
            </w:r>
            <w:r w:rsidR="0066322A" w:rsidRPr="00685583">
              <w:rPr>
                <w:color w:val="auto"/>
              </w:rPr>
              <w:t>including a focus on suicide prevention.</w:t>
            </w:r>
          </w:p>
        </w:tc>
      </w:tr>
      <w:tr w:rsidR="00685583" w:rsidRPr="00685583" w14:paraId="5488C957" w14:textId="77777777" w:rsidTr="000A74AA">
        <w:trPr>
          <w:jc w:val="center"/>
        </w:trPr>
        <w:tc>
          <w:tcPr>
            <w:tcW w:w="7677" w:type="dxa"/>
            <w:gridSpan w:val="3"/>
            <w:shd w:val="clear" w:color="auto" w:fill="D9D9D9" w:themeFill="background1" w:themeFillShade="D9"/>
          </w:tcPr>
          <w:p w14:paraId="1B2AD061" w14:textId="4F8F81D5" w:rsidR="005A1C5A" w:rsidRPr="00685583" w:rsidRDefault="00E7155B" w:rsidP="00E7155B">
            <w:pPr>
              <w:pStyle w:val="Tableheadingrow9pt"/>
              <w:rPr>
                <w:color w:val="auto"/>
              </w:rPr>
            </w:pPr>
            <w:r>
              <w:rPr>
                <w:color w:val="auto"/>
              </w:rPr>
              <w:t>Key Activities</w:t>
            </w:r>
          </w:p>
        </w:tc>
      </w:tr>
      <w:tr w:rsidR="00685583" w:rsidRPr="00685583" w14:paraId="43433269" w14:textId="77777777" w:rsidTr="000A74AA">
        <w:trPr>
          <w:jc w:val="center"/>
        </w:trPr>
        <w:tc>
          <w:tcPr>
            <w:tcW w:w="7677" w:type="dxa"/>
            <w:gridSpan w:val="3"/>
          </w:tcPr>
          <w:p w14:paraId="360B30CC" w14:textId="10CC1607" w:rsidR="00415570" w:rsidRDefault="00415570" w:rsidP="00A11DB7">
            <w:pPr>
              <w:pStyle w:val="Tabletextnormal9pt"/>
              <w:numPr>
                <w:ilvl w:val="0"/>
                <w:numId w:val="1"/>
              </w:numPr>
              <w:ind w:left="312" w:hanging="284"/>
              <w:rPr>
                <w:color w:val="auto"/>
              </w:rPr>
            </w:pPr>
            <w:r w:rsidRPr="00415570">
              <w:rPr>
                <w:color w:val="auto"/>
              </w:rPr>
              <w:t>Working with states and territories to finalise</w:t>
            </w:r>
            <w:r w:rsidR="00856E20">
              <w:rPr>
                <w:color w:val="auto"/>
              </w:rPr>
              <w:t xml:space="preserve"> and implement</w:t>
            </w:r>
            <w:r w:rsidRPr="00415570">
              <w:rPr>
                <w:color w:val="auto"/>
              </w:rPr>
              <w:t xml:space="preserve"> the National</w:t>
            </w:r>
            <w:r w:rsidR="00513560">
              <w:rPr>
                <w:color w:val="auto"/>
              </w:rPr>
              <w:t xml:space="preserve"> Mental Health and Suicide Prevention</w:t>
            </w:r>
            <w:r w:rsidRPr="00415570">
              <w:rPr>
                <w:color w:val="auto"/>
              </w:rPr>
              <w:t xml:space="preserve"> </w:t>
            </w:r>
            <w:r w:rsidR="0031555F">
              <w:rPr>
                <w:color w:val="auto"/>
              </w:rPr>
              <w:t>Agreement</w:t>
            </w:r>
            <w:r w:rsidR="00A57BBA">
              <w:rPr>
                <w:color w:val="auto"/>
              </w:rPr>
              <w:t xml:space="preserve"> and associated bilateral schedules</w:t>
            </w:r>
            <w:r w:rsidRPr="00415570">
              <w:rPr>
                <w:color w:val="auto"/>
              </w:rPr>
              <w:t>.</w:t>
            </w:r>
          </w:p>
          <w:p w14:paraId="3F08D317" w14:textId="330A17BC" w:rsidR="0031555F" w:rsidRPr="00415570" w:rsidRDefault="0031555F" w:rsidP="00A11DB7">
            <w:pPr>
              <w:pStyle w:val="Tabletextnormal9pt"/>
              <w:numPr>
                <w:ilvl w:val="0"/>
                <w:numId w:val="1"/>
              </w:numPr>
              <w:ind w:left="312" w:hanging="284"/>
              <w:rPr>
                <w:color w:val="auto"/>
              </w:rPr>
            </w:pPr>
            <w:r>
              <w:rPr>
                <w:color w:val="auto"/>
              </w:rPr>
              <w:t>Implementing additional COVID-19 mental health support in N</w:t>
            </w:r>
            <w:r w:rsidR="00A15B46">
              <w:rPr>
                <w:color w:val="auto"/>
              </w:rPr>
              <w:t xml:space="preserve">ew </w:t>
            </w:r>
            <w:r>
              <w:rPr>
                <w:color w:val="auto"/>
              </w:rPr>
              <w:t>S</w:t>
            </w:r>
            <w:r w:rsidR="00A15B46">
              <w:rPr>
                <w:color w:val="auto"/>
              </w:rPr>
              <w:t xml:space="preserve">outh </w:t>
            </w:r>
            <w:r>
              <w:rPr>
                <w:color w:val="auto"/>
              </w:rPr>
              <w:t>W</w:t>
            </w:r>
            <w:r w:rsidR="00A15B46">
              <w:rPr>
                <w:color w:val="auto"/>
              </w:rPr>
              <w:t>ales</w:t>
            </w:r>
            <w:r>
              <w:rPr>
                <w:color w:val="auto"/>
              </w:rPr>
              <w:t>, Victoria and the A</w:t>
            </w:r>
            <w:r w:rsidR="00A15B46">
              <w:rPr>
                <w:color w:val="auto"/>
              </w:rPr>
              <w:t xml:space="preserve">ustralian </w:t>
            </w:r>
            <w:r>
              <w:rPr>
                <w:color w:val="auto"/>
              </w:rPr>
              <w:t>C</w:t>
            </w:r>
            <w:r w:rsidR="00A15B46">
              <w:rPr>
                <w:color w:val="auto"/>
              </w:rPr>
              <w:t xml:space="preserve">apital </w:t>
            </w:r>
            <w:r>
              <w:rPr>
                <w:color w:val="auto"/>
              </w:rPr>
              <w:t>T</w:t>
            </w:r>
            <w:r w:rsidR="00A15B46">
              <w:rPr>
                <w:color w:val="auto"/>
              </w:rPr>
              <w:t>erritory</w:t>
            </w:r>
            <w:r>
              <w:rPr>
                <w:color w:val="auto"/>
              </w:rPr>
              <w:t>.</w:t>
            </w:r>
            <w:r>
              <w:rPr>
                <w:rStyle w:val="FootnoteReference"/>
                <w:color w:val="auto"/>
              </w:rPr>
              <w:footnoteReference w:id="15"/>
            </w:r>
          </w:p>
          <w:p w14:paraId="665BD2A8" w14:textId="3E663ACC" w:rsidR="00415570" w:rsidRDefault="00415570" w:rsidP="00A11DB7">
            <w:pPr>
              <w:pStyle w:val="Tabletextnormal9pt"/>
              <w:numPr>
                <w:ilvl w:val="0"/>
                <w:numId w:val="1"/>
              </w:numPr>
              <w:ind w:left="312" w:hanging="284"/>
              <w:rPr>
                <w:color w:val="auto"/>
              </w:rPr>
            </w:pPr>
            <w:r w:rsidRPr="00415570">
              <w:rPr>
                <w:color w:val="auto"/>
              </w:rPr>
              <w:t>Implementing actions from the Digital Mental Health Strategy and Digital Mental Health Standards</w:t>
            </w:r>
            <w:r w:rsidR="00A11DB7">
              <w:rPr>
                <w:color w:val="auto"/>
              </w:rPr>
              <w:t>,</w:t>
            </w:r>
            <w:r w:rsidR="00856E20">
              <w:rPr>
                <w:color w:val="auto"/>
              </w:rPr>
              <w:t xml:space="preserve"> and developing</w:t>
            </w:r>
            <w:r w:rsidRPr="00415570">
              <w:rPr>
                <w:color w:val="auto"/>
              </w:rPr>
              <w:t xml:space="preserve"> a comprehensive national digital mental health platform.</w:t>
            </w:r>
          </w:p>
          <w:p w14:paraId="72EA8A29" w14:textId="03E64BC3" w:rsidR="0031555F" w:rsidRDefault="0031555F" w:rsidP="00A11DB7">
            <w:pPr>
              <w:pStyle w:val="Tabletextnormal9pt"/>
              <w:numPr>
                <w:ilvl w:val="0"/>
                <w:numId w:val="1"/>
              </w:numPr>
              <w:ind w:left="312" w:hanging="284"/>
              <w:rPr>
                <w:color w:val="auto"/>
              </w:rPr>
            </w:pPr>
            <w:r>
              <w:rPr>
                <w:color w:val="auto"/>
              </w:rPr>
              <w:t>Establishing targeted regional initiatives for suicide prevention, building on the momentum and lessons from the National Suicide Prevention Trial.</w:t>
            </w:r>
            <w:r>
              <w:rPr>
                <w:rStyle w:val="FootnoteReference"/>
                <w:color w:val="auto"/>
              </w:rPr>
              <w:footnoteReference w:id="16"/>
            </w:r>
          </w:p>
          <w:p w14:paraId="24D7EA56" w14:textId="49A61CFF" w:rsidR="00415570" w:rsidRDefault="00415570" w:rsidP="00A11DB7">
            <w:pPr>
              <w:pStyle w:val="Tabletextnormal9pt"/>
              <w:numPr>
                <w:ilvl w:val="0"/>
                <w:numId w:val="1"/>
              </w:numPr>
              <w:ind w:left="312" w:hanging="284"/>
              <w:rPr>
                <w:color w:val="auto"/>
              </w:rPr>
            </w:pPr>
            <w:r w:rsidRPr="00415570">
              <w:rPr>
                <w:color w:val="auto"/>
              </w:rPr>
              <w:t xml:space="preserve">Providing aftercare services to support Australians discharged from hospital following a suicide attempt, and suicide </w:t>
            </w:r>
            <w:proofErr w:type="spellStart"/>
            <w:r w:rsidRPr="00415570">
              <w:rPr>
                <w:color w:val="auto"/>
              </w:rPr>
              <w:t>postvention</w:t>
            </w:r>
            <w:proofErr w:type="spellEnd"/>
            <w:r w:rsidRPr="00415570">
              <w:rPr>
                <w:color w:val="auto"/>
              </w:rPr>
              <w:t xml:space="preserve"> services to support those bereaved by suicide.</w:t>
            </w:r>
          </w:p>
          <w:p w14:paraId="04B341BA" w14:textId="128434EB" w:rsidR="006A18D6" w:rsidRDefault="006A18D6" w:rsidP="00A11DB7">
            <w:pPr>
              <w:pStyle w:val="Tabletextnormal9pt"/>
              <w:numPr>
                <w:ilvl w:val="0"/>
                <w:numId w:val="1"/>
              </w:numPr>
              <w:ind w:left="312" w:hanging="284"/>
              <w:rPr>
                <w:color w:val="auto"/>
              </w:rPr>
            </w:pPr>
            <w:r>
              <w:rPr>
                <w:color w:val="auto"/>
              </w:rPr>
              <w:t>Improving the mental health and wellbeing of children and their families through strengthened support for new and expectant parents, early intervention and multidisciplinary care.</w:t>
            </w:r>
            <w:r>
              <w:rPr>
                <w:rStyle w:val="FootnoteReference"/>
                <w:color w:val="auto"/>
              </w:rPr>
              <w:footnoteReference w:id="17"/>
            </w:r>
          </w:p>
          <w:p w14:paraId="74EEC8ED" w14:textId="5082F0BF" w:rsidR="006A18D6" w:rsidRPr="00415570" w:rsidRDefault="006A18D6" w:rsidP="00A11DB7">
            <w:pPr>
              <w:pStyle w:val="Tabletextnormal9pt"/>
              <w:numPr>
                <w:ilvl w:val="0"/>
                <w:numId w:val="1"/>
              </w:numPr>
              <w:ind w:left="312" w:hanging="284"/>
              <w:rPr>
                <w:color w:val="auto"/>
              </w:rPr>
            </w:pPr>
            <w:r>
              <w:rPr>
                <w:color w:val="auto"/>
              </w:rPr>
              <w:t>Supporting stigma reduction and promoting help-seeking behaviour and early intervention and multidisciplinary care.</w:t>
            </w:r>
            <w:r>
              <w:rPr>
                <w:rStyle w:val="FootnoteReference"/>
                <w:color w:val="auto"/>
              </w:rPr>
              <w:footnoteReference w:id="18"/>
            </w:r>
          </w:p>
          <w:p w14:paraId="2B2E9A73" w14:textId="4387C68A" w:rsidR="00415570" w:rsidRPr="0031555F" w:rsidRDefault="00415570" w:rsidP="0031555F">
            <w:pPr>
              <w:pStyle w:val="Tabletextnormal9pt"/>
              <w:numPr>
                <w:ilvl w:val="0"/>
                <w:numId w:val="1"/>
              </w:numPr>
              <w:ind w:left="312" w:hanging="284"/>
              <w:rPr>
                <w:color w:val="auto"/>
              </w:rPr>
            </w:pPr>
            <w:r w:rsidRPr="00415570">
              <w:rPr>
                <w:color w:val="auto"/>
              </w:rPr>
              <w:t>Enhancing the capacity of headspace</w:t>
            </w:r>
            <w:r w:rsidR="0031555F">
              <w:rPr>
                <w:color w:val="auto"/>
              </w:rPr>
              <w:t xml:space="preserve"> youth services and i</w:t>
            </w:r>
            <w:r w:rsidRPr="0031555F">
              <w:rPr>
                <w:color w:val="auto"/>
              </w:rPr>
              <w:t>mproving access to community based mental health services for adults.</w:t>
            </w:r>
          </w:p>
          <w:p w14:paraId="6BD46965" w14:textId="58259CAD" w:rsidR="0031555F" w:rsidRDefault="00415570" w:rsidP="0031555F">
            <w:pPr>
              <w:pStyle w:val="Tabletextnormal9pt"/>
              <w:numPr>
                <w:ilvl w:val="0"/>
                <w:numId w:val="1"/>
              </w:numPr>
              <w:ind w:left="312" w:hanging="284"/>
              <w:rPr>
                <w:color w:val="auto"/>
              </w:rPr>
            </w:pPr>
            <w:r w:rsidRPr="00415570">
              <w:rPr>
                <w:color w:val="auto"/>
              </w:rPr>
              <w:t>Providing additional support for Australians with eating disorders and th</w:t>
            </w:r>
            <w:r w:rsidR="00856E20">
              <w:rPr>
                <w:color w:val="auto"/>
              </w:rPr>
              <w:t>eir families, including operation of the</w:t>
            </w:r>
            <w:r w:rsidRPr="00415570">
              <w:rPr>
                <w:color w:val="auto"/>
              </w:rPr>
              <w:t xml:space="preserve"> national eating disorders research centre.</w:t>
            </w:r>
            <w:r w:rsidR="00856E20">
              <w:rPr>
                <w:rStyle w:val="FootnoteReference"/>
                <w:color w:val="auto"/>
              </w:rPr>
              <w:footnoteReference w:id="19"/>
            </w:r>
          </w:p>
          <w:p w14:paraId="35F8723D" w14:textId="491D44FB" w:rsidR="006A18D6" w:rsidRDefault="006A18D6" w:rsidP="0031555F">
            <w:pPr>
              <w:pStyle w:val="Tabletextnormal9pt"/>
              <w:numPr>
                <w:ilvl w:val="0"/>
                <w:numId w:val="1"/>
              </w:numPr>
              <w:ind w:left="312" w:hanging="284"/>
              <w:rPr>
                <w:color w:val="auto"/>
              </w:rPr>
            </w:pPr>
            <w:r>
              <w:rPr>
                <w:color w:val="auto"/>
              </w:rPr>
              <w:t>Improving access to Medicare-subsidised mental health care for patients, their families and carers, and aged care residents.</w:t>
            </w:r>
            <w:r>
              <w:rPr>
                <w:rStyle w:val="FootnoteReference"/>
                <w:color w:val="auto"/>
              </w:rPr>
              <w:footnoteReference w:id="20"/>
            </w:r>
          </w:p>
          <w:p w14:paraId="02EC2C73" w14:textId="6D4B10F6" w:rsidR="006A18D6" w:rsidRPr="0031555F" w:rsidRDefault="006A18D6" w:rsidP="0031555F">
            <w:pPr>
              <w:pStyle w:val="Tabletextnormal9pt"/>
              <w:numPr>
                <w:ilvl w:val="0"/>
                <w:numId w:val="1"/>
              </w:numPr>
              <w:ind w:left="312" w:hanging="284"/>
              <w:rPr>
                <w:color w:val="auto"/>
              </w:rPr>
            </w:pPr>
            <w:r>
              <w:rPr>
                <w:color w:val="auto"/>
              </w:rPr>
              <w:t>Providing psychosocial support services for people with severe mental illness who are not supported by the National Disability Insurance Scheme.</w:t>
            </w:r>
            <w:r>
              <w:rPr>
                <w:rStyle w:val="FootnoteReference"/>
                <w:color w:val="auto"/>
              </w:rPr>
              <w:footnoteReference w:id="21"/>
            </w:r>
          </w:p>
          <w:p w14:paraId="619874AF" w14:textId="2AFA7398" w:rsidR="00415570" w:rsidRPr="00415570" w:rsidRDefault="0031555F" w:rsidP="00A11DB7">
            <w:pPr>
              <w:pStyle w:val="Tabletextnormal9pt"/>
              <w:numPr>
                <w:ilvl w:val="0"/>
                <w:numId w:val="1"/>
              </w:numPr>
              <w:ind w:left="312" w:hanging="284"/>
              <w:rPr>
                <w:color w:val="auto"/>
              </w:rPr>
            </w:pPr>
            <w:r>
              <w:rPr>
                <w:color w:val="auto"/>
              </w:rPr>
              <w:t>Implementing initiatives to address the</w:t>
            </w:r>
            <w:r w:rsidR="003E6D04" w:rsidRPr="00574B17">
              <w:rPr>
                <w:color w:val="auto"/>
              </w:rPr>
              <w:t xml:space="preserve"> impact of suicide and mental ill-health on Aboriginal and Torres Strait Islander pe</w:t>
            </w:r>
            <w:r w:rsidR="003E6D04" w:rsidRPr="00992917">
              <w:rPr>
                <w:color w:val="auto"/>
              </w:rPr>
              <w:t>ople</w:t>
            </w:r>
            <w:r>
              <w:rPr>
                <w:color w:val="auto"/>
              </w:rPr>
              <w:t>, including</w:t>
            </w:r>
            <w:r w:rsidR="003E6D04" w:rsidRPr="00992917">
              <w:rPr>
                <w:color w:val="auto"/>
              </w:rPr>
              <w:t xml:space="preserve"> national leadership and governance,</w:t>
            </w:r>
            <w:r w:rsidR="003E6D04" w:rsidRPr="00574B17">
              <w:rPr>
                <w:color w:val="auto"/>
              </w:rPr>
              <w:t xml:space="preserve"> aftercare and regional network services, and the Indigenous 24/7 Crisis </w:t>
            </w:r>
            <w:r w:rsidR="00552143">
              <w:rPr>
                <w:color w:val="auto"/>
              </w:rPr>
              <w:t>L</w:t>
            </w:r>
            <w:r w:rsidR="003E6D04" w:rsidRPr="00574B17">
              <w:rPr>
                <w:color w:val="auto"/>
              </w:rPr>
              <w:t>ine</w:t>
            </w:r>
            <w:r w:rsidR="003E6D04">
              <w:rPr>
                <w:color w:val="auto"/>
              </w:rPr>
              <w:t>.</w:t>
            </w:r>
            <w:r w:rsidR="003E6D04">
              <w:rPr>
                <w:rStyle w:val="FootnoteReference"/>
                <w:color w:val="auto"/>
              </w:rPr>
              <w:footnoteReference w:id="22"/>
            </w:r>
          </w:p>
          <w:p w14:paraId="30C14B45" w14:textId="653162BC" w:rsidR="00415570" w:rsidRDefault="00415570" w:rsidP="00A11DB7">
            <w:pPr>
              <w:pStyle w:val="Tabletextnormal9pt"/>
              <w:numPr>
                <w:ilvl w:val="0"/>
                <w:numId w:val="1"/>
              </w:numPr>
              <w:ind w:left="312" w:hanging="284"/>
              <w:rPr>
                <w:color w:val="auto"/>
              </w:rPr>
            </w:pPr>
            <w:r w:rsidRPr="00415570">
              <w:rPr>
                <w:color w:val="auto"/>
              </w:rPr>
              <w:t xml:space="preserve">Providing support for </w:t>
            </w:r>
            <w:r w:rsidR="003E6D04">
              <w:rPr>
                <w:color w:val="auto"/>
              </w:rPr>
              <w:t>culturally and linguistically diverse</w:t>
            </w:r>
            <w:r w:rsidRPr="00415570">
              <w:rPr>
                <w:color w:val="auto"/>
              </w:rPr>
              <w:t xml:space="preserve"> communities through the Program of Assistance for </w:t>
            </w:r>
            <w:r w:rsidR="003E6D04">
              <w:rPr>
                <w:color w:val="auto"/>
              </w:rPr>
              <w:t>Survivors of Torture and Trauma</w:t>
            </w:r>
            <w:r w:rsidRPr="00415570">
              <w:rPr>
                <w:color w:val="auto"/>
              </w:rPr>
              <w:t xml:space="preserve"> and Mental Heal</w:t>
            </w:r>
            <w:r w:rsidR="0031555F">
              <w:rPr>
                <w:color w:val="auto"/>
              </w:rPr>
              <w:t xml:space="preserve">th Australia, including </w:t>
            </w:r>
            <w:r w:rsidR="003E6D04">
              <w:rPr>
                <w:color w:val="auto"/>
              </w:rPr>
              <w:t>broader leadership, governance and targeted ser</w:t>
            </w:r>
            <w:r w:rsidR="0031555F">
              <w:rPr>
                <w:color w:val="auto"/>
              </w:rPr>
              <w:t>vice support</w:t>
            </w:r>
            <w:r w:rsidRPr="00415570">
              <w:rPr>
                <w:color w:val="auto"/>
              </w:rPr>
              <w:t>.</w:t>
            </w:r>
            <w:r w:rsidR="003E6D04">
              <w:rPr>
                <w:rStyle w:val="FootnoteReference"/>
                <w:color w:val="auto"/>
              </w:rPr>
              <w:footnoteReference w:id="23"/>
            </w:r>
          </w:p>
          <w:p w14:paraId="58CA19B4" w14:textId="670DC421" w:rsidR="006A18D6" w:rsidRDefault="006A18D6" w:rsidP="00A11DB7">
            <w:pPr>
              <w:pStyle w:val="Tabletextnormal9pt"/>
              <w:numPr>
                <w:ilvl w:val="0"/>
                <w:numId w:val="1"/>
              </w:numPr>
              <w:ind w:left="312" w:hanging="284"/>
              <w:rPr>
                <w:color w:val="auto"/>
              </w:rPr>
            </w:pPr>
            <w:r>
              <w:rPr>
                <w:color w:val="auto"/>
              </w:rPr>
              <w:t>Establishing the National Rural and Remote Mental Health Strategy.</w:t>
            </w:r>
            <w:r>
              <w:rPr>
                <w:rStyle w:val="FootnoteReference"/>
                <w:color w:val="auto"/>
              </w:rPr>
              <w:footnoteReference w:id="24"/>
            </w:r>
          </w:p>
          <w:p w14:paraId="162A0CB8" w14:textId="4A600D17" w:rsidR="006A18D6" w:rsidRPr="00415570" w:rsidRDefault="006A18D6" w:rsidP="00A11DB7">
            <w:pPr>
              <w:pStyle w:val="Tabletextnormal9pt"/>
              <w:numPr>
                <w:ilvl w:val="0"/>
                <w:numId w:val="1"/>
              </w:numPr>
              <w:ind w:left="312" w:hanging="284"/>
              <w:rPr>
                <w:color w:val="auto"/>
              </w:rPr>
            </w:pPr>
            <w:r>
              <w:rPr>
                <w:color w:val="auto"/>
              </w:rPr>
              <w:t>Expanding and implementing the standardised assessment and referral tool for a consistent, evidence-based approach to clinical assessment and referral.</w:t>
            </w:r>
            <w:r>
              <w:rPr>
                <w:rStyle w:val="FootnoteReference"/>
                <w:color w:val="auto"/>
              </w:rPr>
              <w:footnoteReference w:id="25"/>
            </w:r>
          </w:p>
          <w:p w14:paraId="3C05BD7D" w14:textId="5A183736" w:rsidR="00100A44" w:rsidRPr="0031555F" w:rsidRDefault="00100A44" w:rsidP="0031555F">
            <w:pPr>
              <w:pStyle w:val="Tabletextnormal9pt"/>
              <w:numPr>
                <w:ilvl w:val="0"/>
                <w:numId w:val="1"/>
              </w:numPr>
              <w:ind w:left="312" w:hanging="284"/>
              <w:rPr>
                <w:color w:val="auto"/>
              </w:rPr>
            </w:pPr>
            <w:r>
              <w:rPr>
                <w:color w:val="auto"/>
              </w:rPr>
              <w:t>Implementing actions under the</w:t>
            </w:r>
            <w:r w:rsidR="00415570" w:rsidRPr="00415570">
              <w:rPr>
                <w:color w:val="auto"/>
              </w:rPr>
              <w:t xml:space="preserve"> National Mental Health Workforce Strategy.</w:t>
            </w:r>
            <w:r>
              <w:rPr>
                <w:rStyle w:val="FootnoteReference"/>
                <w:color w:val="auto"/>
              </w:rPr>
              <w:footnoteReference w:id="26"/>
            </w:r>
          </w:p>
        </w:tc>
      </w:tr>
      <w:tr w:rsidR="00685583" w:rsidRPr="00685583" w14:paraId="77EBE0EA" w14:textId="77777777" w:rsidTr="002F7014">
        <w:trPr>
          <w:jc w:val="center"/>
        </w:trPr>
        <w:tc>
          <w:tcPr>
            <w:tcW w:w="7677" w:type="dxa"/>
            <w:gridSpan w:val="3"/>
            <w:shd w:val="clear" w:color="auto" w:fill="D9D9D9" w:themeFill="background1" w:themeFillShade="D9"/>
          </w:tcPr>
          <w:p w14:paraId="5E3A26B5" w14:textId="0E170B9A" w:rsidR="002659DE" w:rsidRPr="00685583" w:rsidRDefault="004E20D1" w:rsidP="0038668D">
            <w:pPr>
              <w:pStyle w:val="Tableheadingrow9pt"/>
              <w:keepLines/>
              <w:rPr>
                <w:b w:val="0"/>
                <w:color w:val="auto"/>
              </w:rPr>
            </w:pPr>
            <w:r w:rsidRPr="00685583">
              <w:rPr>
                <w:color w:val="auto"/>
              </w:rPr>
              <w:lastRenderedPageBreak/>
              <w:t>Performance Measures</w:t>
            </w:r>
          </w:p>
        </w:tc>
      </w:tr>
      <w:tr w:rsidR="00685583" w:rsidRPr="00685583" w14:paraId="5EC0C61A" w14:textId="77777777" w:rsidTr="002F7014">
        <w:trPr>
          <w:jc w:val="center"/>
        </w:trPr>
        <w:tc>
          <w:tcPr>
            <w:tcW w:w="7677" w:type="dxa"/>
            <w:gridSpan w:val="3"/>
            <w:shd w:val="clear" w:color="auto" w:fill="D9D9D9" w:themeFill="background1" w:themeFillShade="D9"/>
          </w:tcPr>
          <w:p w14:paraId="0BAF4A44" w14:textId="7085BCD0" w:rsidR="00DE45CA" w:rsidRPr="00E7155B" w:rsidRDefault="0066322A" w:rsidP="0038668D">
            <w:pPr>
              <w:rPr>
                <w:b/>
                <w:bCs/>
                <w:color w:val="auto"/>
                <w:sz w:val="17"/>
                <w:szCs w:val="17"/>
              </w:rPr>
            </w:pPr>
            <w:r w:rsidRPr="00685583">
              <w:rPr>
                <w:b/>
                <w:bCs/>
                <w:color w:val="auto"/>
                <w:sz w:val="17"/>
                <w:szCs w:val="17"/>
              </w:rPr>
              <w:t>Improve mental health outcomes for all Australians and combat suicide.</w:t>
            </w:r>
          </w:p>
        </w:tc>
      </w:tr>
      <w:tr w:rsidR="00CC420F" w:rsidRPr="00685583" w14:paraId="275C0640" w14:textId="77777777" w:rsidTr="00CE5473">
        <w:trPr>
          <w:jc w:val="center"/>
        </w:trPr>
        <w:tc>
          <w:tcPr>
            <w:tcW w:w="2559" w:type="dxa"/>
            <w:shd w:val="clear" w:color="auto" w:fill="auto"/>
          </w:tcPr>
          <w:p w14:paraId="52B94C32" w14:textId="7B04BD5F" w:rsidR="00CC420F" w:rsidRPr="00685583" w:rsidRDefault="00BB01F1" w:rsidP="00CC420F">
            <w:pPr>
              <w:pStyle w:val="Tableheadingrowmeasures85pt"/>
              <w:rPr>
                <w:color w:val="auto"/>
              </w:rPr>
            </w:pPr>
            <w:r>
              <w:t>Current Year</w:t>
            </w:r>
            <w:r>
              <w:br/>
              <w:t>2021–</w:t>
            </w:r>
            <w:r w:rsidR="00CC420F">
              <w:t>22 Expected Performance</w:t>
            </w:r>
            <w:r w:rsidR="00CC420F" w:rsidRPr="00C004D1">
              <w:t xml:space="preserve"> </w:t>
            </w:r>
            <w:r w:rsidR="00CC420F">
              <w:t>R</w:t>
            </w:r>
            <w:r w:rsidR="00CC420F" w:rsidRPr="00C004D1">
              <w:t>esult</w:t>
            </w:r>
            <w:r w:rsidR="00CC420F">
              <w:t>s</w:t>
            </w:r>
          </w:p>
        </w:tc>
        <w:tc>
          <w:tcPr>
            <w:tcW w:w="2559" w:type="dxa"/>
            <w:shd w:val="clear" w:color="auto" w:fill="auto"/>
          </w:tcPr>
          <w:p w14:paraId="29ACEC10" w14:textId="412E0633" w:rsidR="00CC420F" w:rsidRPr="00685583" w:rsidRDefault="00BB01F1" w:rsidP="00CC420F">
            <w:pPr>
              <w:pStyle w:val="Tableheadingrowmeasures85pt"/>
              <w:rPr>
                <w:color w:val="auto"/>
              </w:rPr>
            </w:pPr>
            <w:r>
              <w:t>Budget Year</w:t>
            </w:r>
            <w:r>
              <w:br/>
              <w:t>2022–</w:t>
            </w:r>
            <w:r w:rsidR="00CC420F">
              <w:t xml:space="preserve">23 Planned Performance Results </w:t>
            </w:r>
          </w:p>
        </w:tc>
        <w:tc>
          <w:tcPr>
            <w:tcW w:w="2559" w:type="dxa"/>
            <w:shd w:val="clear" w:color="auto" w:fill="auto"/>
          </w:tcPr>
          <w:p w14:paraId="69E8E9BE" w14:textId="2C1BE1E2" w:rsidR="00CC420F" w:rsidRPr="00685583" w:rsidRDefault="00CC420F" w:rsidP="00CC420F">
            <w:pPr>
              <w:pStyle w:val="Tableheadingrowmeasures85pt"/>
              <w:rPr>
                <w:color w:val="auto"/>
              </w:rPr>
            </w:pPr>
            <w:r>
              <w:t>Forward Estimates</w:t>
            </w:r>
            <w:r>
              <w:br/>
            </w:r>
            <w:r w:rsidR="00BB01F1">
              <w:t>2023–</w:t>
            </w:r>
            <w:r w:rsidRPr="00C004D1">
              <w:t>2</w:t>
            </w:r>
            <w:r>
              <w:t>6</w:t>
            </w:r>
            <w:r w:rsidRPr="00C004D1">
              <w:t xml:space="preserve"> </w:t>
            </w:r>
            <w:r>
              <w:t>Planned Performance Results</w:t>
            </w:r>
          </w:p>
        </w:tc>
      </w:tr>
      <w:tr w:rsidR="00685583" w:rsidRPr="00685583" w14:paraId="396EE6A4" w14:textId="77777777" w:rsidTr="007713A5">
        <w:trPr>
          <w:jc w:val="center"/>
        </w:trPr>
        <w:tc>
          <w:tcPr>
            <w:tcW w:w="2559" w:type="dxa"/>
            <w:shd w:val="clear" w:color="auto" w:fill="auto"/>
          </w:tcPr>
          <w:p w14:paraId="4ECFA364" w14:textId="77A2BD7E" w:rsidR="002659DE" w:rsidRDefault="00552143" w:rsidP="002659DE">
            <w:pPr>
              <w:pStyle w:val="Tableheadingrow9pt"/>
              <w:rPr>
                <w:b w:val="0"/>
                <w:color w:val="auto"/>
                <w:sz w:val="17"/>
                <w:szCs w:val="17"/>
              </w:rPr>
            </w:pPr>
            <w:r>
              <w:rPr>
                <w:b w:val="0"/>
                <w:color w:val="auto"/>
                <w:sz w:val="17"/>
                <w:szCs w:val="17"/>
              </w:rPr>
              <w:t>Finalised t</w:t>
            </w:r>
            <w:r w:rsidR="00564360">
              <w:rPr>
                <w:b w:val="0"/>
                <w:color w:val="auto"/>
                <w:sz w:val="17"/>
                <w:szCs w:val="17"/>
              </w:rPr>
              <w:t xml:space="preserve">he </w:t>
            </w:r>
            <w:r w:rsidR="002659DE" w:rsidRPr="00685583">
              <w:rPr>
                <w:b w:val="0"/>
                <w:color w:val="auto"/>
                <w:sz w:val="17"/>
                <w:szCs w:val="17"/>
              </w:rPr>
              <w:t>National Mental Health and Suicide Prevention Agreement</w:t>
            </w:r>
            <w:r w:rsidR="00564360">
              <w:rPr>
                <w:b w:val="0"/>
                <w:color w:val="auto"/>
                <w:sz w:val="17"/>
                <w:szCs w:val="17"/>
              </w:rPr>
              <w:t>.</w:t>
            </w:r>
          </w:p>
          <w:p w14:paraId="0EBC12DD" w14:textId="274E8933" w:rsidR="002659DE" w:rsidRPr="00685583" w:rsidRDefault="009A54AE" w:rsidP="002659DE">
            <w:pPr>
              <w:pStyle w:val="Tableheadingrow9pt"/>
              <w:rPr>
                <w:b w:val="0"/>
                <w:color w:val="auto"/>
                <w:sz w:val="17"/>
                <w:szCs w:val="17"/>
              </w:rPr>
            </w:pPr>
            <w:r>
              <w:rPr>
                <w:b w:val="0"/>
                <w:color w:val="auto"/>
                <w:sz w:val="17"/>
                <w:szCs w:val="17"/>
              </w:rPr>
              <w:t xml:space="preserve">The </w:t>
            </w:r>
            <w:r w:rsidR="002659DE" w:rsidRPr="00685583">
              <w:rPr>
                <w:b w:val="0"/>
                <w:color w:val="auto"/>
                <w:sz w:val="17"/>
                <w:szCs w:val="17"/>
              </w:rPr>
              <w:t>National Suicide Prevention Office</w:t>
            </w:r>
            <w:r w:rsidR="00564360">
              <w:rPr>
                <w:b w:val="0"/>
                <w:color w:val="auto"/>
                <w:sz w:val="17"/>
                <w:szCs w:val="17"/>
              </w:rPr>
              <w:t xml:space="preserve"> will be</w:t>
            </w:r>
            <w:r w:rsidR="002659DE" w:rsidRPr="00685583">
              <w:rPr>
                <w:b w:val="0"/>
                <w:color w:val="auto"/>
                <w:sz w:val="17"/>
                <w:szCs w:val="17"/>
              </w:rPr>
              <w:t xml:space="preserve"> established</w:t>
            </w:r>
            <w:r w:rsidR="00564360">
              <w:rPr>
                <w:b w:val="0"/>
                <w:color w:val="auto"/>
                <w:sz w:val="17"/>
                <w:szCs w:val="17"/>
              </w:rPr>
              <w:t xml:space="preserve"> by June 2022</w:t>
            </w:r>
            <w:r w:rsidR="002659DE" w:rsidRPr="00685583">
              <w:rPr>
                <w:b w:val="0"/>
                <w:color w:val="auto"/>
                <w:sz w:val="17"/>
                <w:szCs w:val="17"/>
              </w:rPr>
              <w:t>.</w:t>
            </w:r>
          </w:p>
          <w:p w14:paraId="585F3CD1" w14:textId="77777777" w:rsidR="00DE453C" w:rsidRDefault="00564360" w:rsidP="00564360">
            <w:pPr>
              <w:pStyle w:val="Tabletextmeasures85pt"/>
            </w:pPr>
            <w:r>
              <w:t xml:space="preserve">18 new headspace services commenced, bringing the network to 153 services nationally. </w:t>
            </w:r>
          </w:p>
          <w:p w14:paraId="4D8CD677" w14:textId="394C90BF" w:rsidR="00564360" w:rsidRDefault="00564360" w:rsidP="00564360">
            <w:pPr>
              <w:pStyle w:val="Tabletextmeasures85pt"/>
            </w:pPr>
            <w:r>
              <w:t>All 8 Head to Health adult mental healt</w:t>
            </w:r>
            <w:r w:rsidR="00BB01F1">
              <w:t>h centres announced in the 2019–</w:t>
            </w:r>
            <w:r>
              <w:t>20 Budget will be operational. Up</w:t>
            </w:r>
            <w:r w:rsidR="00552143">
              <w:t> </w:t>
            </w:r>
            <w:r>
              <w:t xml:space="preserve">to a further 8 new centres and 15 satellites are expected to commence establishment. </w:t>
            </w:r>
          </w:p>
          <w:p w14:paraId="05FB5199" w14:textId="703AF6B9" w:rsidR="00D511DE" w:rsidRDefault="00564360" w:rsidP="00564360">
            <w:pPr>
              <w:pStyle w:val="Tabletextmeasures85pt"/>
            </w:pPr>
            <w:r>
              <w:t>The National Mental Health Workforce Strategy accepted by government.</w:t>
            </w:r>
          </w:p>
          <w:p w14:paraId="16BABD67" w14:textId="61DF8911" w:rsidR="00564360" w:rsidRPr="00564360" w:rsidRDefault="00564360" w:rsidP="00564360">
            <w:pPr>
              <w:pStyle w:val="Tabletextmeasures85pt"/>
            </w:pPr>
          </w:p>
        </w:tc>
        <w:tc>
          <w:tcPr>
            <w:tcW w:w="2559" w:type="dxa"/>
            <w:shd w:val="clear" w:color="auto" w:fill="auto"/>
          </w:tcPr>
          <w:p w14:paraId="74196E02" w14:textId="7503397D" w:rsidR="006135C9" w:rsidRPr="00685583" w:rsidRDefault="006135C9" w:rsidP="006135C9">
            <w:pPr>
              <w:pStyle w:val="Tableheadingrow9pt"/>
              <w:rPr>
                <w:b w:val="0"/>
                <w:color w:val="auto"/>
                <w:sz w:val="17"/>
                <w:szCs w:val="17"/>
              </w:rPr>
            </w:pPr>
            <w:r w:rsidRPr="00685583">
              <w:rPr>
                <w:b w:val="0"/>
                <w:color w:val="auto"/>
                <w:sz w:val="17"/>
                <w:szCs w:val="17"/>
              </w:rPr>
              <w:t xml:space="preserve">Implement </w:t>
            </w:r>
            <w:r>
              <w:rPr>
                <w:b w:val="0"/>
                <w:color w:val="auto"/>
                <w:sz w:val="17"/>
                <w:szCs w:val="17"/>
              </w:rPr>
              <w:t>reforms agreed in</w:t>
            </w:r>
            <w:r w:rsidRPr="00685583">
              <w:rPr>
                <w:b w:val="0"/>
                <w:color w:val="auto"/>
                <w:sz w:val="17"/>
                <w:szCs w:val="17"/>
              </w:rPr>
              <w:t xml:space="preserve"> the National Mental Health and Suicide Prevention Agreement</w:t>
            </w:r>
            <w:r w:rsidR="009A54AE">
              <w:rPr>
                <w:b w:val="0"/>
                <w:color w:val="auto"/>
                <w:sz w:val="17"/>
                <w:szCs w:val="17"/>
              </w:rPr>
              <w:t>,</w:t>
            </w:r>
            <w:r w:rsidRPr="00685583">
              <w:rPr>
                <w:b w:val="0"/>
                <w:color w:val="auto"/>
                <w:sz w:val="17"/>
                <w:szCs w:val="17"/>
              </w:rPr>
              <w:t xml:space="preserve"> and</w:t>
            </w:r>
            <w:r>
              <w:rPr>
                <w:b w:val="0"/>
                <w:color w:val="auto"/>
                <w:sz w:val="17"/>
                <w:szCs w:val="17"/>
              </w:rPr>
              <w:t xml:space="preserve"> implement agreed initiatives in</w:t>
            </w:r>
            <w:r w:rsidR="00A57BBA">
              <w:rPr>
                <w:b w:val="0"/>
                <w:color w:val="auto"/>
                <w:sz w:val="17"/>
                <w:szCs w:val="17"/>
              </w:rPr>
              <w:t xml:space="preserve"> associated bilateral schedules</w:t>
            </w:r>
            <w:r w:rsidRPr="00685583">
              <w:rPr>
                <w:b w:val="0"/>
                <w:color w:val="auto"/>
                <w:sz w:val="17"/>
                <w:szCs w:val="17"/>
              </w:rPr>
              <w:t>.</w:t>
            </w:r>
          </w:p>
          <w:p w14:paraId="0E9E3E96" w14:textId="4959C089" w:rsidR="006135C9" w:rsidRPr="00685583" w:rsidRDefault="006135C9" w:rsidP="006135C9">
            <w:pPr>
              <w:pStyle w:val="Tableheadingrow9pt"/>
              <w:rPr>
                <w:b w:val="0"/>
                <w:color w:val="auto"/>
                <w:sz w:val="17"/>
                <w:szCs w:val="17"/>
              </w:rPr>
            </w:pPr>
            <w:r>
              <w:rPr>
                <w:b w:val="0"/>
                <w:color w:val="auto"/>
                <w:sz w:val="17"/>
                <w:szCs w:val="17"/>
              </w:rPr>
              <w:t xml:space="preserve">Work with Primary Health Networks and headspace National to establish new headspace services, including the establishment of the first phase of the 10 centres announced through the </w:t>
            </w:r>
            <w:r>
              <w:rPr>
                <w:b w:val="0"/>
                <w:color w:val="auto"/>
                <w:sz w:val="17"/>
                <w:szCs w:val="17"/>
              </w:rPr>
              <w:br w:type="textWrapping" w:clear="all"/>
            </w:r>
            <w:r w:rsidR="00BB01F1">
              <w:rPr>
                <w:b w:val="0"/>
                <w:color w:val="auto"/>
                <w:sz w:val="17"/>
                <w:szCs w:val="17"/>
              </w:rPr>
              <w:t>2021–</w:t>
            </w:r>
            <w:r>
              <w:rPr>
                <w:b w:val="0"/>
                <w:color w:val="auto"/>
                <w:sz w:val="17"/>
                <w:szCs w:val="17"/>
              </w:rPr>
              <w:t>22 Budget.</w:t>
            </w:r>
          </w:p>
          <w:p w14:paraId="3D97EBF3" w14:textId="21181CBB" w:rsidR="006135C9" w:rsidRDefault="006135C9" w:rsidP="006135C9">
            <w:pPr>
              <w:pStyle w:val="Tableheadingrow9pt"/>
              <w:rPr>
                <w:b w:val="0"/>
                <w:color w:val="auto"/>
                <w:sz w:val="17"/>
                <w:szCs w:val="17"/>
              </w:rPr>
            </w:pPr>
            <w:r>
              <w:rPr>
                <w:b w:val="0"/>
                <w:color w:val="auto"/>
                <w:sz w:val="17"/>
                <w:szCs w:val="17"/>
              </w:rPr>
              <w:t xml:space="preserve">Commence service delivery at </w:t>
            </w:r>
            <w:r w:rsidRPr="00685583">
              <w:rPr>
                <w:b w:val="0"/>
                <w:color w:val="auto"/>
                <w:sz w:val="17"/>
                <w:szCs w:val="17"/>
              </w:rPr>
              <w:t>new Head to Health adult mental health centres and</w:t>
            </w:r>
            <w:r>
              <w:rPr>
                <w:b w:val="0"/>
                <w:color w:val="auto"/>
                <w:sz w:val="17"/>
                <w:szCs w:val="17"/>
              </w:rPr>
              <w:t xml:space="preserve"> satellites. </w:t>
            </w:r>
          </w:p>
          <w:p w14:paraId="73618707" w14:textId="40C4164A" w:rsidR="006135C9" w:rsidRDefault="006135C9" w:rsidP="006135C9">
            <w:pPr>
              <w:pStyle w:val="Tableheadingrow9pt"/>
              <w:rPr>
                <w:b w:val="0"/>
                <w:color w:val="auto"/>
                <w:sz w:val="17"/>
                <w:szCs w:val="17"/>
              </w:rPr>
            </w:pPr>
            <w:r>
              <w:rPr>
                <w:b w:val="0"/>
                <w:color w:val="auto"/>
                <w:sz w:val="17"/>
                <w:szCs w:val="17"/>
              </w:rPr>
              <w:t>Establish new Head to Health satellites.</w:t>
            </w:r>
          </w:p>
          <w:p w14:paraId="67D3BDB5" w14:textId="50B234D8" w:rsidR="006135C9" w:rsidRDefault="006135C9" w:rsidP="006135C9">
            <w:pPr>
              <w:pStyle w:val="Tableheadingrow9pt"/>
              <w:rPr>
                <w:color w:val="auto"/>
              </w:rPr>
            </w:pPr>
            <w:r>
              <w:rPr>
                <w:b w:val="0"/>
                <w:color w:val="auto"/>
                <w:sz w:val="17"/>
                <w:szCs w:val="17"/>
              </w:rPr>
              <w:t>Establish up to 31 Indigenous Regional and Local Suicide Prevention Aftercare Networks.</w:t>
            </w:r>
          </w:p>
          <w:p w14:paraId="4121B1F4" w14:textId="1419C21F" w:rsidR="006135C9" w:rsidRDefault="006135C9" w:rsidP="006135C9">
            <w:pPr>
              <w:pStyle w:val="Tableheadingrow9pt"/>
              <w:rPr>
                <w:color w:val="auto"/>
              </w:rPr>
            </w:pPr>
            <w:r>
              <w:rPr>
                <w:b w:val="0"/>
                <w:color w:val="auto"/>
                <w:sz w:val="17"/>
                <w:szCs w:val="17"/>
              </w:rPr>
              <w:t>Implement the Indigenous 24/7 Crisis Line (13 YARN).</w:t>
            </w:r>
          </w:p>
          <w:p w14:paraId="1500E1DA" w14:textId="5452EEED" w:rsidR="00D511DE" w:rsidRPr="00BB01F1" w:rsidRDefault="006135C9" w:rsidP="002659DE">
            <w:pPr>
              <w:pStyle w:val="Tableheadingrow9pt"/>
            </w:pPr>
            <w:r>
              <w:rPr>
                <w:b w:val="0"/>
                <w:color w:val="auto"/>
                <w:sz w:val="17"/>
                <w:szCs w:val="17"/>
              </w:rPr>
              <w:t>Commence implementation of key actions to progress the National Mental Health Workforce Strategy.</w:t>
            </w:r>
          </w:p>
        </w:tc>
        <w:tc>
          <w:tcPr>
            <w:tcW w:w="2559" w:type="dxa"/>
            <w:shd w:val="clear" w:color="auto" w:fill="auto"/>
          </w:tcPr>
          <w:p w14:paraId="41A07647" w14:textId="118DFFA9" w:rsidR="006135C9" w:rsidRPr="00685583" w:rsidRDefault="006135C9" w:rsidP="006135C9">
            <w:pPr>
              <w:pStyle w:val="Tableheadingrow9pt"/>
              <w:rPr>
                <w:b w:val="0"/>
                <w:color w:val="auto"/>
                <w:sz w:val="17"/>
                <w:szCs w:val="17"/>
              </w:rPr>
            </w:pPr>
            <w:r w:rsidRPr="00685583">
              <w:rPr>
                <w:b w:val="0"/>
                <w:color w:val="auto"/>
                <w:sz w:val="17"/>
                <w:szCs w:val="17"/>
              </w:rPr>
              <w:t xml:space="preserve">Implement </w:t>
            </w:r>
            <w:r>
              <w:rPr>
                <w:b w:val="0"/>
                <w:color w:val="auto"/>
                <w:sz w:val="17"/>
                <w:szCs w:val="17"/>
              </w:rPr>
              <w:t>reforms agreed in</w:t>
            </w:r>
            <w:r w:rsidRPr="00685583">
              <w:rPr>
                <w:b w:val="0"/>
                <w:color w:val="auto"/>
                <w:sz w:val="17"/>
                <w:szCs w:val="17"/>
              </w:rPr>
              <w:t xml:space="preserve"> the National Mental Health and Suicide Prevention Agreement</w:t>
            </w:r>
            <w:r w:rsidR="009A54AE">
              <w:rPr>
                <w:b w:val="0"/>
                <w:color w:val="auto"/>
                <w:sz w:val="17"/>
                <w:szCs w:val="17"/>
              </w:rPr>
              <w:t>,</w:t>
            </w:r>
            <w:r w:rsidRPr="00685583">
              <w:rPr>
                <w:b w:val="0"/>
                <w:color w:val="auto"/>
                <w:sz w:val="17"/>
                <w:szCs w:val="17"/>
              </w:rPr>
              <w:t xml:space="preserve"> and</w:t>
            </w:r>
            <w:r>
              <w:rPr>
                <w:b w:val="0"/>
                <w:color w:val="auto"/>
                <w:sz w:val="17"/>
                <w:szCs w:val="17"/>
              </w:rPr>
              <w:t xml:space="preserve"> implement agreed initiatives in</w:t>
            </w:r>
            <w:r w:rsidR="00A57BBA">
              <w:rPr>
                <w:b w:val="0"/>
                <w:color w:val="auto"/>
                <w:sz w:val="17"/>
                <w:szCs w:val="17"/>
              </w:rPr>
              <w:t xml:space="preserve"> associated bilateral schedules</w:t>
            </w:r>
            <w:r w:rsidRPr="00685583">
              <w:rPr>
                <w:b w:val="0"/>
                <w:color w:val="auto"/>
                <w:sz w:val="17"/>
                <w:szCs w:val="17"/>
              </w:rPr>
              <w:t>.</w:t>
            </w:r>
          </w:p>
          <w:p w14:paraId="43E646E0" w14:textId="77777777" w:rsidR="006135C9" w:rsidRPr="00685583" w:rsidRDefault="006135C9" w:rsidP="006135C9">
            <w:pPr>
              <w:pStyle w:val="Tableheadingrow9pt"/>
              <w:rPr>
                <w:b w:val="0"/>
                <w:color w:val="auto"/>
                <w:sz w:val="17"/>
                <w:szCs w:val="17"/>
              </w:rPr>
            </w:pPr>
            <w:r w:rsidRPr="00685583">
              <w:rPr>
                <w:b w:val="0"/>
                <w:color w:val="auto"/>
                <w:sz w:val="17"/>
                <w:szCs w:val="17"/>
              </w:rPr>
              <w:t>Continue to expand the national headspace network.</w:t>
            </w:r>
          </w:p>
          <w:p w14:paraId="7439EB58" w14:textId="77777777" w:rsidR="006135C9" w:rsidRDefault="006135C9" w:rsidP="006135C9">
            <w:pPr>
              <w:pStyle w:val="Tabletextmeasures85pt"/>
              <w:rPr>
                <w:color w:val="auto"/>
              </w:rPr>
            </w:pPr>
            <w:r w:rsidRPr="00EA5A83">
              <w:rPr>
                <w:color w:val="auto"/>
              </w:rPr>
              <w:t>Continue to establish Head to Health adult mental health services.</w:t>
            </w:r>
          </w:p>
          <w:p w14:paraId="6D06855A" w14:textId="23B94CFC" w:rsidR="006135C9" w:rsidRPr="00B758CD" w:rsidRDefault="006135C9" w:rsidP="006135C9">
            <w:pPr>
              <w:pStyle w:val="Tabletextmeasures85pt"/>
            </w:pPr>
            <w:r>
              <w:rPr>
                <w:color w:val="auto"/>
              </w:rPr>
              <w:t>Continue to implement actions to progress the National Mental Health Workforce Strategy</w:t>
            </w:r>
            <w:r w:rsidR="00552143">
              <w:rPr>
                <w:color w:val="auto"/>
              </w:rPr>
              <w:t>.</w:t>
            </w:r>
          </w:p>
          <w:p w14:paraId="5DE51BF8" w14:textId="10506853" w:rsidR="00037B82" w:rsidRPr="00685583" w:rsidRDefault="00037B82" w:rsidP="002659DE">
            <w:pPr>
              <w:pStyle w:val="Tabletextmeasures85pt"/>
              <w:rPr>
                <w:b/>
                <w:color w:val="auto"/>
              </w:rPr>
            </w:pPr>
          </w:p>
        </w:tc>
      </w:tr>
      <w:tr w:rsidR="00685583" w:rsidRPr="00685583" w14:paraId="6BA340CF" w14:textId="77777777" w:rsidTr="000A74AA">
        <w:trPr>
          <w:jc w:val="center"/>
        </w:trPr>
        <w:tc>
          <w:tcPr>
            <w:tcW w:w="7677" w:type="dxa"/>
            <w:gridSpan w:val="3"/>
            <w:shd w:val="clear" w:color="auto" w:fill="auto"/>
          </w:tcPr>
          <w:p w14:paraId="263599EC" w14:textId="7A253556" w:rsidR="00D511DE" w:rsidRPr="00685583" w:rsidRDefault="00D511DE" w:rsidP="00D511DE">
            <w:pPr>
              <w:pStyle w:val="Tableheadingrow9pt"/>
              <w:rPr>
                <w:color w:val="auto"/>
              </w:rPr>
            </w:pPr>
            <w:r w:rsidRPr="00685583">
              <w:rPr>
                <w:color w:val="auto"/>
              </w:rPr>
              <w:t>Material changes to Program 1.2 resulting from the following measures:</w:t>
            </w:r>
          </w:p>
          <w:p w14:paraId="24ABBDF6" w14:textId="0D39FF1D" w:rsidR="00D511DE" w:rsidRPr="00685583" w:rsidRDefault="002659DE" w:rsidP="004711EF">
            <w:pPr>
              <w:rPr>
                <w:color w:val="auto"/>
              </w:rPr>
            </w:pPr>
            <w:r w:rsidRPr="00473719">
              <w:rPr>
                <w:sz w:val="17"/>
                <w:szCs w:val="17"/>
              </w:rPr>
              <w:t>There are no material changes to Program 1.</w:t>
            </w:r>
            <w:r w:rsidR="004711EF">
              <w:rPr>
                <w:sz w:val="17"/>
                <w:szCs w:val="17"/>
              </w:rPr>
              <w:t>2</w:t>
            </w:r>
            <w:r w:rsidRPr="00473719">
              <w:rPr>
                <w:sz w:val="17"/>
                <w:szCs w:val="17"/>
              </w:rPr>
              <w:t xml:space="preserve"> resulting from measures.</w:t>
            </w:r>
          </w:p>
        </w:tc>
      </w:tr>
    </w:tbl>
    <w:p w14:paraId="73EC16DD" w14:textId="32AAB41D" w:rsidR="00076265" w:rsidRPr="00685583" w:rsidRDefault="00D26B6C" w:rsidP="000C1B9B">
      <w:pPr>
        <w:pStyle w:val="Tablenumberandreference"/>
        <w:pageBreakBefore/>
        <w:rPr>
          <w:color w:val="auto"/>
        </w:rPr>
      </w:pPr>
      <w:r w:rsidRPr="00685583">
        <w:rPr>
          <w:color w:val="auto"/>
        </w:rPr>
        <w:lastRenderedPageBreak/>
        <w:t>Table 2.</w:t>
      </w:r>
      <w:r w:rsidR="00CF22F4" w:rsidRPr="00685583">
        <w:rPr>
          <w:color w:val="auto"/>
        </w:rPr>
        <w:t>1</w:t>
      </w:r>
      <w:r w:rsidR="00D628C2" w:rsidRPr="00685583">
        <w:rPr>
          <w:color w:val="auto"/>
        </w:rPr>
        <w:t>.4</w:t>
      </w:r>
      <w:r w:rsidRPr="00685583">
        <w:rPr>
          <w:color w:val="auto"/>
        </w:rPr>
        <w:t>: Pe</w:t>
      </w:r>
      <w:r w:rsidR="00CF22F4" w:rsidRPr="00685583">
        <w:rPr>
          <w:color w:val="auto"/>
        </w:rPr>
        <w:t xml:space="preserve">rformance </w:t>
      </w:r>
      <w:r w:rsidR="000F7A14" w:rsidRPr="00685583">
        <w:rPr>
          <w:color w:val="auto"/>
        </w:rPr>
        <w:t>Measures</w:t>
      </w:r>
      <w:r w:rsidR="00CF22F4" w:rsidRPr="00685583">
        <w:rPr>
          <w:color w:val="auto"/>
        </w:rPr>
        <w:t xml:space="preserve"> for Program 1</w:t>
      </w:r>
      <w:r w:rsidRPr="00685583">
        <w:rPr>
          <w:color w:val="auto"/>
        </w:rPr>
        <w:t>.</w:t>
      </w:r>
      <w:r w:rsidR="00CF22F4" w:rsidRPr="00685583">
        <w:rPr>
          <w:color w:val="auto"/>
        </w:rPr>
        <w:t>3</w:t>
      </w:r>
      <w:r w:rsidR="000C1B9B">
        <w:rPr>
          <w:color w:val="auto"/>
        </w:rPr>
        <w:t xml:space="preserve"> </w:t>
      </w:r>
    </w:p>
    <w:tbl>
      <w:tblPr>
        <w:tblStyle w:val="TableGrid"/>
        <w:tblW w:w="7677" w:type="dxa"/>
        <w:jc w:val="center"/>
        <w:tblLayout w:type="fixed"/>
        <w:tblLook w:val="04A0" w:firstRow="1" w:lastRow="0" w:firstColumn="1" w:lastColumn="0" w:noHBand="0" w:noVBand="1"/>
        <w:tblCaption w:val="Table 2.1.4: Performance Measures for Program 1.3"/>
        <w:tblDescription w:val="This table outlines Program 1.3's objective and the key activities for Program 1.3. It also includes a performance measure for Program 1.3, with an expected performance result for 2021-22, and planned performance results for 2022-23 and the forward estimates"/>
      </w:tblPr>
      <w:tblGrid>
        <w:gridCol w:w="2508"/>
        <w:gridCol w:w="2508"/>
        <w:gridCol w:w="2661"/>
      </w:tblGrid>
      <w:tr w:rsidR="00685583" w:rsidRPr="00685583" w14:paraId="75521F9E" w14:textId="77777777" w:rsidTr="00AE5740">
        <w:trPr>
          <w:trHeight w:val="50"/>
          <w:jc w:val="center"/>
        </w:trPr>
        <w:tc>
          <w:tcPr>
            <w:tcW w:w="7677" w:type="dxa"/>
            <w:gridSpan w:val="3"/>
            <w:shd w:val="clear" w:color="auto" w:fill="D9D9D9" w:themeFill="background1" w:themeFillShade="D9"/>
          </w:tcPr>
          <w:p w14:paraId="4A6DE760" w14:textId="370445CC" w:rsidR="004711EF" w:rsidRPr="00685583" w:rsidRDefault="00CF22F4" w:rsidP="00B9520D">
            <w:pPr>
              <w:pStyle w:val="Tableheadingrow9pt"/>
              <w:rPr>
                <w:color w:val="auto"/>
              </w:rPr>
            </w:pPr>
            <w:r w:rsidRPr="00685583">
              <w:rPr>
                <w:color w:val="auto"/>
              </w:rPr>
              <w:t>Program Objective – Program 1</w:t>
            </w:r>
            <w:r w:rsidR="0073538B" w:rsidRPr="00685583">
              <w:rPr>
                <w:color w:val="auto"/>
              </w:rPr>
              <w:t>.3</w:t>
            </w:r>
            <w:r w:rsidRPr="00685583">
              <w:rPr>
                <w:color w:val="auto"/>
              </w:rPr>
              <w:t xml:space="preserve">: </w:t>
            </w:r>
            <w:r w:rsidR="00A12316" w:rsidRPr="00685583">
              <w:rPr>
                <w:color w:val="auto"/>
              </w:rPr>
              <w:t>Aboriginal and Torres Strait Islander Health</w:t>
            </w:r>
          </w:p>
        </w:tc>
      </w:tr>
      <w:tr w:rsidR="00685583" w:rsidRPr="00685583" w14:paraId="497C2A84" w14:textId="77777777" w:rsidTr="00AE5740">
        <w:trPr>
          <w:jc w:val="center"/>
        </w:trPr>
        <w:tc>
          <w:tcPr>
            <w:tcW w:w="7677" w:type="dxa"/>
            <w:gridSpan w:val="3"/>
          </w:tcPr>
          <w:p w14:paraId="6A93F71E" w14:textId="77777777" w:rsidR="00CF22F4" w:rsidRPr="00685583" w:rsidRDefault="00CB03E9" w:rsidP="00AE5740">
            <w:pPr>
              <w:pStyle w:val="Heading2"/>
              <w:outlineLvl w:val="1"/>
              <w:rPr>
                <w:b/>
                <w:color w:val="auto"/>
              </w:rPr>
            </w:pPr>
            <w:r w:rsidRPr="00685583">
              <w:rPr>
                <w:bCs/>
                <w:color w:val="auto"/>
              </w:rPr>
              <w:t>Drive improved health outcomes for Aboriginal and Torres Strait Islander people.</w:t>
            </w:r>
          </w:p>
        </w:tc>
      </w:tr>
      <w:tr w:rsidR="00685583" w:rsidRPr="00685583" w14:paraId="01735409" w14:textId="77777777" w:rsidTr="00AE5740">
        <w:trPr>
          <w:jc w:val="center"/>
        </w:trPr>
        <w:tc>
          <w:tcPr>
            <w:tcW w:w="7677" w:type="dxa"/>
            <w:gridSpan w:val="3"/>
            <w:shd w:val="clear" w:color="auto" w:fill="D9D9D9" w:themeFill="background1" w:themeFillShade="D9"/>
          </w:tcPr>
          <w:p w14:paraId="3B77E404" w14:textId="451C56FD" w:rsidR="004711EF" w:rsidRPr="00685583" w:rsidRDefault="00BF3D30" w:rsidP="005B1C10">
            <w:pPr>
              <w:pStyle w:val="Tableheadingrow9pt"/>
              <w:rPr>
                <w:color w:val="auto"/>
              </w:rPr>
            </w:pPr>
            <w:r>
              <w:rPr>
                <w:color w:val="auto"/>
              </w:rPr>
              <w:t>Key Activities</w:t>
            </w:r>
          </w:p>
        </w:tc>
      </w:tr>
      <w:tr w:rsidR="00685583" w:rsidRPr="00685583" w14:paraId="130B7554" w14:textId="77777777" w:rsidTr="00AE5740">
        <w:trPr>
          <w:jc w:val="center"/>
        </w:trPr>
        <w:tc>
          <w:tcPr>
            <w:tcW w:w="7677" w:type="dxa"/>
            <w:gridSpan w:val="3"/>
          </w:tcPr>
          <w:p w14:paraId="46D2D392" w14:textId="21B85942" w:rsidR="00BF3D30" w:rsidRPr="00BF3D30" w:rsidRDefault="00BF3D30" w:rsidP="00A11DB7">
            <w:pPr>
              <w:pStyle w:val="Tabletextnormal9pt"/>
              <w:numPr>
                <w:ilvl w:val="0"/>
                <w:numId w:val="1"/>
              </w:numPr>
              <w:ind w:left="284" w:hanging="284"/>
              <w:rPr>
                <w:color w:val="auto"/>
              </w:rPr>
            </w:pPr>
            <w:r w:rsidRPr="00BF3D30">
              <w:rPr>
                <w:color w:val="auto"/>
              </w:rPr>
              <w:t>Supporting the delivery of</w:t>
            </w:r>
            <w:r w:rsidR="00552143">
              <w:rPr>
                <w:color w:val="auto"/>
              </w:rPr>
              <w:t xml:space="preserve"> the</w:t>
            </w:r>
            <w:r w:rsidRPr="00BF3D30">
              <w:rPr>
                <w:color w:val="auto"/>
              </w:rPr>
              <w:t xml:space="preserve"> Government’s commitments under the National Agreement</w:t>
            </w:r>
            <w:r w:rsidR="00B335FF">
              <w:rPr>
                <w:color w:val="auto"/>
              </w:rPr>
              <w:t xml:space="preserve"> on Closing the Gap</w:t>
            </w:r>
            <w:r w:rsidRPr="00BF3D30">
              <w:rPr>
                <w:color w:val="auto"/>
              </w:rPr>
              <w:t>.</w:t>
            </w:r>
          </w:p>
          <w:p w14:paraId="210B58D0" w14:textId="25466F82" w:rsidR="00BF3D30" w:rsidRPr="00BF3D30" w:rsidRDefault="00BF3D30" w:rsidP="00A11DB7">
            <w:pPr>
              <w:pStyle w:val="Tabletextnormal9pt"/>
              <w:numPr>
                <w:ilvl w:val="0"/>
                <w:numId w:val="1"/>
              </w:numPr>
              <w:ind w:left="284" w:hanging="284"/>
              <w:rPr>
                <w:color w:val="auto"/>
              </w:rPr>
            </w:pPr>
            <w:r w:rsidRPr="00BF3D30">
              <w:rPr>
                <w:color w:val="auto"/>
              </w:rPr>
              <w:t>Working in partnership with Aboriginal Community Controlled Health Services and other Aboriginal and Torres Strait Islander health experts to reduce the impact of COVID-19</w:t>
            </w:r>
            <w:r w:rsidR="00A11DB7">
              <w:rPr>
                <w:color w:val="auto"/>
              </w:rPr>
              <w:t>,</w:t>
            </w:r>
            <w:r w:rsidRPr="00BF3D30">
              <w:rPr>
                <w:color w:val="auto"/>
              </w:rPr>
              <w:t xml:space="preserve"> and ensure uptake of COVID-19 vaccines.</w:t>
            </w:r>
          </w:p>
          <w:p w14:paraId="4B5AF60F" w14:textId="4E67ECD9" w:rsidR="00BF3D30" w:rsidRPr="00BF3D30" w:rsidRDefault="001B45D8" w:rsidP="00A11DB7">
            <w:pPr>
              <w:pStyle w:val="Tabletextnormal9pt"/>
              <w:numPr>
                <w:ilvl w:val="0"/>
                <w:numId w:val="1"/>
              </w:numPr>
              <w:ind w:left="284" w:hanging="284"/>
              <w:rPr>
                <w:color w:val="auto"/>
              </w:rPr>
            </w:pPr>
            <w:r>
              <w:rPr>
                <w:color w:val="auto"/>
              </w:rPr>
              <w:t>I</w:t>
            </w:r>
            <w:r w:rsidR="00664C43">
              <w:rPr>
                <w:color w:val="auto"/>
              </w:rPr>
              <w:t xml:space="preserve">mplementing </w:t>
            </w:r>
            <w:r w:rsidR="00BF3D30" w:rsidRPr="00BF3D30">
              <w:rPr>
                <w:color w:val="auto"/>
              </w:rPr>
              <w:t xml:space="preserve">the refreshed </w:t>
            </w:r>
            <w:r w:rsidR="00A11DB7">
              <w:rPr>
                <w:color w:val="auto"/>
              </w:rPr>
              <w:t xml:space="preserve">Aboriginal and Torres Strait Islander </w:t>
            </w:r>
            <w:r w:rsidR="00BF3D30" w:rsidRPr="00BF3D30">
              <w:rPr>
                <w:color w:val="auto"/>
              </w:rPr>
              <w:t>Health Plan</w:t>
            </w:r>
            <w:r>
              <w:rPr>
                <w:color w:val="auto"/>
              </w:rPr>
              <w:t xml:space="preserve"> (the Health </w:t>
            </w:r>
            <w:r w:rsidR="00A11DB7">
              <w:rPr>
                <w:color w:val="auto"/>
              </w:rPr>
              <w:t>Plan)</w:t>
            </w:r>
            <w:r w:rsidR="00BF3D30" w:rsidRPr="00BF3D30">
              <w:rPr>
                <w:color w:val="auto"/>
              </w:rPr>
              <w:t xml:space="preserve"> in partnership with Aboriginal and Torres Strait Islander people, communities and organisations.</w:t>
            </w:r>
          </w:p>
          <w:p w14:paraId="093F0477" w14:textId="575027F3" w:rsidR="00BF3D30" w:rsidRPr="00BF3D30" w:rsidRDefault="001B45D8" w:rsidP="00A11DB7">
            <w:pPr>
              <w:pStyle w:val="Tabletextnormal9pt"/>
              <w:numPr>
                <w:ilvl w:val="0"/>
                <w:numId w:val="1"/>
              </w:numPr>
              <w:ind w:left="284" w:hanging="284"/>
              <w:rPr>
                <w:color w:val="auto"/>
              </w:rPr>
            </w:pPr>
            <w:r>
              <w:rPr>
                <w:color w:val="auto"/>
              </w:rPr>
              <w:t>I</w:t>
            </w:r>
            <w:r w:rsidR="00664C43">
              <w:rPr>
                <w:color w:val="auto"/>
              </w:rPr>
              <w:t xml:space="preserve">mplementing </w:t>
            </w:r>
            <w:r w:rsidR="00BF3D30" w:rsidRPr="00BF3D30">
              <w:rPr>
                <w:color w:val="auto"/>
              </w:rPr>
              <w:t xml:space="preserve">the </w:t>
            </w:r>
            <w:r w:rsidR="00BF3D30" w:rsidRPr="00297974">
              <w:rPr>
                <w:i/>
                <w:color w:val="auto"/>
              </w:rPr>
              <w:t>National Aboriginal and Torres Strait Islander Health Workforce Strategic Framework and Implementation Plan 2021–31</w:t>
            </w:r>
            <w:r w:rsidR="00BF3D30" w:rsidRPr="00BF3D30">
              <w:rPr>
                <w:color w:val="auto"/>
              </w:rPr>
              <w:t xml:space="preserve"> (Workforce Plan).</w:t>
            </w:r>
          </w:p>
          <w:p w14:paraId="40620E7F" w14:textId="77777777" w:rsidR="00BF3D30" w:rsidRPr="00BF3D30" w:rsidRDefault="00BF3D30" w:rsidP="00A11DB7">
            <w:pPr>
              <w:pStyle w:val="Tabletextnormal9pt"/>
              <w:numPr>
                <w:ilvl w:val="0"/>
                <w:numId w:val="1"/>
              </w:numPr>
              <w:ind w:left="284" w:hanging="284"/>
              <w:rPr>
                <w:color w:val="auto"/>
              </w:rPr>
            </w:pPr>
            <w:r w:rsidRPr="00BF3D30">
              <w:rPr>
                <w:color w:val="auto"/>
              </w:rPr>
              <w:t>Supporting action to end rheumatic heart disease, avoidable deafness and blindness, and for the prevention and early intervention of renal disease.</w:t>
            </w:r>
          </w:p>
          <w:p w14:paraId="0CD2FE6C" w14:textId="38689B4B" w:rsidR="00BF3D30" w:rsidRPr="00BF3D30" w:rsidRDefault="00BF3D30" w:rsidP="00A11DB7">
            <w:pPr>
              <w:pStyle w:val="Tabletextnormal9pt"/>
              <w:numPr>
                <w:ilvl w:val="0"/>
                <w:numId w:val="1"/>
              </w:numPr>
              <w:ind w:left="284" w:hanging="284"/>
              <w:rPr>
                <w:color w:val="auto"/>
              </w:rPr>
            </w:pPr>
            <w:r w:rsidRPr="00BF3D30">
              <w:rPr>
                <w:color w:val="auto"/>
              </w:rPr>
              <w:t>Prioritising investment in</w:t>
            </w:r>
            <w:r w:rsidR="00B9520D">
              <w:rPr>
                <w:color w:val="auto"/>
              </w:rPr>
              <w:t xml:space="preserve"> maternal,</w:t>
            </w:r>
            <w:r w:rsidRPr="00BF3D30">
              <w:rPr>
                <w:color w:val="auto"/>
              </w:rPr>
              <w:t xml:space="preserve"> child and family health to support Aboriginal and Torres Strait Islander children having the best start in life.</w:t>
            </w:r>
          </w:p>
          <w:p w14:paraId="15773860" w14:textId="1A1434A1" w:rsidR="00BF3D30" w:rsidRPr="00BF3D30" w:rsidRDefault="00BF3D30" w:rsidP="00A11DB7">
            <w:pPr>
              <w:pStyle w:val="Tabletextnormal9pt"/>
              <w:numPr>
                <w:ilvl w:val="0"/>
                <w:numId w:val="1"/>
              </w:numPr>
              <w:ind w:left="284" w:hanging="284"/>
              <w:rPr>
                <w:color w:val="auto"/>
              </w:rPr>
            </w:pPr>
            <w:r w:rsidRPr="00BF3D30">
              <w:rPr>
                <w:color w:val="auto"/>
              </w:rPr>
              <w:t>Investing in activities that reduce smoking rates for Aboriginal and Torres Strait Islander people, and embed</w:t>
            </w:r>
            <w:r w:rsidR="00297974">
              <w:rPr>
                <w:color w:val="auto"/>
              </w:rPr>
              <w:t>ding</w:t>
            </w:r>
            <w:r w:rsidRPr="00BF3D30">
              <w:rPr>
                <w:color w:val="auto"/>
              </w:rPr>
              <w:t xml:space="preserve"> improvements made to date.</w:t>
            </w:r>
          </w:p>
          <w:p w14:paraId="19BA64C3" w14:textId="77777777" w:rsidR="00BF3D30" w:rsidRPr="00BF3D30" w:rsidRDefault="00BF3D30" w:rsidP="00A11DB7">
            <w:pPr>
              <w:pStyle w:val="Tabletextnormal9pt"/>
              <w:numPr>
                <w:ilvl w:val="0"/>
                <w:numId w:val="1"/>
              </w:numPr>
              <w:ind w:left="284" w:hanging="284"/>
              <w:rPr>
                <w:color w:val="auto"/>
              </w:rPr>
            </w:pPr>
            <w:r w:rsidRPr="00BF3D30">
              <w:rPr>
                <w:color w:val="auto"/>
              </w:rPr>
              <w:t>Delivering approaches to reduce the burden of chronic disease among Aboriginal and Torres Strait Islander people.</w:t>
            </w:r>
          </w:p>
          <w:p w14:paraId="2BCDD906" w14:textId="1EB854EC" w:rsidR="00CF22F4" w:rsidRPr="00685583" w:rsidRDefault="00BF3D30" w:rsidP="00A11DB7">
            <w:pPr>
              <w:pStyle w:val="Tabletextnormal9pt"/>
              <w:numPr>
                <w:ilvl w:val="0"/>
                <w:numId w:val="1"/>
              </w:numPr>
              <w:ind w:left="284" w:hanging="284"/>
              <w:rPr>
                <w:color w:val="auto"/>
              </w:rPr>
            </w:pPr>
            <w:r w:rsidRPr="00BF3D30">
              <w:rPr>
                <w:color w:val="auto"/>
              </w:rPr>
              <w:t>Allocating workplace packages to Aboriginal Community Controlled Heath Organisations through the Allied Health Rural Generalist Pathway.</w:t>
            </w:r>
          </w:p>
        </w:tc>
      </w:tr>
      <w:tr w:rsidR="00685583" w:rsidRPr="00685583" w14:paraId="6853470C" w14:textId="77777777" w:rsidTr="00AE5740">
        <w:trPr>
          <w:jc w:val="center"/>
        </w:trPr>
        <w:tc>
          <w:tcPr>
            <w:tcW w:w="7677" w:type="dxa"/>
            <w:gridSpan w:val="3"/>
            <w:shd w:val="clear" w:color="auto" w:fill="D9D9D9" w:themeFill="background1" w:themeFillShade="D9"/>
          </w:tcPr>
          <w:p w14:paraId="39A0C932" w14:textId="7EFDFBCB" w:rsidR="00CF22F4" w:rsidRPr="00685583" w:rsidRDefault="00CF22F4" w:rsidP="00220B7A">
            <w:pPr>
              <w:pStyle w:val="Tableheadingrow9pt"/>
              <w:rPr>
                <w:color w:val="auto"/>
              </w:rPr>
            </w:pPr>
            <w:r w:rsidRPr="00685583">
              <w:rPr>
                <w:color w:val="auto"/>
              </w:rPr>
              <w:t xml:space="preserve">Performance </w:t>
            </w:r>
            <w:r w:rsidR="000F7A14" w:rsidRPr="00685583">
              <w:rPr>
                <w:color w:val="auto"/>
              </w:rPr>
              <w:t>Measures</w:t>
            </w:r>
          </w:p>
        </w:tc>
      </w:tr>
      <w:tr w:rsidR="00685583" w:rsidRPr="00685583" w14:paraId="7D1A1DB1" w14:textId="77777777" w:rsidTr="00AE5740">
        <w:trPr>
          <w:jc w:val="center"/>
        </w:trPr>
        <w:tc>
          <w:tcPr>
            <w:tcW w:w="7677" w:type="dxa"/>
            <w:gridSpan w:val="3"/>
            <w:shd w:val="clear" w:color="auto" w:fill="D9D9D9" w:themeFill="background1" w:themeFillShade="D9"/>
          </w:tcPr>
          <w:p w14:paraId="5DD986ED" w14:textId="5B60C223" w:rsidR="00220B7A" w:rsidRPr="00E7155B" w:rsidRDefault="001B45D8" w:rsidP="00143B7D">
            <w:pPr>
              <w:pStyle w:val="Tableheadingrow9pt"/>
              <w:rPr>
                <w:bCs/>
                <w:color w:val="auto"/>
                <w:sz w:val="17"/>
                <w:szCs w:val="17"/>
              </w:rPr>
            </w:pPr>
            <w:r>
              <w:rPr>
                <w:bCs/>
                <w:color w:val="auto"/>
                <w:sz w:val="17"/>
                <w:szCs w:val="17"/>
              </w:rPr>
              <w:t>Continue to implement</w:t>
            </w:r>
            <w:r w:rsidR="00CB03E9" w:rsidRPr="00685583">
              <w:rPr>
                <w:bCs/>
                <w:color w:val="auto"/>
                <w:sz w:val="17"/>
                <w:szCs w:val="17"/>
              </w:rPr>
              <w:t xml:space="preserve"> the </w:t>
            </w:r>
            <w:r w:rsidR="00CB03E9" w:rsidRPr="00685583">
              <w:rPr>
                <w:bCs/>
                <w:i/>
                <w:color w:val="auto"/>
                <w:sz w:val="17"/>
                <w:szCs w:val="17"/>
              </w:rPr>
              <w:t>National Aboriginal and Tor</w:t>
            </w:r>
            <w:r>
              <w:rPr>
                <w:bCs/>
                <w:i/>
                <w:color w:val="auto"/>
                <w:sz w:val="17"/>
                <w:szCs w:val="17"/>
              </w:rPr>
              <w:t>res Strait Islander Health Plan</w:t>
            </w:r>
            <w:r>
              <w:rPr>
                <w:bCs/>
                <w:i/>
                <w:color w:val="auto"/>
                <w:sz w:val="17"/>
                <w:szCs w:val="17"/>
              </w:rPr>
              <w:br/>
            </w:r>
            <w:r w:rsidR="00CB03E9" w:rsidRPr="00685583">
              <w:rPr>
                <w:bCs/>
                <w:i/>
                <w:color w:val="auto"/>
                <w:sz w:val="17"/>
                <w:szCs w:val="17"/>
              </w:rPr>
              <w:t>2021–31</w:t>
            </w:r>
            <w:r w:rsidR="00CB03E9" w:rsidRPr="00685583">
              <w:rPr>
                <w:bCs/>
                <w:color w:val="auto"/>
                <w:sz w:val="17"/>
                <w:szCs w:val="17"/>
              </w:rPr>
              <w:t xml:space="preserve"> </w:t>
            </w:r>
            <w:r w:rsidR="00E91E36" w:rsidRPr="00685583">
              <w:rPr>
                <w:bCs/>
                <w:color w:val="auto"/>
                <w:sz w:val="17"/>
                <w:szCs w:val="17"/>
              </w:rPr>
              <w:t xml:space="preserve">(Health Plan) </w:t>
            </w:r>
            <w:r w:rsidR="00CB03E9" w:rsidRPr="00685583">
              <w:rPr>
                <w:bCs/>
                <w:i/>
                <w:color w:val="auto"/>
                <w:sz w:val="17"/>
                <w:szCs w:val="17"/>
              </w:rPr>
              <w:t>and National Aboriginal and Torres Strait Islander Health Workforce Strategic Framework and Implementation Plan 2021–31</w:t>
            </w:r>
            <w:r w:rsidR="008E4F5A" w:rsidRPr="00685583">
              <w:rPr>
                <w:bCs/>
                <w:i/>
                <w:color w:val="auto"/>
                <w:sz w:val="17"/>
                <w:szCs w:val="17"/>
              </w:rPr>
              <w:t xml:space="preserve"> </w:t>
            </w:r>
            <w:r w:rsidR="008E4F5A" w:rsidRPr="00685583">
              <w:rPr>
                <w:bCs/>
                <w:color w:val="auto"/>
                <w:sz w:val="17"/>
                <w:szCs w:val="17"/>
              </w:rPr>
              <w:t>(</w:t>
            </w:r>
            <w:r w:rsidR="005D7E98" w:rsidRPr="00685583">
              <w:rPr>
                <w:bCs/>
                <w:color w:val="auto"/>
                <w:sz w:val="17"/>
                <w:szCs w:val="17"/>
              </w:rPr>
              <w:t xml:space="preserve">Workforce </w:t>
            </w:r>
            <w:r w:rsidR="008E4F5A" w:rsidRPr="00685583">
              <w:rPr>
                <w:bCs/>
                <w:color w:val="auto"/>
                <w:sz w:val="17"/>
                <w:szCs w:val="17"/>
              </w:rPr>
              <w:t>Plan)</w:t>
            </w:r>
            <w:r w:rsidR="00CB03E9" w:rsidRPr="00685583">
              <w:rPr>
                <w:bCs/>
                <w:color w:val="auto"/>
                <w:sz w:val="17"/>
                <w:szCs w:val="17"/>
              </w:rPr>
              <w:t>.</w:t>
            </w:r>
          </w:p>
        </w:tc>
      </w:tr>
      <w:tr w:rsidR="00CC420F" w:rsidRPr="00685583" w14:paraId="449649EC" w14:textId="77777777" w:rsidTr="00CE5473">
        <w:trPr>
          <w:jc w:val="center"/>
        </w:trPr>
        <w:tc>
          <w:tcPr>
            <w:tcW w:w="2508" w:type="dxa"/>
            <w:shd w:val="clear" w:color="auto" w:fill="auto"/>
          </w:tcPr>
          <w:p w14:paraId="6DF20935" w14:textId="11B63CA2" w:rsidR="00CC420F" w:rsidRPr="00685583" w:rsidRDefault="00BB01F1" w:rsidP="00CC420F">
            <w:pPr>
              <w:pStyle w:val="Tableheadingrowmeasures85pt"/>
              <w:rPr>
                <w:color w:val="auto"/>
              </w:rPr>
            </w:pPr>
            <w:r>
              <w:t>Current Year</w:t>
            </w:r>
            <w:r>
              <w:br/>
              <w:t>2021–</w:t>
            </w:r>
            <w:r w:rsidR="00CC420F">
              <w:t>22 Expected Performance</w:t>
            </w:r>
            <w:r w:rsidR="00CC420F" w:rsidRPr="00C004D1">
              <w:t xml:space="preserve"> </w:t>
            </w:r>
            <w:r w:rsidR="00CC420F">
              <w:t>R</w:t>
            </w:r>
            <w:r w:rsidR="00CC420F" w:rsidRPr="00C004D1">
              <w:t>esult</w:t>
            </w:r>
            <w:r w:rsidR="00CC420F">
              <w:t>s</w:t>
            </w:r>
          </w:p>
        </w:tc>
        <w:tc>
          <w:tcPr>
            <w:tcW w:w="2508" w:type="dxa"/>
            <w:shd w:val="clear" w:color="auto" w:fill="auto"/>
          </w:tcPr>
          <w:p w14:paraId="79582478" w14:textId="397DF55F" w:rsidR="00CC420F" w:rsidRPr="00685583" w:rsidRDefault="00BB01F1" w:rsidP="00CC420F">
            <w:pPr>
              <w:pStyle w:val="Tableheadingrowmeasures85pt"/>
              <w:rPr>
                <w:color w:val="auto"/>
              </w:rPr>
            </w:pPr>
            <w:r>
              <w:t>Budget Year</w:t>
            </w:r>
            <w:r>
              <w:br/>
              <w:t>2022–</w:t>
            </w:r>
            <w:r w:rsidR="00CC420F">
              <w:t xml:space="preserve">23 Planned Performance Results </w:t>
            </w:r>
          </w:p>
        </w:tc>
        <w:tc>
          <w:tcPr>
            <w:tcW w:w="2661" w:type="dxa"/>
            <w:shd w:val="clear" w:color="auto" w:fill="auto"/>
          </w:tcPr>
          <w:p w14:paraId="457C174A" w14:textId="5E938806" w:rsidR="00CC420F" w:rsidRPr="00685583" w:rsidRDefault="00CC420F" w:rsidP="00CC420F">
            <w:pPr>
              <w:pStyle w:val="Tableheadingrowmeasures85pt"/>
              <w:rPr>
                <w:color w:val="auto"/>
              </w:rPr>
            </w:pPr>
            <w:r>
              <w:t>Forward Estimates</w:t>
            </w:r>
            <w:r>
              <w:br/>
            </w:r>
            <w:r w:rsidR="00BB01F1">
              <w:t>2023–</w:t>
            </w:r>
            <w:r w:rsidRPr="00C004D1">
              <w:t>2</w:t>
            </w:r>
            <w:r>
              <w:t>6</w:t>
            </w:r>
            <w:r w:rsidRPr="00C004D1">
              <w:t xml:space="preserve"> </w:t>
            </w:r>
            <w:r>
              <w:t>Planned Performance Results</w:t>
            </w:r>
          </w:p>
        </w:tc>
      </w:tr>
      <w:tr w:rsidR="00685583" w:rsidRPr="00685583" w14:paraId="240B5EE1" w14:textId="77777777" w:rsidTr="005D7E98">
        <w:trPr>
          <w:jc w:val="center"/>
        </w:trPr>
        <w:tc>
          <w:tcPr>
            <w:tcW w:w="2508" w:type="dxa"/>
            <w:shd w:val="clear" w:color="auto" w:fill="auto"/>
          </w:tcPr>
          <w:p w14:paraId="549ECCFB" w14:textId="5FC2E2D1" w:rsidR="00CF22F4" w:rsidRPr="00685583" w:rsidRDefault="00FD5324" w:rsidP="004711EF">
            <w:pPr>
              <w:pStyle w:val="Tableheadingrow9pt"/>
              <w:rPr>
                <w:b w:val="0"/>
                <w:color w:val="auto"/>
                <w:sz w:val="17"/>
                <w:szCs w:val="17"/>
              </w:rPr>
            </w:pPr>
            <w:r>
              <w:rPr>
                <w:b w:val="0"/>
                <w:color w:val="auto"/>
                <w:sz w:val="17"/>
                <w:szCs w:val="17"/>
              </w:rPr>
              <w:t>Published and c</w:t>
            </w:r>
            <w:r w:rsidR="004711EF" w:rsidRPr="00685583">
              <w:rPr>
                <w:b w:val="0"/>
                <w:color w:val="auto"/>
                <w:sz w:val="17"/>
                <w:szCs w:val="17"/>
              </w:rPr>
              <w:t>ommence</w:t>
            </w:r>
            <w:r>
              <w:rPr>
                <w:b w:val="0"/>
                <w:color w:val="auto"/>
                <w:sz w:val="17"/>
                <w:szCs w:val="17"/>
              </w:rPr>
              <w:t>d</w:t>
            </w:r>
            <w:r w:rsidR="004711EF" w:rsidRPr="00685583">
              <w:rPr>
                <w:b w:val="0"/>
                <w:color w:val="auto"/>
                <w:sz w:val="17"/>
                <w:szCs w:val="17"/>
              </w:rPr>
              <w:t xml:space="preserve"> implementation of the refreshed Health Plan and Workforce Plan in partnership with Aboriginal and Torres Strait Islander people, communities and organisations.</w:t>
            </w:r>
          </w:p>
        </w:tc>
        <w:tc>
          <w:tcPr>
            <w:tcW w:w="2508" w:type="dxa"/>
            <w:shd w:val="clear" w:color="auto" w:fill="auto"/>
          </w:tcPr>
          <w:p w14:paraId="734E0E8A" w14:textId="51C4CD2B" w:rsidR="00CF22F4" w:rsidRPr="00685583" w:rsidRDefault="004711EF" w:rsidP="004711EF">
            <w:pPr>
              <w:pStyle w:val="Tableheadingrow9pt"/>
              <w:rPr>
                <w:color w:val="auto"/>
              </w:rPr>
            </w:pPr>
            <w:r w:rsidRPr="00685583">
              <w:rPr>
                <w:b w:val="0"/>
                <w:color w:val="auto"/>
                <w:sz w:val="17"/>
                <w:szCs w:val="17"/>
              </w:rPr>
              <w:t>Continue to implement the Health Plan and Workforce Plan, in concert with the respective implementation frameworks.</w:t>
            </w:r>
          </w:p>
        </w:tc>
        <w:tc>
          <w:tcPr>
            <w:tcW w:w="2661" w:type="dxa"/>
            <w:shd w:val="clear" w:color="auto" w:fill="auto"/>
          </w:tcPr>
          <w:p w14:paraId="730F3E3A" w14:textId="4EDA81FA" w:rsidR="00CC420F" w:rsidRPr="00587923" w:rsidRDefault="00BB01F1" w:rsidP="00CC420F">
            <w:pPr>
              <w:pStyle w:val="Tabletextmeasures85pt"/>
              <w:rPr>
                <w:b/>
                <w:color w:val="000000" w:themeColor="text1"/>
              </w:rPr>
            </w:pPr>
            <w:r>
              <w:t>As per 2022</w:t>
            </w:r>
            <w:r w:rsidRPr="00587923">
              <w:rPr>
                <w:color w:val="000000" w:themeColor="text1"/>
              </w:rPr>
              <w:t>–</w:t>
            </w:r>
            <w:r w:rsidR="00FD5324" w:rsidRPr="00587923">
              <w:rPr>
                <w:color w:val="000000" w:themeColor="text1"/>
              </w:rPr>
              <w:t>23.</w:t>
            </w:r>
          </w:p>
          <w:p w14:paraId="5E98B958" w14:textId="23824A2E" w:rsidR="00CF22F4" w:rsidRPr="00685583" w:rsidRDefault="00CF22F4" w:rsidP="006E7604">
            <w:pPr>
              <w:pStyle w:val="Tableheadingrow9pt"/>
              <w:rPr>
                <w:b w:val="0"/>
                <w:color w:val="auto"/>
                <w:sz w:val="17"/>
                <w:szCs w:val="17"/>
              </w:rPr>
            </w:pPr>
          </w:p>
        </w:tc>
      </w:tr>
    </w:tbl>
    <w:p w14:paraId="5E1FC11D" w14:textId="77777777" w:rsidR="009A54AE" w:rsidRDefault="009A54AE">
      <w:r>
        <w:rPr>
          <w:b/>
        </w:rPr>
        <w:br w:type="page"/>
      </w:r>
    </w:p>
    <w:tbl>
      <w:tblPr>
        <w:tblStyle w:val="TableGrid"/>
        <w:tblW w:w="7677" w:type="dxa"/>
        <w:jc w:val="center"/>
        <w:tblLayout w:type="fixed"/>
        <w:tblLook w:val="04A0" w:firstRow="1" w:lastRow="0" w:firstColumn="1" w:lastColumn="0" w:noHBand="0" w:noVBand="1"/>
        <w:tblCaption w:val="Table 2.1.4: Performance Measures for Program 1.3 (continued)"/>
        <w:tblDescription w:val="This table includes a performance measure for Program 1.3, with an expected performance result for 2021-22, and planned performance results for 2022-23 and the forward estimates"/>
      </w:tblPr>
      <w:tblGrid>
        <w:gridCol w:w="1695"/>
        <w:gridCol w:w="1495"/>
        <w:gridCol w:w="1495"/>
        <w:gridCol w:w="1496"/>
        <w:gridCol w:w="1496"/>
      </w:tblGrid>
      <w:tr w:rsidR="00685583" w:rsidRPr="00685583" w14:paraId="3531B99B" w14:textId="77777777" w:rsidTr="00AE5740">
        <w:trPr>
          <w:jc w:val="center"/>
        </w:trPr>
        <w:tc>
          <w:tcPr>
            <w:tcW w:w="7677" w:type="dxa"/>
            <w:gridSpan w:val="5"/>
            <w:shd w:val="clear" w:color="auto" w:fill="D9D9D9" w:themeFill="background1" w:themeFillShade="D9"/>
          </w:tcPr>
          <w:p w14:paraId="6343A585" w14:textId="3DAE3D6D" w:rsidR="004711EF" w:rsidRPr="00685583" w:rsidRDefault="00046363" w:rsidP="00F00F4A">
            <w:pPr>
              <w:pStyle w:val="Tableheadingrow9pt"/>
              <w:keepNext/>
              <w:keepLines/>
              <w:rPr>
                <w:bCs/>
                <w:color w:val="auto"/>
                <w:sz w:val="17"/>
                <w:szCs w:val="17"/>
              </w:rPr>
            </w:pPr>
            <w:r w:rsidRPr="00685583">
              <w:rPr>
                <w:bCs/>
                <w:color w:val="auto"/>
                <w:sz w:val="17"/>
                <w:szCs w:val="17"/>
              </w:rPr>
              <w:lastRenderedPageBreak/>
              <w:t>By 2031, increase the proportion of Aboriginal and Torres Strait Islander babies with a healthy birthweight to 91</w:t>
            </w:r>
            <w:r w:rsidR="002E744B" w:rsidRPr="00685583">
              <w:rPr>
                <w:bCs/>
                <w:color w:val="auto"/>
                <w:sz w:val="17"/>
                <w:szCs w:val="17"/>
              </w:rPr>
              <w:t>%</w:t>
            </w:r>
            <w:r w:rsidRPr="00685583">
              <w:rPr>
                <w:bCs/>
                <w:color w:val="auto"/>
                <w:sz w:val="17"/>
                <w:szCs w:val="17"/>
              </w:rPr>
              <w:t>.</w:t>
            </w:r>
          </w:p>
        </w:tc>
      </w:tr>
      <w:tr w:rsidR="00CC420F" w:rsidRPr="00685583" w14:paraId="38631E14" w14:textId="77777777" w:rsidTr="005D7E98">
        <w:trPr>
          <w:jc w:val="center"/>
        </w:trPr>
        <w:tc>
          <w:tcPr>
            <w:tcW w:w="1695" w:type="dxa"/>
            <w:shd w:val="clear" w:color="auto" w:fill="auto"/>
          </w:tcPr>
          <w:p w14:paraId="4FAA446D" w14:textId="62D1771A" w:rsidR="00CC420F" w:rsidRPr="00685583" w:rsidRDefault="00CC420F" w:rsidP="00CC420F">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B01F1">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495" w:type="dxa"/>
            <w:shd w:val="clear" w:color="auto" w:fill="auto"/>
          </w:tcPr>
          <w:p w14:paraId="520FF0A0" w14:textId="203DDE39" w:rsidR="00CC420F" w:rsidRPr="00685583" w:rsidRDefault="00CC420F" w:rsidP="00CC420F">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B01F1">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495" w:type="dxa"/>
            <w:shd w:val="clear" w:color="auto" w:fill="auto"/>
          </w:tcPr>
          <w:p w14:paraId="488EFA99" w14:textId="7730162B"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B01F1">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496" w:type="dxa"/>
            <w:shd w:val="clear" w:color="auto" w:fill="auto"/>
          </w:tcPr>
          <w:p w14:paraId="30309C92" w14:textId="5D432D92"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B01F1">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496" w:type="dxa"/>
            <w:shd w:val="clear" w:color="auto" w:fill="auto"/>
          </w:tcPr>
          <w:p w14:paraId="53F35079" w14:textId="4D0275C3" w:rsidR="00CC420F" w:rsidRPr="00685583" w:rsidRDefault="00CC420F" w:rsidP="00CC420F">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B01F1">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432F36" w:rsidRPr="00685583" w14:paraId="27D814DB" w14:textId="77777777" w:rsidTr="005D7E98">
        <w:trPr>
          <w:trHeight w:val="96"/>
          <w:jc w:val="center"/>
        </w:trPr>
        <w:tc>
          <w:tcPr>
            <w:tcW w:w="1695" w:type="dxa"/>
            <w:shd w:val="clear" w:color="auto" w:fill="auto"/>
          </w:tcPr>
          <w:p w14:paraId="4D85C33A" w14:textId="6D9810F3"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4</w:t>
            </w:r>
            <w:r w:rsidRPr="00685583">
              <w:rPr>
                <w:b w:val="0"/>
                <w:color w:val="auto"/>
                <w:sz w:val="17"/>
                <w:szCs w:val="17"/>
              </w:rPr>
              <w:t>%</w:t>
            </w:r>
          </w:p>
        </w:tc>
        <w:tc>
          <w:tcPr>
            <w:tcW w:w="1495" w:type="dxa"/>
            <w:vMerge w:val="restart"/>
            <w:shd w:val="clear" w:color="auto" w:fill="auto"/>
          </w:tcPr>
          <w:p w14:paraId="1F9F595F" w14:textId="0EC777AE"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6</w:t>
            </w:r>
            <w:r w:rsidRPr="00685583">
              <w:rPr>
                <w:b w:val="0"/>
                <w:color w:val="auto"/>
                <w:sz w:val="17"/>
                <w:szCs w:val="17"/>
              </w:rPr>
              <w:t>%</w:t>
            </w:r>
          </w:p>
        </w:tc>
        <w:tc>
          <w:tcPr>
            <w:tcW w:w="1495" w:type="dxa"/>
            <w:vMerge w:val="restart"/>
            <w:shd w:val="clear" w:color="auto" w:fill="auto"/>
          </w:tcPr>
          <w:p w14:paraId="3F34480F" w14:textId="60B9875E"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7</w:t>
            </w:r>
            <w:r w:rsidRPr="00685583">
              <w:rPr>
                <w:b w:val="0"/>
                <w:color w:val="auto"/>
                <w:sz w:val="17"/>
                <w:szCs w:val="17"/>
              </w:rPr>
              <w:t>%</w:t>
            </w:r>
          </w:p>
        </w:tc>
        <w:tc>
          <w:tcPr>
            <w:tcW w:w="1496" w:type="dxa"/>
            <w:vMerge w:val="restart"/>
            <w:shd w:val="clear" w:color="auto" w:fill="auto"/>
          </w:tcPr>
          <w:p w14:paraId="53BD4A47" w14:textId="16A34F65" w:rsidR="00432F36" w:rsidRPr="00685583" w:rsidRDefault="00432F36" w:rsidP="00432F36">
            <w:pPr>
              <w:pStyle w:val="Tableheadingrow9pt"/>
              <w:keepNext/>
              <w:keepLines/>
              <w:rPr>
                <w:b w:val="0"/>
                <w:color w:val="auto"/>
                <w:sz w:val="17"/>
                <w:szCs w:val="17"/>
              </w:rPr>
            </w:pPr>
            <w:r w:rsidRPr="00685583">
              <w:rPr>
                <w:b w:val="0"/>
                <w:color w:val="auto"/>
                <w:sz w:val="17"/>
                <w:szCs w:val="17"/>
              </w:rPr>
              <w:t>89.</w:t>
            </w:r>
            <w:r>
              <w:rPr>
                <w:b w:val="0"/>
                <w:color w:val="auto"/>
                <w:sz w:val="17"/>
                <w:szCs w:val="17"/>
              </w:rPr>
              <w:t>9</w:t>
            </w:r>
            <w:r w:rsidRPr="00685583">
              <w:rPr>
                <w:b w:val="0"/>
                <w:color w:val="auto"/>
                <w:sz w:val="17"/>
                <w:szCs w:val="17"/>
              </w:rPr>
              <w:t>%</w:t>
            </w:r>
          </w:p>
        </w:tc>
        <w:tc>
          <w:tcPr>
            <w:tcW w:w="1496" w:type="dxa"/>
            <w:vMerge w:val="restart"/>
            <w:shd w:val="clear" w:color="auto" w:fill="auto"/>
          </w:tcPr>
          <w:p w14:paraId="1FD7760A" w14:textId="7E1B3B14" w:rsidR="00432F36" w:rsidRPr="00685583" w:rsidRDefault="00432F36" w:rsidP="00432F36">
            <w:pPr>
              <w:pStyle w:val="Tableheadingrow9pt"/>
              <w:keepNext/>
              <w:keepLines/>
              <w:rPr>
                <w:b w:val="0"/>
                <w:color w:val="auto"/>
                <w:sz w:val="17"/>
                <w:szCs w:val="17"/>
              </w:rPr>
            </w:pPr>
            <w:r w:rsidRPr="00432F36">
              <w:rPr>
                <w:b w:val="0"/>
                <w:color w:val="auto"/>
                <w:sz w:val="17"/>
                <w:szCs w:val="17"/>
              </w:rPr>
              <w:t>90.1%</w:t>
            </w:r>
          </w:p>
        </w:tc>
      </w:tr>
      <w:tr w:rsidR="00685583" w:rsidRPr="00685583" w14:paraId="37FCAF5B" w14:textId="77777777" w:rsidTr="005D7E98">
        <w:trPr>
          <w:trHeight w:val="96"/>
          <w:jc w:val="center"/>
        </w:trPr>
        <w:tc>
          <w:tcPr>
            <w:tcW w:w="1695" w:type="dxa"/>
            <w:shd w:val="clear" w:color="auto" w:fill="auto"/>
            <w:tcMar>
              <w:right w:w="57" w:type="dxa"/>
            </w:tcMar>
          </w:tcPr>
          <w:p w14:paraId="27A4EA61" w14:textId="7B48ED5D" w:rsidR="00CF22F4" w:rsidRPr="00685583" w:rsidRDefault="00BB01F1" w:rsidP="00DC5575">
            <w:pPr>
              <w:pStyle w:val="Tableheadingrow9pt"/>
              <w:rPr>
                <w:color w:val="auto"/>
                <w:sz w:val="17"/>
                <w:szCs w:val="17"/>
              </w:rPr>
            </w:pPr>
            <w:r>
              <w:rPr>
                <w:color w:val="auto"/>
                <w:sz w:val="17"/>
                <w:szCs w:val="17"/>
              </w:rPr>
              <w:t>2021–</w:t>
            </w:r>
            <w:r w:rsidR="00061B76">
              <w:rPr>
                <w:color w:val="auto"/>
                <w:sz w:val="17"/>
                <w:szCs w:val="17"/>
              </w:rPr>
              <w:t>22</w:t>
            </w:r>
            <w:r w:rsidR="00061B76">
              <w:rPr>
                <w:color w:val="auto"/>
                <w:sz w:val="17"/>
                <w:szCs w:val="17"/>
              </w:rPr>
              <w:br/>
              <w:t>Expected Performance Result</w:t>
            </w:r>
          </w:p>
        </w:tc>
        <w:tc>
          <w:tcPr>
            <w:tcW w:w="1495" w:type="dxa"/>
            <w:vMerge/>
            <w:shd w:val="clear" w:color="auto" w:fill="auto"/>
          </w:tcPr>
          <w:p w14:paraId="7CC05663" w14:textId="77777777" w:rsidR="00CF22F4" w:rsidRPr="00685583" w:rsidRDefault="00CF22F4" w:rsidP="00AE5740">
            <w:pPr>
              <w:pStyle w:val="Tableheadingrow9pt"/>
              <w:rPr>
                <w:color w:val="auto"/>
              </w:rPr>
            </w:pPr>
          </w:p>
        </w:tc>
        <w:tc>
          <w:tcPr>
            <w:tcW w:w="1495" w:type="dxa"/>
            <w:vMerge/>
            <w:shd w:val="clear" w:color="auto" w:fill="auto"/>
          </w:tcPr>
          <w:p w14:paraId="79BF1B48" w14:textId="77777777" w:rsidR="00CF22F4" w:rsidRPr="00685583" w:rsidRDefault="00CF22F4" w:rsidP="00AE5740">
            <w:pPr>
              <w:pStyle w:val="Tableheadingrow9pt"/>
              <w:rPr>
                <w:color w:val="auto"/>
              </w:rPr>
            </w:pPr>
          </w:p>
        </w:tc>
        <w:tc>
          <w:tcPr>
            <w:tcW w:w="1496" w:type="dxa"/>
            <w:vMerge/>
            <w:shd w:val="clear" w:color="auto" w:fill="auto"/>
          </w:tcPr>
          <w:p w14:paraId="33869B28" w14:textId="77777777" w:rsidR="00CF22F4" w:rsidRPr="00685583" w:rsidRDefault="00CF22F4" w:rsidP="00AE5740">
            <w:pPr>
              <w:pStyle w:val="Tableheadingrow9pt"/>
              <w:rPr>
                <w:color w:val="auto"/>
              </w:rPr>
            </w:pPr>
          </w:p>
        </w:tc>
        <w:tc>
          <w:tcPr>
            <w:tcW w:w="1496" w:type="dxa"/>
            <w:vMerge/>
            <w:shd w:val="clear" w:color="auto" w:fill="auto"/>
          </w:tcPr>
          <w:p w14:paraId="4DFB2D10" w14:textId="77777777" w:rsidR="00CF22F4" w:rsidRPr="00685583" w:rsidRDefault="00CF22F4" w:rsidP="00AE5740">
            <w:pPr>
              <w:pStyle w:val="Tableheadingrow9pt"/>
              <w:rPr>
                <w:color w:val="auto"/>
              </w:rPr>
            </w:pPr>
          </w:p>
        </w:tc>
      </w:tr>
      <w:tr w:rsidR="00685583" w:rsidRPr="00685583" w14:paraId="5E1E793E" w14:textId="77777777" w:rsidTr="005D7E98">
        <w:trPr>
          <w:trHeight w:val="96"/>
          <w:jc w:val="center"/>
        </w:trPr>
        <w:tc>
          <w:tcPr>
            <w:tcW w:w="1695" w:type="dxa"/>
            <w:shd w:val="clear" w:color="auto" w:fill="auto"/>
          </w:tcPr>
          <w:p w14:paraId="73E00927" w14:textId="78F38E42" w:rsidR="009A2277" w:rsidRPr="00685583" w:rsidRDefault="00CB0B2E" w:rsidP="001F7D91">
            <w:pPr>
              <w:pStyle w:val="Tableheadingrow9pt"/>
              <w:rPr>
                <w:b w:val="0"/>
                <w:color w:val="auto"/>
                <w:sz w:val="17"/>
                <w:szCs w:val="17"/>
              </w:rPr>
            </w:pPr>
            <w:r>
              <w:rPr>
                <w:b w:val="0"/>
                <w:color w:val="auto"/>
                <w:sz w:val="17"/>
                <w:szCs w:val="17"/>
              </w:rPr>
              <w:t>88</w:t>
            </w:r>
            <w:r w:rsidR="00297974">
              <w:rPr>
                <w:b w:val="0"/>
                <w:color w:val="auto"/>
                <w:sz w:val="17"/>
                <w:szCs w:val="17"/>
              </w:rPr>
              <w:t>.0</w:t>
            </w:r>
            <w:r>
              <w:rPr>
                <w:b w:val="0"/>
                <w:color w:val="auto"/>
                <w:sz w:val="17"/>
                <w:szCs w:val="17"/>
              </w:rPr>
              <w:t>%</w:t>
            </w:r>
          </w:p>
        </w:tc>
        <w:tc>
          <w:tcPr>
            <w:tcW w:w="1495" w:type="dxa"/>
            <w:vMerge/>
            <w:shd w:val="clear" w:color="auto" w:fill="auto"/>
          </w:tcPr>
          <w:p w14:paraId="74CC07DD" w14:textId="77777777" w:rsidR="00CF22F4" w:rsidRPr="00685583" w:rsidRDefault="00CF22F4" w:rsidP="00AE5740">
            <w:pPr>
              <w:pStyle w:val="Tableheadingrow9pt"/>
              <w:rPr>
                <w:color w:val="auto"/>
              </w:rPr>
            </w:pPr>
          </w:p>
        </w:tc>
        <w:tc>
          <w:tcPr>
            <w:tcW w:w="1495" w:type="dxa"/>
            <w:vMerge/>
            <w:shd w:val="clear" w:color="auto" w:fill="auto"/>
          </w:tcPr>
          <w:p w14:paraId="52569C4D" w14:textId="77777777" w:rsidR="00CF22F4" w:rsidRPr="00685583" w:rsidRDefault="00CF22F4" w:rsidP="00AE5740">
            <w:pPr>
              <w:pStyle w:val="Tableheadingrow9pt"/>
              <w:rPr>
                <w:color w:val="auto"/>
              </w:rPr>
            </w:pPr>
          </w:p>
        </w:tc>
        <w:tc>
          <w:tcPr>
            <w:tcW w:w="1496" w:type="dxa"/>
            <w:vMerge/>
            <w:shd w:val="clear" w:color="auto" w:fill="auto"/>
          </w:tcPr>
          <w:p w14:paraId="5FB708EB" w14:textId="77777777" w:rsidR="00CF22F4" w:rsidRPr="00685583" w:rsidRDefault="00CF22F4" w:rsidP="00AE5740">
            <w:pPr>
              <w:pStyle w:val="Tableheadingrow9pt"/>
              <w:rPr>
                <w:color w:val="auto"/>
              </w:rPr>
            </w:pPr>
          </w:p>
        </w:tc>
        <w:tc>
          <w:tcPr>
            <w:tcW w:w="1496" w:type="dxa"/>
            <w:vMerge/>
            <w:shd w:val="clear" w:color="auto" w:fill="auto"/>
          </w:tcPr>
          <w:p w14:paraId="0BDDFC23" w14:textId="77777777" w:rsidR="00CF22F4" w:rsidRPr="00685583" w:rsidRDefault="00CF22F4" w:rsidP="00AE5740">
            <w:pPr>
              <w:pStyle w:val="Tableheadingrow9pt"/>
              <w:rPr>
                <w:color w:val="auto"/>
              </w:rPr>
            </w:pPr>
          </w:p>
        </w:tc>
      </w:tr>
      <w:tr w:rsidR="00685583" w:rsidRPr="00685583" w14:paraId="7039445B" w14:textId="77777777" w:rsidTr="00AE5740">
        <w:trPr>
          <w:jc w:val="center"/>
        </w:trPr>
        <w:tc>
          <w:tcPr>
            <w:tcW w:w="7677" w:type="dxa"/>
            <w:gridSpan w:val="5"/>
            <w:shd w:val="clear" w:color="auto" w:fill="auto"/>
          </w:tcPr>
          <w:p w14:paraId="521E3802" w14:textId="42B88679" w:rsidR="00CF22F4" w:rsidRPr="00685583" w:rsidRDefault="00CF22F4" w:rsidP="00AE5740">
            <w:pPr>
              <w:pStyle w:val="Tableheadingrow9pt"/>
              <w:rPr>
                <w:color w:val="auto"/>
              </w:rPr>
            </w:pPr>
            <w:r w:rsidRPr="00685583">
              <w:rPr>
                <w:color w:val="auto"/>
              </w:rPr>
              <w:t>Material changes to Program 1</w:t>
            </w:r>
            <w:r w:rsidR="00A12316" w:rsidRPr="00685583">
              <w:rPr>
                <w:color w:val="auto"/>
              </w:rPr>
              <w:t>.3</w:t>
            </w:r>
            <w:r w:rsidRPr="00685583">
              <w:rPr>
                <w:color w:val="auto"/>
              </w:rPr>
              <w:t xml:space="preserve"> resulting from the following measures:</w:t>
            </w:r>
          </w:p>
          <w:p w14:paraId="7D27857F" w14:textId="2B7BF601" w:rsidR="00CF22F4" w:rsidRPr="00685583" w:rsidRDefault="004711EF" w:rsidP="004711EF">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3</w:t>
            </w:r>
            <w:r w:rsidRPr="00473719">
              <w:rPr>
                <w:sz w:val="17"/>
                <w:szCs w:val="17"/>
              </w:rPr>
              <w:t xml:space="preserve"> resulting from measures.</w:t>
            </w:r>
          </w:p>
        </w:tc>
      </w:tr>
    </w:tbl>
    <w:p w14:paraId="3A7C1E0A" w14:textId="62F1F1DA" w:rsidR="00076265" w:rsidRPr="00685583" w:rsidRDefault="0073538B" w:rsidP="000C1B9B">
      <w:pPr>
        <w:pStyle w:val="Tablenumberandreference"/>
        <w:pageBreakBefore/>
        <w:rPr>
          <w:color w:val="auto"/>
        </w:rPr>
      </w:pPr>
      <w:r w:rsidRPr="00685583">
        <w:rPr>
          <w:color w:val="auto"/>
        </w:rPr>
        <w:lastRenderedPageBreak/>
        <w:t xml:space="preserve">Table 2.1.5: Performance </w:t>
      </w:r>
      <w:r w:rsidR="000F7A14" w:rsidRPr="00685583">
        <w:rPr>
          <w:color w:val="auto"/>
        </w:rPr>
        <w:t>Measures</w:t>
      </w:r>
      <w:r w:rsidRPr="00685583">
        <w:rPr>
          <w:color w:val="auto"/>
        </w:rPr>
        <w:t xml:space="preserve"> for Program 1.4</w:t>
      </w:r>
      <w:r w:rsidR="000C1B9B">
        <w:rPr>
          <w:color w:val="auto"/>
        </w:rPr>
        <w:t xml:space="preserve"> </w:t>
      </w:r>
    </w:p>
    <w:tbl>
      <w:tblPr>
        <w:tblStyle w:val="TableGrid"/>
        <w:tblW w:w="7677" w:type="dxa"/>
        <w:jc w:val="center"/>
        <w:tblLayout w:type="fixed"/>
        <w:tblLook w:val="04A0" w:firstRow="1" w:lastRow="0" w:firstColumn="1" w:lastColumn="0" w:noHBand="0" w:noVBand="1"/>
        <w:tblCaption w:val="Table 2.1.5: Performance Measures for Program 1.4"/>
        <w:tblDescription w:val="This table outlines Program 1.4's objective and the key activities for Program 1.4. It also includes a performance measure for Program 1.4, with an expected performance result for 2021-22, and planned performance results for 2022-23 and the forward estimates"/>
      </w:tblPr>
      <w:tblGrid>
        <w:gridCol w:w="846"/>
        <w:gridCol w:w="850"/>
        <w:gridCol w:w="687"/>
        <w:gridCol w:w="731"/>
        <w:gridCol w:w="709"/>
        <w:gridCol w:w="850"/>
        <w:gridCol w:w="709"/>
        <w:gridCol w:w="850"/>
        <w:gridCol w:w="709"/>
        <w:gridCol w:w="736"/>
      </w:tblGrid>
      <w:tr w:rsidR="00685583" w:rsidRPr="00685583" w14:paraId="5E9E8349" w14:textId="77777777" w:rsidTr="0098262C">
        <w:trPr>
          <w:trHeight w:val="50"/>
          <w:jc w:val="center"/>
        </w:trPr>
        <w:tc>
          <w:tcPr>
            <w:tcW w:w="7677" w:type="dxa"/>
            <w:gridSpan w:val="10"/>
            <w:shd w:val="clear" w:color="auto" w:fill="D9D9D9" w:themeFill="background1" w:themeFillShade="D9"/>
          </w:tcPr>
          <w:p w14:paraId="07B8FBBF" w14:textId="2F4252F1" w:rsidR="00DC5575" w:rsidRPr="00685583" w:rsidRDefault="00D26B6C" w:rsidP="00E7155B">
            <w:pPr>
              <w:pStyle w:val="Tableheadingrow9pt"/>
              <w:rPr>
                <w:color w:val="auto"/>
              </w:rPr>
            </w:pPr>
            <w:r w:rsidRPr="00685583">
              <w:rPr>
                <w:color w:val="auto"/>
              </w:rPr>
              <w:t xml:space="preserve">Program Objective – Program </w:t>
            </w:r>
            <w:r w:rsidR="0073538B" w:rsidRPr="00685583">
              <w:rPr>
                <w:color w:val="auto"/>
              </w:rPr>
              <w:t>1</w:t>
            </w:r>
            <w:r w:rsidR="000A74AA" w:rsidRPr="00685583">
              <w:rPr>
                <w:color w:val="auto"/>
              </w:rPr>
              <w:t>.</w:t>
            </w:r>
            <w:r w:rsidR="0073538B" w:rsidRPr="00685583">
              <w:rPr>
                <w:color w:val="auto"/>
              </w:rPr>
              <w:t>4:</w:t>
            </w:r>
            <w:r w:rsidR="00A12316" w:rsidRPr="00685583">
              <w:rPr>
                <w:color w:val="auto"/>
              </w:rPr>
              <w:t xml:space="preserve"> Health Workforce</w:t>
            </w:r>
          </w:p>
        </w:tc>
      </w:tr>
      <w:tr w:rsidR="00685583" w:rsidRPr="00685583" w14:paraId="0A458852" w14:textId="77777777" w:rsidTr="0098262C">
        <w:trPr>
          <w:jc w:val="center"/>
        </w:trPr>
        <w:tc>
          <w:tcPr>
            <w:tcW w:w="7677" w:type="dxa"/>
            <w:gridSpan w:val="10"/>
          </w:tcPr>
          <w:p w14:paraId="021F6A81" w14:textId="338D882A" w:rsidR="00D26B6C" w:rsidRPr="00685583" w:rsidRDefault="00C05E3A" w:rsidP="00AE5740">
            <w:pPr>
              <w:pStyle w:val="Heading2"/>
              <w:outlineLvl w:val="1"/>
              <w:rPr>
                <w:b/>
                <w:color w:val="auto"/>
              </w:rPr>
            </w:pPr>
            <w:r w:rsidRPr="00685583">
              <w:rPr>
                <w:color w:val="auto"/>
              </w:rPr>
              <w:t>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r w:rsidR="00335B80" w:rsidRPr="00685583">
              <w:rPr>
                <w:color w:val="auto"/>
              </w:rPr>
              <w:t>.</w:t>
            </w:r>
          </w:p>
        </w:tc>
      </w:tr>
      <w:tr w:rsidR="00685583" w:rsidRPr="00685583" w14:paraId="060C5222" w14:textId="77777777" w:rsidTr="0098262C">
        <w:trPr>
          <w:jc w:val="center"/>
        </w:trPr>
        <w:tc>
          <w:tcPr>
            <w:tcW w:w="7677" w:type="dxa"/>
            <w:gridSpan w:val="10"/>
            <w:shd w:val="clear" w:color="auto" w:fill="D9D9D9" w:themeFill="background1" w:themeFillShade="D9"/>
          </w:tcPr>
          <w:p w14:paraId="288B60C6" w14:textId="2178D196" w:rsidR="00DC5575" w:rsidRPr="00685583" w:rsidRDefault="00E7155B" w:rsidP="00E7155B">
            <w:pPr>
              <w:pStyle w:val="Tableheadingrow9pt"/>
              <w:rPr>
                <w:color w:val="auto"/>
              </w:rPr>
            </w:pPr>
            <w:r>
              <w:rPr>
                <w:color w:val="auto"/>
              </w:rPr>
              <w:t>Key Activities</w:t>
            </w:r>
          </w:p>
        </w:tc>
      </w:tr>
      <w:tr w:rsidR="00685583" w:rsidRPr="00685583" w14:paraId="7D06133D" w14:textId="77777777" w:rsidTr="0098262C">
        <w:trPr>
          <w:jc w:val="center"/>
        </w:trPr>
        <w:tc>
          <w:tcPr>
            <w:tcW w:w="7677" w:type="dxa"/>
            <w:gridSpan w:val="10"/>
          </w:tcPr>
          <w:p w14:paraId="30408937" w14:textId="42245B4E" w:rsidR="002437E4" w:rsidRPr="002437E4" w:rsidRDefault="002437E4" w:rsidP="00C34D34">
            <w:pPr>
              <w:pStyle w:val="Tabletextnormal9pt"/>
              <w:numPr>
                <w:ilvl w:val="0"/>
                <w:numId w:val="1"/>
              </w:numPr>
              <w:ind w:left="314" w:hanging="314"/>
              <w:rPr>
                <w:color w:val="auto"/>
              </w:rPr>
            </w:pPr>
            <w:r w:rsidRPr="002437E4">
              <w:rPr>
                <w:color w:val="auto"/>
              </w:rPr>
              <w:t>Implementing the</w:t>
            </w:r>
            <w:r>
              <w:rPr>
                <w:color w:val="auto"/>
              </w:rPr>
              <w:t xml:space="preserve"> </w:t>
            </w:r>
            <w:r w:rsidRPr="00CF6322">
              <w:t>National Medical Workforce</w:t>
            </w:r>
            <w:r w:rsidRPr="002437E4">
              <w:rPr>
                <w:color w:val="auto"/>
              </w:rPr>
              <w:t xml:space="preserve"> Strategy</w:t>
            </w:r>
            <w:r w:rsidR="005458F8">
              <w:rPr>
                <w:color w:val="auto"/>
              </w:rPr>
              <w:t xml:space="preserve"> (the Strategy)</w:t>
            </w:r>
            <w:r w:rsidRPr="002437E4">
              <w:rPr>
                <w:color w:val="auto"/>
              </w:rPr>
              <w:t xml:space="preserve"> by:</w:t>
            </w:r>
          </w:p>
          <w:p w14:paraId="36DCD9C0" w14:textId="65D6FA4E" w:rsidR="002437E4" w:rsidRPr="002437E4" w:rsidRDefault="00FB7F4E" w:rsidP="009A2277">
            <w:pPr>
              <w:pStyle w:val="Tabletextnormal9pt"/>
              <w:numPr>
                <w:ilvl w:val="0"/>
                <w:numId w:val="37"/>
              </w:numPr>
              <w:ind w:left="567" w:hanging="284"/>
              <w:rPr>
                <w:color w:val="auto"/>
              </w:rPr>
            </w:pPr>
            <w:r>
              <w:rPr>
                <w:color w:val="auto"/>
              </w:rPr>
              <w:t>i</w:t>
            </w:r>
            <w:r w:rsidR="002437E4" w:rsidRPr="002437E4">
              <w:rPr>
                <w:color w:val="auto"/>
              </w:rPr>
              <w:t>mproving the quality of the Australian health workforce through targeted support and incentives for medical practitioners working in general practice to achieve specialist recognition</w:t>
            </w:r>
          </w:p>
          <w:p w14:paraId="519A5B43" w14:textId="4D25F5DE" w:rsidR="002437E4" w:rsidRPr="002437E4" w:rsidRDefault="00FB7F4E" w:rsidP="009A2277">
            <w:pPr>
              <w:pStyle w:val="Tabletextnormal9pt"/>
              <w:numPr>
                <w:ilvl w:val="0"/>
                <w:numId w:val="37"/>
              </w:numPr>
              <w:ind w:left="567" w:hanging="284"/>
              <w:rPr>
                <w:color w:val="auto"/>
              </w:rPr>
            </w:pPr>
            <w:r>
              <w:rPr>
                <w:color w:val="auto"/>
              </w:rPr>
              <w:t>s</w:t>
            </w:r>
            <w:r w:rsidR="002437E4" w:rsidRPr="002437E4">
              <w:rPr>
                <w:color w:val="auto"/>
              </w:rPr>
              <w:t>upporting distribution of the health workforce across Australia, including in regional, rural and remote areas, through teaching programs, and establishing the Murray Darling Medical Schools Network</w:t>
            </w:r>
          </w:p>
          <w:p w14:paraId="29AC023E" w14:textId="38BAB34D" w:rsidR="002437E4" w:rsidRPr="002437E4" w:rsidRDefault="00FB7F4E" w:rsidP="009A2277">
            <w:pPr>
              <w:pStyle w:val="Tabletextnormal9pt"/>
              <w:numPr>
                <w:ilvl w:val="0"/>
                <w:numId w:val="37"/>
              </w:numPr>
              <w:ind w:left="567" w:hanging="284"/>
              <w:rPr>
                <w:color w:val="auto"/>
              </w:rPr>
            </w:pPr>
            <w:r>
              <w:rPr>
                <w:color w:val="auto"/>
              </w:rPr>
              <w:t>i</w:t>
            </w:r>
            <w:r w:rsidR="002437E4" w:rsidRPr="002437E4">
              <w:rPr>
                <w:color w:val="auto"/>
              </w:rPr>
              <w:t>mproving distribution of the health workforce through improved incentives for doctors, nurses and allied health professionals under the Workforce Incentive Program, with better support and targeting of doctors through the Bonded Medical Program</w:t>
            </w:r>
          </w:p>
          <w:p w14:paraId="46DEC363" w14:textId="7B896C7F" w:rsidR="002437E4" w:rsidRPr="002437E4" w:rsidRDefault="00FB7F4E" w:rsidP="009A2277">
            <w:pPr>
              <w:pStyle w:val="Tabletextnormal9pt"/>
              <w:numPr>
                <w:ilvl w:val="0"/>
                <w:numId w:val="37"/>
              </w:numPr>
              <w:ind w:left="567" w:hanging="284"/>
              <w:rPr>
                <w:color w:val="auto"/>
              </w:rPr>
            </w:pPr>
            <w:r>
              <w:rPr>
                <w:color w:val="auto"/>
              </w:rPr>
              <w:t>e</w:t>
            </w:r>
            <w:r w:rsidR="002437E4" w:rsidRPr="002437E4">
              <w:rPr>
                <w:color w:val="auto"/>
              </w:rPr>
              <w:t>nsuring health workforce resources are targeted to specific needs, with ongoing enhancements of the health workforce planning tool</w:t>
            </w:r>
          </w:p>
          <w:p w14:paraId="6AFA9603" w14:textId="3C2D2AC5" w:rsidR="002437E4" w:rsidRPr="002437E4" w:rsidRDefault="00FB7F4E" w:rsidP="009A2277">
            <w:pPr>
              <w:pStyle w:val="Tabletextnormal9pt"/>
              <w:numPr>
                <w:ilvl w:val="0"/>
                <w:numId w:val="37"/>
              </w:numPr>
              <w:ind w:left="567" w:hanging="284"/>
              <w:rPr>
                <w:color w:val="auto"/>
              </w:rPr>
            </w:pPr>
            <w:proofErr w:type="gramStart"/>
            <w:r>
              <w:rPr>
                <w:color w:val="auto"/>
              </w:rPr>
              <w:t>b</w:t>
            </w:r>
            <w:r w:rsidR="002437E4" w:rsidRPr="002437E4">
              <w:rPr>
                <w:color w:val="auto"/>
              </w:rPr>
              <w:t>uilding</w:t>
            </w:r>
            <w:proofErr w:type="gramEnd"/>
            <w:r w:rsidR="002437E4" w:rsidRPr="002437E4">
              <w:rPr>
                <w:color w:val="auto"/>
              </w:rPr>
              <w:t xml:space="preserve"> on the Strategy through a range of reforms and improved investment by increasing junior doctor rotations in rural primary care settings. Patients in these communities will also benefit from increased delivery of health services and a more stable locally trained workforce</w:t>
            </w:r>
          </w:p>
          <w:p w14:paraId="49906544" w14:textId="38D0E4FC" w:rsidR="00BD32A4" w:rsidRDefault="00FB7F4E" w:rsidP="009A2277">
            <w:pPr>
              <w:pStyle w:val="Tabletextnormal9pt"/>
              <w:numPr>
                <w:ilvl w:val="0"/>
                <w:numId w:val="37"/>
              </w:numPr>
              <w:ind w:left="567" w:hanging="284"/>
              <w:rPr>
                <w:color w:val="auto"/>
              </w:rPr>
            </w:pPr>
            <w:r>
              <w:rPr>
                <w:color w:val="auto"/>
              </w:rPr>
              <w:t>t</w:t>
            </w:r>
            <w:r w:rsidR="002437E4" w:rsidRPr="00BD32A4">
              <w:rPr>
                <w:color w:val="auto"/>
              </w:rPr>
              <w:t>ransitioning the Australian General Practice Training Program to a col</w:t>
            </w:r>
            <w:r w:rsidR="00297974">
              <w:rPr>
                <w:color w:val="auto"/>
              </w:rPr>
              <w:t>lege-led training model in 2023</w:t>
            </w:r>
          </w:p>
          <w:p w14:paraId="07542D12" w14:textId="13243BDA" w:rsidR="0046648C" w:rsidRPr="0046648C" w:rsidRDefault="0046648C" w:rsidP="0046648C">
            <w:pPr>
              <w:pStyle w:val="Tabletextnormal9pt"/>
              <w:numPr>
                <w:ilvl w:val="0"/>
                <w:numId w:val="37"/>
              </w:numPr>
              <w:ind w:left="567" w:hanging="284"/>
              <w:rPr>
                <w:color w:val="auto"/>
              </w:rPr>
            </w:pPr>
            <w:proofErr w:type="gramStart"/>
            <w:r w:rsidRPr="0046648C">
              <w:rPr>
                <w:color w:val="auto"/>
              </w:rPr>
              <w:t>new</w:t>
            </w:r>
            <w:proofErr w:type="gramEnd"/>
            <w:r w:rsidRPr="0046648C">
              <w:rPr>
                <w:color w:val="auto"/>
              </w:rPr>
              <w:t xml:space="preserve"> incentives for doctors and nurse practitioners to live and work in regional, rural and remote locations through student debt relief.</w:t>
            </w:r>
            <w:r>
              <w:rPr>
                <w:rStyle w:val="FootnoteReference"/>
                <w:color w:val="auto"/>
              </w:rPr>
              <w:footnoteReference w:id="27"/>
            </w:r>
          </w:p>
          <w:p w14:paraId="2E472E49" w14:textId="6BC215EC" w:rsidR="00347697" w:rsidRPr="0046648C" w:rsidRDefault="00AD3874" w:rsidP="00AD3874">
            <w:pPr>
              <w:pStyle w:val="Tabletextnormal9pt"/>
              <w:numPr>
                <w:ilvl w:val="0"/>
                <w:numId w:val="1"/>
              </w:numPr>
              <w:ind w:left="284" w:hanging="284"/>
              <w:rPr>
                <w:color w:val="auto"/>
              </w:rPr>
            </w:pPr>
            <w:r w:rsidRPr="0046648C">
              <w:rPr>
                <w:color w:val="auto"/>
              </w:rPr>
              <w:t>S</w:t>
            </w:r>
            <w:r w:rsidR="00347697" w:rsidRPr="0046648C">
              <w:rPr>
                <w:color w:val="auto"/>
              </w:rPr>
              <w:t>trengthen</w:t>
            </w:r>
            <w:r w:rsidRPr="0046648C">
              <w:rPr>
                <w:color w:val="auto"/>
              </w:rPr>
              <w:t>ing</w:t>
            </w:r>
            <w:r w:rsidR="00347697" w:rsidRPr="0046648C">
              <w:rPr>
                <w:color w:val="auto"/>
              </w:rPr>
              <w:t xml:space="preserve"> the outcomes of the Government’s significant investment in the health workforce, and address</w:t>
            </w:r>
            <w:r w:rsidRPr="0046648C">
              <w:rPr>
                <w:color w:val="auto"/>
              </w:rPr>
              <w:t>ing</w:t>
            </w:r>
            <w:r w:rsidR="00347697" w:rsidRPr="0046648C">
              <w:rPr>
                <w:color w:val="auto"/>
              </w:rPr>
              <w:t xml:space="preserve"> immediate access issues</w:t>
            </w:r>
            <w:r w:rsidRPr="0046648C">
              <w:rPr>
                <w:color w:val="auto"/>
              </w:rPr>
              <w:t>,</w:t>
            </w:r>
            <w:r w:rsidR="00347697" w:rsidRPr="0046648C">
              <w:rPr>
                <w:color w:val="auto"/>
              </w:rPr>
              <w:t xml:space="preserve"> particularly in rural and remote areas</w:t>
            </w:r>
            <w:r w:rsidR="00963135">
              <w:rPr>
                <w:color w:val="auto"/>
              </w:rPr>
              <w:t>,</w:t>
            </w:r>
            <w:r w:rsidR="00347697" w:rsidRPr="0046648C">
              <w:rPr>
                <w:color w:val="auto"/>
              </w:rPr>
              <w:t xml:space="preserve"> through key measures announced in the 2022</w:t>
            </w:r>
            <w:r w:rsidR="003C1BB8" w:rsidRPr="0046648C">
              <w:rPr>
                <w:color w:val="auto"/>
              </w:rPr>
              <w:t>–</w:t>
            </w:r>
            <w:r w:rsidR="00347697" w:rsidRPr="0046648C">
              <w:rPr>
                <w:color w:val="auto"/>
              </w:rPr>
              <w:t>23 Budget</w:t>
            </w:r>
            <w:r w:rsidR="0046648C" w:rsidRPr="0046648C">
              <w:rPr>
                <w:color w:val="auto"/>
              </w:rPr>
              <w:t>, including</w:t>
            </w:r>
            <w:r w:rsidR="0046648C">
              <w:rPr>
                <w:rStyle w:val="FootnoteReference"/>
                <w:color w:val="auto"/>
              </w:rPr>
              <w:footnoteReference w:id="28"/>
            </w:r>
            <w:r w:rsidR="0046648C" w:rsidRPr="0046648C">
              <w:rPr>
                <w:color w:val="auto"/>
              </w:rPr>
              <w:t>:</w:t>
            </w:r>
          </w:p>
          <w:p w14:paraId="76059004" w14:textId="65EE3CEF" w:rsidR="0046648C" w:rsidRDefault="0046648C" w:rsidP="00347697">
            <w:pPr>
              <w:pStyle w:val="Tabletextnormal9pt"/>
              <w:numPr>
                <w:ilvl w:val="0"/>
                <w:numId w:val="2"/>
              </w:numPr>
              <w:ind w:left="567" w:hanging="284"/>
              <w:rPr>
                <w:color w:val="auto"/>
              </w:rPr>
            </w:pPr>
            <w:proofErr w:type="gramStart"/>
            <w:r>
              <w:rPr>
                <w:color w:val="auto"/>
              </w:rPr>
              <w:t>a</w:t>
            </w:r>
            <w:proofErr w:type="gramEnd"/>
            <w:r>
              <w:rPr>
                <w:color w:val="auto"/>
              </w:rPr>
              <w:t xml:space="preserve"> significant investment in regional and rural medical, nursing and allied health student training, building on service learning capacity for health students. This will also support key government priorities to increase the aged care workforce and assist in closing the gap in Aboriginal and Torres Strait Islander Health outcomes</w:t>
            </w:r>
          </w:p>
          <w:p w14:paraId="44229049" w14:textId="0E391E5B" w:rsidR="0046648C" w:rsidRPr="00297974" w:rsidRDefault="0046648C" w:rsidP="0046648C">
            <w:pPr>
              <w:pStyle w:val="Tabletextnormal9pt"/>
              <w:numPr>
                <w:ilvl w:val="0"/>
                <w:numId w:val="2"/>
              </w:numPr>
              <w:ind w:left="567" w:hanging="284"/>
              <w:rPr>
                <w:color w:val="auto"/>
              </w:rPr>
            </w:pPr>
            <w:proofErr w:type="gramStart"/>
            <w:r>
              <w:rPr>
                <w:color w:val="auto"/>
              </w:rPr>
              <w:t>providing</w:t>
            </w:r>
            <w:proofErr w:type="gramEnd"/>
            <w:r>
              <w:rPr>
                <w:color w:val="auto"/>
              </w:rPr>
              <w:t xml:space="preserve"> outreach support by building on the Government’s existing investment in primary aeromedical evacuations.</w:t>
            </w:r>
          </w:p>
        </w:tc>
      </w:tr>
      <w:tr w:rsidR="00685583" w:rsidRPr="00685583" w14:paraId="0B97DF93" w14:textId="77777777" w:rsidTr="0098262C">
        <w:trPr>
          <w:jc w:val="center"/>
        </w:trPr>
        <w:tc>
          <w:tcPr>
            <w:tcW w:w="7677" w:type="dxa"/>
            <w:gridSpan w:val="10"/>
            <w:shd w:val="clear" w:color="auto" w:fill="D9D9D9" w:themeFill="background1" w:themeFillShade="D9"/>
          </w:tcPr>
          <w:p w14:paraId="6D1CF961" w14:textId="544EBD20" w:rsidR="00DC5575" w:rsidRPr="00685583" w:rsidRDefault="00D26B6C" w:rsidP="00F00F4A">
            <w:pPr>
              <w:pStyle w:val="Tableheadingrow9pt"/>
              <w:keepNext/>
              <w:keepLines/>
              <w:pageBreakBefore/>
              <w:rPr>
                <w:color w:val="auto"/>
              </w:rPr>
            </w:pPr>
            <w:r w:rsidRPr="00685583">
              <w:rPr>
                <w:color w:val="auto"/>
              </w:rPr>
              <w:lastRenderedPageBreak/>
              <w:t xml:space="preserve">Performance </w:t>
            </w:r>
            <w:r w:rsidR="000F7A14" w:rsidRPr="00685583">
              <w:rPr>
                <w:color w:val="auto"/>
              </w:rPr>
              <w:t>Measures</w:t>
            </w:r>
          </w:p>
        </w:tc>
      </w:tr>
      <w:tr w:rsidR="00685583" w:rsidRPr="00685583" w14:paraId="3127F9B6" w14:textId="77777777" w:rsidTr="0098262C">
        <w:trPr>
          <w:jc w:val="center"/>
        </w:trPr>
        <w:tc>
          <w:tcPr>
            <w:tcW w:w="7677" w:type="dxa"/>
            <w:gridSpan w:val="10"/>
            <w:shd w:val="clear" w:color="auto" w:fill="D9D9D9" w:themeFill="background1" w:themeFillShade="D9"/>
          </w:tcPr>
          <w:p w14:paraId="5C68BC14" w14:textId="7EB4FD01" w:rsidR="00C05E3A" w:rsidRPr="00685583" w:rsidRDefault="00C05E3A" w:rsidP="00C05E3A">
            <w:pPr>
              <w:rPr>
                <w:b/>
                <w:bCs/>
                <w:color w:val="auto"/>
                <w:sz w:val="17"/>
                <w:szCs w:val="17"/>
              </w:rPr>
            </w:pPr>
            <w:r w:rsidRPr="00685583">
              <w:rPr>
                <w:b/>
                <w:bCs/>
                <w:color w:val="auto"/>
                <w:sz w:val="17"/>
                <w:szCs w:val="17"/>
              </w:rPr>
              <w:t xml:space="preserve">Effective investment in workforce programs will improve </w:t>
            </w:r>
            <w:r w:rsidR="00A81D48" w:rsidRPr="00685583">
              <w:rPr>
                <w:b/>
                <w:bCs/>
                <w:color w:val="auto"/>
                <w:sz w:val="17"/>
                <w:szCs w:val="17"/>
              </w:rPr>
              <w:t xml:space="preserve">health workforce </w:t>
            </w:r>
            <w:r w:rsidRPr="00685583">
              <w:rPr>
                <w:b/>
                <w:bCs/>
                <w:color w:val="auto"/>
                <w:sz w:val="17"/>
                <w:szCs w:val="17"/>
              </w:rPr>
              <w:t xml:space="preserve">distribution </w:t>
            </w:r>
            <w:r w:rsidR="00A81D48" w:rsidRPr="00685583">
              <w:rPr>
                <w:b/>
                <w:bCs/>
                <w:color w:val="auto"/>
                <w:sz w:val="17"/>
                <w:szCs w:val="17"/>
              </w:rPr>
              <w:t xml:space="preserve">in </w:t>
            </w:r>
            <w:r w:rsidRPr="00685583">
              <w:rPr>
                <w:b/>
                <w:bCs/>
                <w:color w:val="auto"/>
                <w:sz w:val="17"/>
                <w:szCs w:val="17"/>
              </w:rPr>
              <w:t>Australia</w:t>
            </w:r>
            <w:r w:rsidR="0098262C" w:rsidRPr="00685583">
              <w:rPr>
                <w:b/>
                <w:bCs/>
                <w:color w:val="auto"/>
                <w:sz w:val="17"/>
                <w:szCs w:val="17"/>
              </w:rPr>
              <w:t>.</w:t>
            </w:r>
          </w:p>
          <w:p w14:paraId="39043584" w14:textId="0811AFCA" w:rsidR="00C05E3A" w:rsidRPr="00685583" w:rsidRDefault="00C05E3A" w:rsidP="00093AD3">
            <w:pPr>
              <w:numPr>
                <w:ilvl w:val="0"/>
                <w:numId w:val="7"/>
              </w:numPr>
              <w:ind w:left="284" w:hanging="284"/>
              <w:rPr>
                <w:b/>
                <w:bCs/>
                <w:color w:val="auto"/>
                <w:sz w:val="17"/>
                <w:szCs w:val="17"/>
              </w:rPr>
            </w:pPr>
            <w:r w:rsidRPr="00685583">
              <w:rPr>
                <w:b/>
                <w:bCs/>
                <w:color w:val="auto"/>
                <w:sz w:val="17"/>
                <w:szCs w:val="17"/>
              </w:rPr>
              <w:t>Full time equivalent (FTE) vocationally registered Primary Care General Practitioners (GPs) per 100,000 population.</w:t>
            </w:r>
            <w:r w:rsidR="00C57D45" w:rsidRPr="00685583">
              <w:rPr>
                <w:rStyle w:val="FootnoteReference"/>
                <w:b/>
                <w:bCs/>
                <w:color w:val="auto"/>
                <w:sz w:val="17"/>
                <w:szCs w:val="17"/>
              </w:rPr>
              <w:footnoteReference w:id="29"/>
            </w:r>
          </w:p>
          <w:p w14:paraId="7185D228" w14:textId="35CA349F" w:rsidR="00C05E3A" w:rsidRPr="00685583" w:rsidRDefault="00C05E3A" w:rsidP="00093AD3">
            <w:pPr>
              <w:numPr>
                <w:ilvl w:val="0"/>
                <w:numId w:val="7"/>
              </w:numPr>
              <w:ind w:left="284" w:hanging="284"/>
              <w:rPr>
                <w:b/>
                <w:bCs/>
                <w:color w:val="auto"/>
                <w:sz w:val="17"/>
                <w:szCs w:val="17"/>
              </w:rPr>
            </w:pPr>
            <w:r w:rsidRPr="00685583">
              <w:rPr>
                <w:b/>
                <w:bCs/>
                <w:color w:val="auto"/>
                <w:sz w:val="17"/>
                <w:szCs w:val="17"/>
              </w:rPr>
              <w:t>FTE non-vocationally registered primary care GPs per 100,000 population.</w:t>
            </w:r>
            <w:r w:rsidR="00C57D45" w:rsidRPr="00685583">
              <w:rPr>
                <w:rStyle w:val="FootnoteReference"/>
                <w:b/>
                <w:bCs/>
                <w:color w:val="auto"/>
                <w:sz w:val="17"/>
                <w:szCs w:val="17"/>
              </w:rPr>
              <w:footnoteReference w:id="30"/>
            </w:r>
          </w:p>
          <w:p w14:paraId="35DC3421" w14:textId="295183F7" w:rsidR="00C05E3A" w:rsidRPr="00685583" w:rsidRDefault="00C05E3A" w:rsidP="00093AD3">
            <w:pPr>
              <w:numPr>
                <w:ilvl w:val="0"/>
                <w:numId w:val="7"/>
              </w:numPr>
              <w:ind w:left="284" w:hanging="284"/>
              <w:rPr>
                <w:b/>
                <w:bCs/>
                <w:color w:val="auto"/>
                <w:sz w:val="17"/>
                <w:szCs w:val="17"/>
              </w:rPr>
            </w:pPr>
            <w:r w:rsidRPr="00685583">
              <w:rPr>
                <w:b/>
                <w:bCs/>
                <w:color w:val="auto"/>
                <w:sz w:val="17"/>
                <w:szCs w:val="17"/>
              </w:rPr>
              <w:t>FTE non-general practice medical specialists per 100,000 population.</w:t>
            </w:r>
            <w:r w:rsidR="00C57D45" w:rsidRPr="00685583">
              <w:rPr>
                <w:rStyle w:val="FootnoteReference"/>
                <w:b/>
                <w:bCs/>
                <w:color w:val="auto"/>
                <w:sz w:val="17"/>
                <w:szCs w:val="17"/>
              </w:rPr>
              <w:footnoteReference w:id="31"/>
            </w:r>
          </w:p>
          <w:p w14:paraId="5BC8A988" w14:textId="3BF2D405" w:rsidR="00C05E3A" w:rsidRPr="001D79C1" w:rsidRDefault="00C05E3A" w:rsidP="00093AD3">
            <w:pPr>
              <w:numPr>
                <w:ilvl w:val="0"/>
                <w:numId w:val="7"/>
              </w:numPr>
              <w:ind w:left="284" w:hanging="284"/>
              <w:rPr>
                <w:b/>
                <w:bCs/>
                <w:color w:val="auto"/>
                <w:sz w:val="17"/>
                <w:szCs w:val="17"/>
              </w:rPr>
            </w:pPr>
            <w:r w:rsidRPr="00685583">
              <w:rPr>
                <w:b/>
                <w:bCs/>
                <w:color w:val="auto"/>
                <w:sz w:val="17"/>
                <w:szCs w:val="17"/>
              </w:rPr>
              <w:t xml:space="preserve">FTE primary and community nurses per 100,000 </w:t>
            </w:r>
            <w:r w:rsidRPr="001D79C1">
              <w:rPr>
                <w:b/>
                <w:bCs/>
                <w:color w:val="auto"/>
                <w:sz w:val="17"/>
                <w:szCs w:val="17"/>
              </w:rPr>
              <w:t>population.</w:t>
            </w:r>
            <w:r w:rsidR="001D79C1" w:rsidRPr="001D79C1">
              <w:rPr>
                <w:rStyle w:val="FootnoteReference"/>
                <w:b/>
                <w:bCs/>
                <w:color w:val="auto"/>
                <w:sz w:val="17"/>
                <w:szCs w:val="17"/>
              </w:rPr>
              <w:footnoteReference w:id="32"/>
            </w:r>
          </w:p>
          <w:p w14:paraId="3C1CB48D" w14:textId="3D3548B0" w:rsidR="00C05E3A" w:rsidRPr="00685583" w:rsidRDefault="00C05E3A" w:rsidP="00093AD3">
            <w:pPr>
              <w:numPr>
                <w:ilvl w:val="0"/>
                <w:numId w:val="7"/>
              </w:numPr>
              <w:ind w:left="284" w:hanging="284"/>
              <w:rPr>
                <w:b/>
                <w:bCs/>
                <w:color w:val="auto"/>
                <w:sz w:val="17"/>
                <w:szCs w:val="17"/>
              </w:rPr>
            </w:pPr>
            <w:r w:rsidRPr="00685583">
              <w:rPr>
                <w:b/>
                <w:bCs/>
                <w:color w:val="auto"/>
                <w:sz w:val="17"/>
                <w:szCs w:val="17"/>
              </w:rPr>
              <w:t>FTE primary and community allied health practitioners per 100,000 population.</w:t>
            </w:r>
            <w:r w:rsidR="00C57D45" w:rsidRPr="00685583">
              <w:rPr>
                <w:rStyle w:val="FootnoteReference"/>
                <w:b/>
                <w:bCs/>
                <w:color w:val="auto"/>
                <w:sz w:val="17"/>
                <w:szCs w:val="17"/>
              </w:rPr>
              <w:footnoteReference w:id="33"/>
            </w:r>
          </w:p>
          <w:p w14:paraId="34475F83" w14:textId="5F0C69D1" w:rsidR="005458F8" w:rsidRPr="00C56CE1" w:rsidRDefault="00C05E3A" w:rsidP="005458F8">
            <w:pPr>
              <w:numPr>
                <w:ilvl w:val="0"/>
                <w:numId w:val="7"/>
              </w:numPr>
              <w:ind w:left="284" w:hanging="284"/>
              <w:rPr>
                <w:b/>
                <w:bCs/>
                <w:color w:val="auto"/>
                <w:sz w:val="17"/>
                <w:szCs w:val="17"/>
              </w:rPr>
            </w:pPr>
            <w:r w:rsidRPr="00685583">
              <w:rPr>
                <w:b/>
                <w:bCs/>
                <w:color w:val="auto"/>
                <w:sz w:val="17"/>
                <w:szCs w:val="17"/>
              </w:rPr>
              <w:t>Proportion</w:t>
            </w:r>
            <w:r w:rsidRPr="00685583">
              <w:rPr>
                <w:b/>
                <w:color w:val="auto"/>
                <w:sz w:val="17"/>
                <w:szCs w:val="17"/>
              </w:rPr>
              <w:t xml:space="preserve"> of GP training</w:t>
            </w:r>
            <w:r w:rsidRPr="00685583">
              <w:rPr>
                <w:b/>
                <w:color w:val="auto"/>
                <w:sz w:val="17"/>
                <w:szCs w:val="17"/>
                <w:vertAlign w:val="superscript"/>
              </w:rPr>
              <w:t xml:space="preserve"> </w:t>
            </w:r>
            <w:r w:rsidRPr="00685583">
              <w:rPr>
                <w:b/>
                <w:color w:val="auto"/>
                <w:sz w:val="17"/>
                <w:szCs w:val="17"/>
              </w:rPr>
              <w:t>undertaken in areas outside major cities.</w:t>
            </w:r>
            <w:r w:rsidR="00C57D45" w:rsidRPr="00685583">
              <w:rPr>
                <w:rStyle w:val="FootnoteReference"/>
                <w:b/>
                <w:color w:val="auto"/>
                <w:sz w:val="17"/>
                <w:szCs w:val="17"/>
              </w:rPr>
              <w:footnoteReference w:id="34"/>
            </w:r>
          </w:p>
        </w:tc>
      </w:tr>
      <w:tr w:rsidR="00CC420F" w:rsidRPr="00685583" w14:paraId="047EF743" w14:textId="77777777" w:rsidTr="00946FE8">
        <w:trPr>
          <w:jc w:val="center"/>
        </w:trPr>
        <w:tc>
          <w:tcPr>
            <w:tcW w:w="1696" w:type="dxa"/>
            <w:gridSpan w:val="2"/>
            <w:shd w:val="clear" w:color="auto" w:fill="auto"/>
          </w:tcPr>
          <w:p w14:paraId="65A37BC7" w14:textId="40D779AC" w:rsidR="00CC420F" w:rsidRPr="00685583" w:rsidRDefault="00CC420F" w:rsidP="00CC420F">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B01F1">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418" w:type="dxa"/>
            <w:gridSpan w:val="2"/>
            <w:shd w:val="clear" w:color="auto" w:fill="auto"/>
          </w:tcPr>
          <w:p w14:paraId="4BD07821" w14:textId="3ED4C478" w:rsidR="00CC420F" w:rsidRPr="00685583" w:rsidRDefault="00CC420F" w:rsidP="00CC420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B01F1">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59" w:type="dxa"/>
            <w:gridSpan w:val="2"/>
            <w:shd w:val="clear" w:color="auto" w:fill="auto"/>
          </w:tcPr>
          <w:p w14:paraId="179D66FA" w14:textId="1F8FD1D4"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B01F1">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59" w:type="dxa"/>
            <w:gridSpan w:val="2"/>
            <w:shd w:val="clear" w:color="auto" w:fill="auto"/>
          </w:tcPr>
          <w:p w14:paraId="0C844842" w14:textId="51C7DF82"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B01F1">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445" w:type="dxa"/>
            <w:gridSpan w:val="2"/>
            <w:shd w:val="clear" w:color="auto" w:fill="auto"/>
          </w:tcPr>
          <w:p w14:paraId="49D4D1BC" w14:textId="3766688C"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B01F1">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169D98DD" w14:textId="77777777" w:rsidTr="00946FE8">
        <w:trPr>
          <w:trHeight w:val="37"/>
          <w:jc w:val="center"/>
        </w:trPr>
        <w:tc>
          <w:tcPr>
            <w:tcW w:w="846" w:type="dxa"/>
            <w:shd w:val="clear" w:color="auto" w:fill="auto"/>
          </w:tcPr>
          <w:p w14:paraId="15E07047" w14:textId="71E4669C" w:rsidR="00E13BD5" w:rsidRPr="00685583" w:rsidRDefault="00E13BD5" w:rsidP="00B649A3">
            <w:pPr>
              <w:pStyle w:val="Tableheadingrow9pt"/>
              <w:jc w:val="center"/>
              <w:rPr>
                <w:color w:val="auto"/>
                <w:sz w:val="16"/>
                <w:szCs w:val="16"/>
              </w:rPr>
            </w:pPr>
            <w:r w:rsidRPr="00685583">
              <w:rPr>
                <w:bCs/>
                <w:color w:val="auto"/>
                <w:sz w:val="16"/>
                <w:szCs w:val="16"/>
              </w:rPr>
              <w:t>MM1</w:t>
            </w:r>
            <w:r w:rsidR="00E97727" w:rsidRPr="00685583">
              <w:rPr>
                <w:rStyle w:val="FootnoteReference"/>
                <w:bCs/>
                <w:color w:val="auto"/>
                <w:sz w:val="16"/>
                <w:szCs w:val="16"/>
              </w:rPr>
              <w:footnoteReference w:id="35"/>
            </w:r>
          </w:p>
        </w:tc>
        <w:tc>
          <w:tcPr>
            <w:tcW w:w="850" w:type="dxa"/>
            <w:shd w:val="clear" w:color="auto" w:fill="auto"/>
          </w:tcPr>
          <w:p w14:paraId="5E400A57" w14:textId="62415C5D" w:rsidR="00E13BD5" w:rsidRPr="00685583" w:rsidRDefault="00E13BD5" w:rsidP="00B649A3">
            <w:pPr>
              <w:pStyle w:val="Tableheadingrow9pt"/>
              <w:jc w:val="center"/>
              <w:rPr>
                <w:color w:val="auto"/>
                <w:sz w:val="16"/>
                <w:szCs w:val="16"/>
              </w:rPr>
            </w:pPr>
            <w:r w:rsidRPr="00685583">
              <w:rPr>
                <w:bCs/>
                <w:color w:val="auto"/>
                <w:sz w:val="16"/>
                <w:szCs w:val="16"/>
              </w:rPr>
              <w:t>MM2-7</w:t>
            </w:r>
          </w:p>
        </w:tc>
        <w:tc>
          <w:tcPr>
            <w:tcW w:w="687" w:type="dxa"/>
            <w:shd w:val="clear" w:color="auto" w:fill="auto"/>
          </w:tcPr>
          <w:p w14:paraId="59D98E6F" w14:textId="2C384270" w:rsidR="00E13BD5" w:rsidRPr="00685583" w:rsidRDefault="00E13BD5" w:rsidP="00B649A3">
            <w:pPr>
              <w:pStyle w:val="Tableheadingrow9pt"/>
              <w:jc w:val="center"/>
              <w:rPr>
                <w:color w:val="auto"/>
                <w:sz w:val="16"/>
                <w:szCs w:val="16"/>
              </w:rPr>
            </w:pPr>
            <w:r w:rsidRPr="00685583">
              <w:rPr>
                <w:bCs/>
                <w:color w:val="auto"/>
                <w:sz w:val="16"/>
                <w:szCs w:val="16"/>
              </w:rPr>
              <w:t>MM1</w:t>
            </w:r>
          </w:p>
        </w:tc>
        <w:tc>
          <w:tcPr>
            <w:tcW w:w="731" w:type="dxa"/>
            <w:shd w:val="clear" w:color="auto" w:fill="auto"/>
          </w:tcPr>
          <w:p w14:paraId="0A3A2892" w14:textId="008158FF" w:rsidR="00E13BD5" w:rsidRPr="00685583" w:rsidRDefault="00E13BD5" w:rsidP="00B649A3">
            <w:pPr>
              <w:pStyle w:val="Tableheadingrow9pt"/>
              <w:jc w:val="center"/>
              <w:rPr>
                <w:color w:val="auto"/>
                <w:sz w:val="16"/>
                <w:szCs w:val="16"/>
              </w:rPr>
            </w:pPr>
            <w:r w:rsidRPr="00685583">
              <w:rPr>
                <w:bCs/>
                <w:color w:val="auto"/>
                <w:sz w:val="16"/>
                <w:szCs w:val="16"/>
              </w:rPr>
              <w:t>MM2-7</w:t>
            </w:r>
          </w:p>
        </w:tc>
        <w:tc>
          <w:tcPr>
            <w:tcW w:w="709" w:type="dxa"/>
            <w:shd w:val="clear" w:color="auto" w:fill="auto"/>
          </w:tcPr>
          <w:p w14:paraId="74332042" w14:textId="654D81C3" w:rsidR="00E13BD5" w:rsidRPr="00685583" w:rsidRDefault="00E13BD5" w:rsidP="00B649A3">
            <w:pPr>
              <w:pStyle w:val="Tableheadingrow9pt"/>
              <w:jc w:val="center"/>
              <w:rPr>
                <w:color w:val="auto"/>
                <w:sz w:val="16"/>
                <w:szCs w:val="16"/>
              </w:rPr>
            </w:pPr>
            <w:r w:rsidRPr="00685583">
              <w:rPr>
                <w:bCs/>
                <w:color w:val="auto"/>
                <w:sz w:val="16"/>
                <w:szCs w:val="16"/>
              </w:rPr>
              <w:t>MM1</w:t>
            </w:r>
          </w:p>
        </w:tc>
        <w:tc>
          <w:tcPr>
            <w:tcW w:w="850" w:type="dxa"/>
            <w:shd w:val="clear" w:color="auto" w:fill="auto"/>
          </w:tcPr>
          <w:p w14:paraId="68697F28" w14:textId="7D3FCFC0" w:rsidR="00E13BD5" w:rsidRPr="00685583" w:rsidRDefault="00E13BD5" w:rsidP="00B649A3">
            <w:pPr>
              <w:pStyle w:val="Tableheadingrow9pt"/>
              <w:jc w:val="center"/>
              <w:rPr>
                <w:color w:val="auto"/>
                <w:sz w:val="16"/>
                <w:szCs w:val="16"/>
              </w:rPr>
            </w:pPr>
            <w:r w:rsidRPr="00685583">
              <w:rPr>
                <w:bCs/>
                <w:color w:val="auto"/>
                <w:sz w:val="16"/>
                <w:szCs w:val="16"/>
              </w:rPr>
              <w:t>MM2-7</w:t>
            </w:r>
          </w:p>
        </w:tc>
        <w:tc>
          <w:tcPr>
            <w:tcW w:w="709" w:type="dxa"/>
            <w:shd w:val="clear" w:color="auto" w:fill="auto"/>
          </w:tcPr>
          <w:p w14:paraId="3240130C" w14:textId="774CE3B7" w:rsidR="00E13BD5" w:rsidRPr="00685583" w:rsidRDefault="00E13BD5" w:rsidP="00B649A3">
            <w:pPr>
              <w:pStyle w:val="Tableheadingrow9pt"/>
              <w:jc w:val="center"/>
              <w:rPr>
                <w:color w:val="auto"/>
                <w:sz w:val="16"/>
                <w:szCs w:val="16"/>
              </w:rPr>
            </w:pPr>
            <w:r w:rsidRPr="00685583">
              <w:rPr>
                <w:bCs/>
                <w:color w:val="auto"/>
                <w:sz w:val="16"/>
                <w:szCs w:val="16"/>
              </w:rPr>
              <w:t>MM1</w:t>
            </w:r>
          </w:p>
        </w:tc>
        <w:tc>
          <w:tcPr>
            <w:tcW w:w="850" w:type="dxa"/>
            <w:shd w:val="clear" w:color="auto" w:fill="auto"/>
          </w:tcPr>
          <w:p w14:paraId="5F279451" w14:textId="141203E5" w:rsidR="00E13BD5" w:rsidRPr="00685583" w:rsidRDefault="00E13BD5" w:rsidP="00B649A3">
            <w:pPr>
              <w:pStyle w:val="Tableheadingrow9pt"/>
              <w:jc w:val="center"/>
              <w:rPr>
                <w:color w:val="auto"/>
                <w:sz w:val="16"/>
                <w:szCs w:val="16"/>
              </w:rPr>
            </w:pPr>
            <w:r w:rsidRPr="00685583">
              <w:rPr>
                <w:bCs/>
                <w:color w:val="auto"/>
                <w:sz w:val="16"/>
                <w:szCs w:val="16"/>
              </w:rPr>
              <w:t>MM2-7</w:t>
            </w:r>
          </w:p>
        </w:tc>
        <w:tc>
          <w:tcPr>
            <w:tcW w:w="709" w:type="dxa"/>
            <w:shd w:val="clear" w:color="auto" w:fill="auto"/>
          </w:tcPr>
          <w:p w14:paraId="0C71C2EB" w14:textId="37E3803D" w:rsidR="00E13BD5" w:rsidRPr="00685583" w:rsidRDefault="00E13BD5" w:rsidP="00B649A3">
            <w:pPr>
              <w:pStyle w:val="Tableheadingrow9pt"/>
              <w:jc w:val="center"/>
              <w:rPr>
                <w:color w:val="auto"/>
                <w:sz w:val="16"/>
                <w:szCs w:val="16"/>
              </w:rPr>
            </w:pPr>
            <w:r w:rsidRPr="00685583">
              <w:rPr>
                <w:bCs/>
                <w:color w:val="auto"/>
                <w:sz w:val="16"/>
                <w:szCs w:val="16"/>
              </w:rPr>
              <w:t>MM1</w:t>
            </w:r>
          </w:p>
        </w:tc>
        <w:tc>
          <w:tcPr>
            <w:tcW w:w="736" w:type="dxa"/>
            <w:shd w:val="clear" w:color="auto" w:fill="auto"/>
          </w:tcPr>
          <w:p w14:paraId="034F5C89" w14:textId="6809AF9A" w:rsidR="00E13BD5" w:rsidRPr="00685583" w:rsidRDefault="00E13BD5" w:rsidP="00B649A3">
            <w:pPr>
              <w:pStyle w:val="Tableheadingrow9pt"/>
              <w:jc w:val="center"/>
              <w:rPr>
                <w:color w:val="auto"/>
                <w:sz w:val="16"/>
                <w:szCs w:val="16"/>
              </w:rPr>
            </w:pPr>
            <w:r w:rsidRPr="00685583">
              <w:rPr>
                <w:bCs/>
                <w:color w:val="auto"/>
                <w:sz w:val="16"/>
                <w:szCs w:val="16"/>
              </w:rPr>
              <w:t>MM2-7</w:t>
            </w:r>
          </w:p>
        </w:tc>
      </w:tr>
      <w:tr w:rsidR="00DC5575" w:rsidRPr="00685583" w14:paraId="5E7F864D" w14:textId="77777777" w:rsidTr="00946FE8">
        <w:trPr>
          <w:trHeight w:val="37"/>
          <w:jc w:val="center"/>
        </w:trPr>
        <w:tc>
          <w:tcPr>
            <w:tcW w:w="846" w:type="dxa"/>
            <w:shd w:val="clear" w:color="auto" w:fill="auto"/>
          </w:tcPr>
          <w:p w14:paraId="1621087A" w14:textId="6517ADD2" w:rsidR="00DC5575" w:rsidRPr="00685583" w:rsidRDefault="00DC5575" w:rsidP="00DC5575">
            <w:pPr>
              <w:pStyle w:val="Tableheadingrow9pt"/>
              <w:rPr>
                <w:bCs/>
                <w:color w:val="auto"/>
                <w:sz w:val="17"/>
                <w:szCs w:val="17"/>
              </w:rPr>
            </w:pPr>
            <w:r w:rsidRPr="00685583">
              <w:rPr>
                <w:b w:val="0"/>
                <w:color w:val="auto"/>
                <w:sz w:val="17"/>
                <w:szCs w:val="17"/>
              </w:rPr>
              <w:t>a. 115.6</w:t>
            </w:r>
          </w:p>
        </w:tc>
        <w:tc>
          <w:tcPr>
            <w:tcW w:w="850" w:type="dxa"/>
            <w:shd w:val="clear" w:color="auto" w:fill="auto"/>
          </w:tcPr>
          <w:p w14:paraId="0C4EF914" w14:textId="37875C93" w:rsidR="00DC5575" w:rsidRPr="00685583" w:rsidRDefault="00DC5575" w:rsidP="00DC5575">
            <w:pPr>
              <w:pStyle w:val="Tableheadingrow9pt"/>
              <w:jc w:val="right"/>
              <w:rPr>
                <w:bCs/>
                <w:color w:val="auto"/>
                <w:sz w:val="17"/>
                <w:szCs w:val="17"/>
              </w:rPr>
            </w:pPr>
            <w:r w:rsidRPr="00685583">
              <w:rPr>
                <w:b w:val="0"/>
                <w:color w:val="auto"/>
                <w:sz w:val="17"/>
                <w:szCs w:val="17"/>
              </w:rPr>
              <w:t>98.6</w:t>
            </w:r>
          </w:p>
        </w:tc>
        <w:tc>
          <w:tcPr>
            <w:tcW w:w="687" w:type="dxa"/>
            <w:shd w:val="clear" w:color="auto" w:fill="auto"/>
          </w:tcPr>
          <w:p w14:paraId="4CB6360D" w14:textId="42C76B6F" w:rsidR="00DC5575" w:rsidRPr="00685583" w:rsidRDefault="00DC5575" w:rsidP="00F1064D">
            <w:pPr>
              <w:pStyle w:val="Tableheadingrow9pt"/>
              <w:jc w:val="right"/>
              <w:rPr>
                <w:b w:val="0"/>
                <w:bCs/>
                <w:color w:val="auto"/>
                <w:sz w:val="17"/>
                <w:szCs w:val="17"/>
              </w:rPr>
            </w:pPr>
            <w:r w:rsidRPr="00685583">
              <w:rPr>
                <w:b w:val="0"/>
                <w:color w:val="auto"/>
                <w:sz w:val="17"/>
                <w:szCs w:val="17"/>
              </w:rPr>
              <w:t>117.9</w:t>
            </w:r>
          </w:p>
        </w:tc>
        <w:tc>
          <w:tcPr>
            <w:tcW w:w="731" w:type="dxa"/>
            <w:shd w:val="clear" w:color="auto" w:fill="auto"/>
          </w:tcPr>
          <w:p w14:paraId="05447CFF" w14:textId="2354DA77" w:rsidR="00DC5575" w:rsidRPr="00685583" w:rsidRDefault="00DC5575" w:rsidP="00DC5575">
            <w:pPr>
              <w:pStyle w:val="Tableheadingrow9pt"/>
              <w:jc w:val="right"/>
              <w:rPr>
                <w:b w:val="0"/>
                <w:bCs/>
                <w:color w:val="auto"/>
                <w:sz w:val="17"/>
                <w:szCs w:val="17"/>
              </w:rPr>
            </w:pPr>
            <w:r w:rsidRPr="00685583">
              <w:rPr>
                <w:b w:val="0"/>
                <w:color w:val="auto"/>
                <w:sz w:val="17"/>
                <w:szCs w:val="17"/>
              </w:rPr>
              <w:t>102.0</w:t>
            </w:r>
          </w:p>
        </w:tc>
        <w:tc>
          <w:tcPr>
            <w:tcW w:w="709" w:type="dxa"/>
            <w:shd w:val="clear" w:color="auto" w:fill="auto"/>
          </w:tcPr>
          <w:p w14:paraId="2F7C082C" w14:textId="0F4A5725" w:rsidR="00DC5575" w:rsidRPr="00685583" w:rsidRDefault="00BE027A" w:rsidP="00F1064D">
            <w:pPr>
              <w:pStyle w:val="Tableheadingrow9pt"/>
              <w:jc w:val="right"/>
              <w:rPr>
                <w:b w:val="0"/>
                <w:bCs/>
                <w:color w:val="auto"/>
                <w:sz w:val="17"/>
                <w:szCs w:val="17"/>
              </w:rPr>
            </w:pPr>
            <w:r>
              <w:rPr>
                <w:b w:val="0"/>
                <w:color w:val="auto"/>
                <w:sz w:val="17"/>
                <w:szCs w:val="17"/>
              </w:rPr>
              <w:t>111.1</w:t>
            </w:r>
          </w:p>
        </w:tc>
        <w:tc>
          <w:tcPr>
            <w:tcW w:w="850" w:type="dxa"/>
            <w:shd w:val="clear" w:color="auto" w:fill="auto"/>
          </w:tcPr>
          <w:p w14:paraId="4452490A" w14:textId="2DEA0D99" w:rsidR="00DC5575" w:rsidRPr="00685583" w:rsidRDefault="00BE027A" w:rsidP="00DC5575">
            <w:pPr>
              <w:pStyle w:val="Tableheadingrow9pt"/>
              <w:jc w:val="right"/>
              <w:rPr>
                <w:b w:val="0"/>
                <w:bCs/>
                <w:color w:val="auto"/>
                <w:sz w:val="17"/>
                <w:szCs w:val="17"/>
              </w:rPr>
            </w:pPr>
            <w:r>
              <w:rPr>
                <w:b w:val="0"/>
                <w:color w:val="auto"/>
                <w:sz w:val="17"/>
                <w:szCs w:val="17"/>
              </w:rPr>
              <w:t>101.3</w:t>
            </w:r>
          </w:p>
        </w:tc>
        <w:tc>
          <w:tcPr>
            <w:tcW w:w="709" w:type="dxa"/>
            <w:shd w:val="clear" w:color="auto" w:fill="auto"/>
          </w:tcPr>
          <w:p w14:paraId="23C8E24C" w14:textId="1A69D777" w:rsidR="00DC5575" w:rsidRPr="00685583" w:rsidRDefault="00BE027A" w:rsidP="00F1064D">
            <w:pPr>
              <w:pStyle w:val="Tableheadingrow9pt"/>
              <w:jc w:val="right"/>
              <w:rPr>
                <w:b w:val="0"/>
                <w:bCs/>
                <w:color w:val="auto"/>
                <w:sz w:val="17"/>
                <w:szCs w:val="17"/>
              </w:rPr>
            </w:pPr>
            <w:r>
              <w:rPr>
                <w:b w:val="0"/>
                <w:color w:val="auto"/>
                <w:sz w:val="17"/>
                <w:szCs w:val="17"/>
              </w:rPr>
              <w:t>111.9</w:t>
            </w:r>
          </w:p>
        </w:tc>
        <w:tc>
          <w:tcPr>
            <w:tcW w:w="850" w:type="dxa"/>
            <w:shd w:val="clear" w:color="auto" w:fill="auto"/>
          </w:tcPr>
          <w:p w14:paraId="6C9E3308" w14:textId="7B7CBA5C" w:rsidR="00DC5575" w:rsidRPr="00685583" w:rsidRDefault="00BE027A" w:rsidP="00DC5575">
            <w:pPr>
              <w:pStyle w:val="Tableheadingrow9pt"/>
              <w:jc w:val="right"/>
              <w:rPr>
                <w:b w:val="0"/>
                <w:bCs/>
                <w:color w:val="auto"/>
                <w:sz w:val="17"/>
                <w:szCs w:val="17"/>
              </w:rPr>
            </w:pPr>
            <w:r>
              <w:rPr>
                <w:b w:val="0"/>
                <w:color w:val="auto"/>
                <w:sz w:val="17"/>
                <w:szCs w:val="17"/>
              </w:rPr>
              <w:t>103.6</w:t>
            </w:r>
          </w:p>
        </w:tc>
        <w:tc>
          <w:tcPr>
            <w:tcW w:w="709" w:type="dxa"/>
            <w:shd w:val="clear" w:color="auto" w:fill="auto"/>
          </w:tcPr>
          <w:p w14:paraId="0C18A74E" w14:textId="5FC31268" w:rsidR="00DC5575" w:rsidRPr="00685583" w:rsidRDefault="00BE027A" w:rsidP="00F1064D">
            <w:pPr>
              <w:pStyle w:val="Tableheadingrow9pt"/>
              <w:jc w:val="right"/>
              <w:rPr>
                <w:b w:val="0"/>
                <w:bCs/>
                <w:color w:val="auto"/>
                <w:sz w:val="17"/>
                <w:szCs w:val="17"/>
              </w:rPr>
            </w:pPr>
            <w:r>
              <w:rPr>
                <w:b w:val="0"/>
                <w:color w:val="auto"/>
                <w:sz w:val="17"/>
                <w:szCs w:val="17"/>
              </w:rPr>
              <w:t>112.8</w:t>
            </w:r>
          </w:p>
        </w:tc>
        <w:tc>
          <w:tcPr>
            <w:tcW w:w="736" w:type="dxa"/>
            <w:shd w:val="clear" w:color="auto" w:fill="auto"/>
          </w:tcPr>
          <w:p w14:paraId="28D7164E" w14:textId="5B7FF1E8" w:rsidR="00DC5575" w:rsidRPr="00685583" w:rsidRDefault="00BE027A" w:rsidP="00DC5575">
            <w:pPr>
              <w:pStyle w:val="Tableheadingrow9pt"/>
              <w:jc w:val="right"/>
              <w:rPr>
                <w:b w:val="0"/>
                <w:bCs/>
                <w:color w:val="auto"/>
                <w:sz w:val="17"/>
                <w:szCs w:val="17"/>
              </w:rPr>
            </w:pPr>
            <w:r>
              <w:rPr>
                <w:b w:val="0"/>
                <w:color w:val="auto"/>
                <w:sz w:val="17"/>
                <w:szCs w:val="17"/>
              </w:rPr>
              <w:t>105.9</w:t>
            </w:r>
          </w:p>
        </w:tc>
      </w:tr>
      <w:tr w:rsidR="00DC5575" w:rsidRPr="00685583" w14:paraId="22706449" w14:textId="77777777" w:rsidTr="00946FE8">
        <w:trPr>
          <w:trHeight w:val="37"/>
          <w:jc w:val="center"/>
        </w:trPr>
        <w:tc>
          <w:tcPr>
            <w:tcW w:w="846" w:type="dxa"/>
            <w:shd w:val="clear" w:color="auto" w:fill="auto"/>
          </w:tcPr>
          <w:p w14:paraId="5D7F68CE" w14:textId="516501BB" w:rsidR="00DC5575" w:rsidRPr="00685583" w:rsidRDefault="00DC5575" w:rsidP="00DC5575">
            <w:pPr>
              <w:pStyle w:val="Tableheadingrow9pt"/>
              <w:rPr>
                <w:bCs/>
                <w:color w:val="auto"/>
                <w:sz w:val="17"/>
                <w:szCs w:val="17"/>
              </w:rPr>
            </w:pPr>
            <w:r w:rsidRPr="00685583">
              <w:rPr>
                <w:b w:val="0"/>
                <w:color w:val="auto"/>
                <w:sz w:val="17"/>
                <w:szCs w:val="17"/>
              </w:rPr>
              <w:t>b. 5.9</w:t>
            </w:r>
          </w:p>
        </w:tc>
        <w:tc>
          <w:tcPr>
            <w:tcW w:w="850" w:type="dxa"/>
            <w:shd w:val="clear" w:color="auto" w:fill="auto"/>
          </w:tcPr>
          <w:p w14:paraId="7BE47E80" w14:textId="5EF73B8F" w:rsidR="00DC5575" w:rsidRPr="00685583" w:rsidRDefault="00DC5575" w:rsidP="00DC5575">
            <w:pPr>
              <w:pStyle w:val="Tableheadingrow9pt"/>
              <w:jc w:val="right"/>
              <w:rPr>
                <w:bCs/>
                <w:color w:val="auto"/>
                <w:sz w:val="17"/>
                <w:szCs w:val="17"/>
              </w:rPr>
            </w:pPr>
            <w:r w:rsidRPr="00685583">
              <w:rPr>
                <w:b w:val="0"/>
                <w:color w:val="auto"/>
                <w:sz w:val="17"/>
                <w:szCs w:val="17"/>
              </w:rPr>
              <w:t>13.2</w:t>
            </w:r>
          </w:p>
        </w:tc>
        <w:tc>
          <w:tcPr>
            <w:tcW w:w="687" w:type="dxa"/>
            <w:shd w:val="clear" w:color="auto" w:fill="auto"/>
          </w:tcPr>
          <w:p w14:paraId="07D5E246" w14:textId="777149A1" w:rsidR="00DC5575" w:rsidRPr="00685583" w:rsidRDefault="00DC5575" w:rsidP="00F1064D">
            <w:pPr>
              <w:pStyle w:val="Tableheadingrow9pt"/>
              <w:jc w:val="right"/>
              <w:rPr>
                <w:b w:val="0"/>
                <w:bCs/>
                <w:color w:val="auto"/>
                <w:sz w:val="17"/>
                <w:szCs w:val="17"/>
              </w:rPr>
            </w:pPr>
            <w:r w:rsidRPr="00685583">
              <w:rPr>
                <w:b w:val="0"/>
                <w:color w:val="auto"/>
                <w:sz w:val="17"/>
                <w:szCs w:val="17"/>
              </w:rPr>
              <w:t>5.0</w:t>
            </w:r>
          </w:p>
        </w:tc>
        <w:tc>
          <w:tcPr>
            <w:tcW w:w="731" w:type="dxa"/>
            <w:shd w:val="clear" w:color="auto" w:fill="auto"/>
          </w:tcPr>
          <w:p w14:paraId="33564EF4" w14:textId="094DC773" w:rsidR="00DC5575" w:rsidRPr="00685583" w:rsidRDefault="00DC5575" w:rsidP="00DC5575">
            <w:pPr>
              <w:pStyle w:val="Tableheadingrow9pt"/>
              <w:jc w:val="right"/>
              <w:rPr>
                <w:b w:val="0"/>
                <w:bCs/>
                <w:color w:val="auto"/>
                <w:sz w:val="17"/>
                <w:szCs w:val="17"/>
              </w:rPr>
            </w:pPr>
            <w:r w:rsidRPr="00685583">
              <w:rPr>
                <w:b w:val="0"/>
                <w:color w:val="auto"/>
                <w:sz w:val="17"/>
                <w:szCs w:val="17"/>
              </w:rPr>
              <w:t>12.1</w:t>
            </w:r>
          </w:p>
        </w:tc>
        <w:tc>
          <w:tcPr>
            <w:tcW w:w="709" w:type="dxa"/>
            <w:shd w:val="clear" w:color="auto" w:fill="auto"/>
          </w:tcPr>
          <w:p w14:paraId="111FB0F9" w14:textId="4A284144" w:rsidR="00DC5575" w:rsidRPr="00685583" w:rsidRDefault="00BE027A" w:rsidP="00F1064D">
            <w:pPr>
              <w:pStyle w:val="Tableheadingrow9pt"/>
              <w:jc w:val="right"/>
              <w:rPr>
                <w:b w:val="0"/>
                <w:bCs/>
                <w:color w:val="auto"/>
                <w:sz w:val="17"/>
                <w:szCs w:val="17"/>
              </w:rPr>
            </w:pPr>
            <w:r>
              <w:rPr>
                <w:b w:val="0"/>
                <w:color w:val="auto"/>
                <w:sz w:val="17"/>
                <w:szCs w:val="17"/>
              </w:rPr>
              <w:t>4.1</w:t>
            </w:r>
          </w:p>
        </w:tc>
        <w:tc>
          <w:tcPr>
            <w:tcW w:w="850" w:type="dxa"/>
            <w:shd w:val="clear" w:color="auto" w:fill="auto"/>
          </w:tcPr>
          <w:p w14:paraId="07D4FB21" w14:textId="78D44F8B" w:rsidR="00DC5575" w:rsidRPr="00685583" w:rsidRDefault="00BE027A" w:rsidP="00DC5575">
            <w:pPr>
              <w:pStyle w:val="Tableheadingrow9pt"/>
              <w:jc w:val="right"/>
              <w:rPr>
                <w:b w:val="0"/>
                <w:bCs/>
                <w:color w:val="auto"/>
                <w:sz w:val="17"/>
                <w:szCs w:val="17"/>
              </w:rPr>
            </w:pPr>
            <w:r>
              <w:rPr>
                <w:b w:val="0"/>
                <w:color w:val="auto"/>
                <w:sz w:val="17"/>
                <w:szCs w:val="17"/>
              </w:rPr>
              <w:t>8.0</w:t>
            </w:r>
          </w:p>
        </w:tc>
        <w:tc>
          <w:tcPr>
            <w:tcW w:w="709" w:type="dxa"/>
            <w:shd w:val="clear" w:color="auto" w:fill="auto"/>
          </w:tcPr>
          <w:p w14:paraId="10B2DD16" w14:textId="4DCC3DA9" w:rsidR="00DC5575" w:rsidRPr="00685583" w:rsidRDefault="00DC5575" w:rsidP="00F1064D">
            <w:pPr>
              <w:pStyle w:val="Tableheadingrow9pt"/>
              <w:jc w:val="right"/>
              <w:rPr>
                <w:b w:val="0"/>
                <w:bCs/>
                <w:color w:val="auto"/>
                <w:sz w:val="17"/>
                <w:szCs w:val="17"/>
              </w:rPr>
            </w:pPr>
            <w:r w:rsidRPr="00685583">
              <w:rPr>
                <w:b w:val="0"/>
                <w:color w:val="auto"/>
                <w:sz w:val="17"/>
                <w:szCs w:val="17"/>
              </w:rPr>
              <w:t>3.6</w:t>
            </w:r>
          </w:p>
        </w:tc>
        <w:tc>
          <w:tcPr>
            <w:tcW w:w="850" w:type="dxa"/>
            <w:shd w:val="clear" w:color="auto" w:fill="auto"/>
          </w:tcPr>
          <w:p w14:paraId="38D83C08" w14:textId="7F8CDDB9" w:rsidR="00DC5575" w:rsidRPr="00685583" w:rsidRDefault="00BE027A" w:rsidP="00DC5575">
            <w:pPr>
              <w:pStyle w:val="Tableheadingrow9pt"/>
              <w:jc w:val="right"/>
              <w:rPr>
                <w:b w:val="0"/>
                <w:bCs/>
                <w:color w:val="auto"/>
                <w:sz w:val="17"/>
                <w:szCs w:val="17"/>
              </w:rPr>
            </w:pPr>
            <w:r>
              <w:rPr>
                <w:b w:val="0"/>
                <w:color w:val="auto"/>
                <w:sz w:val="17"/>
                <w:szCs w:val="17"/>
              </w:rPr>
              <w:t>7.0</w:t>
            </w:r>
          </w:p>
        </w:tc>
        <w:tc>
          <w:tcPr>
            <w:tcW w:w="709" w:type="dxa"/>
            <w:shd w:val="clear" w:color="auto" w:fill="auto"/>
          </w:tcPr>
          <w:p w14:paraId="5A83CABB" w14:textId="795E2827" w:rsidR="00DC5575" w:rsidRPr="00BE027A" w:rsidRDefault="00BE027A" w:rsidP="00F1064D">
            <w:pPr>
              <w:pStyle w:val="Tableheadingrow9pt"/>
              <w:jc w:val="right"/>
              <w:rPr>
                <w:b w:val="0"/>
                <w:bCs/>
                <w:color w:val="auto"/>
                <w:sz w:val="17"/>
                <w:szCs w:val="17"/>
              </w:rPr>
            </w:pPr>
            <w:r w:rsidRPr="00BE027A">
              <w:rPr>
                <w:b w:val="0"/>
                <w:color w:val="auto"/>
                <w:sz w:val="17"/>
                <w:szCs w:val="17"/>
              </w:rPr>
              <w:t>3.2</w:t>
            </w:r>
          </w:p>
        </w:tc>
        <w:tc>
          <w:tcPr>
            <w:tcW w:w="736" w:type="dxa"/>
            <w:shd w:val="clear" w:color="auto" w:fill="auto"/>
          </w:tcPr>
          <w:p w14:paraId="0D05613F" w14:textId="3B859BB0" w:rsidR="00DC5575" w:rsidRPr="00BE027A" w:rsidRDefault="00BE027A" w:rsidP="00DC5575">
            <w:pPr>
              <w:pStyle w:val="Tableheadingrow9pt"/>
              <w:jc w:val="right"/>
              <w:rPr>
                <w:b w:val="0"/>
                <w:bCs/>
                <w:color w:val="auto"/>
                <w:sz w:val="17"/>
                <w:szCs w:val="17"/>
              </w:rPr>
            </w:pPr>
            <w:r w:rsidRPr="00BE027A">
              <w:rPr>
                <w:b w:val="0"/>
                <w:color w:val="auto"/>
                <w:sz w:val="17"/>
                <w:szCs w:val="17"/>
              </w:rPr>
              <w:t>6.2</w:t>
            </w:r>
          </w:p>
        </w:tc>
      </w:tr>
      <w:tr w:rsidR="00DC5575" w:rsidRPr="00685583" w14:paraId="77178556" w14:textId="77777777" w:rsidTr="00946FE8">
        <w:trPr>
          <w:trHeight w:val="37"/>
          <w:jc w:val="center"/>
        </w:trPr>
        <w:tc>
          <w:tcPr>
            <w:tcW w:w="846" w:type="dxa"/>
            <w:shd w:val="clear" w:color="auto" w:fill="auto"/>
          </w:tcPr>
          <w:p w14:paraId="452C01A5" w14:textId="378D8FAC" w:rsidR="00DC5575" w:rsidRPr="00685583" w:rsidRDefault="00DC5575" w:rsidP="00DC5575">
            <w:pPr>
              <w:pStyle w:val="Tableheadingrow9pt"/>
              <w:rPr>
                <w:bCs/>
                <w:color w:val="auto"/>
                <w:sz w:val="17"/>
                <w:szCs w:val="17"/>
              </w:rPr>
            </w:pPr>
            <w:r w:rsidRPr="00685583">
              <w:rPr>
                <w:b w:val="0"/>
                <w:color w:val="auto"/>
                <w:sz w:val="17"/>
                <w:szCs w:val="17"/>
              </w:rPr>
              <w:t>c. 188.0</w:t>
            </w:r>
          </w:p>
        </w:tc>
        <w:tc>
          <w:tcPr>
            <w:tcW w:w="850" w:type="dxa"/>
            <w:shd w:val="clear" w:color="auto" w:fill="auto"/>
          </w:tcPr>
          <w:p w14:paraId="4447FF17" w14:textId="4DB4B3B7" w:rsidR="00DC5575" w:rsidRPr="00685583" w:rsidRDefault="00DC5575" w:rsidP="00DC5575">
            <w:pPr>
              <w:pStyle w:val="Tableheadingrow9pt"/>
              <w:jc w:val="right"/>
              <w:rPr>
                <w:bCs/>
                <w:color w:val="auto"/>
                <w:sz w:val="17"/>
                <w:szCs w:val="17"/>
              </w:rPr>
            </w:pPr>
            <w:r w:rsidRPr="00685583">
              <w:rPr>
                <w:b w:val="0"/>
                <w:color w:val="auto"/>
                <w:sz w:val="17"/>
                <w:szCs w:val="17"/>
              </w:rPr>
              <w:t>90.5</w:t>
            </w:r>
          </w:p>
        </w:tc>
        <w:tc>
          <w:tcPr>
            <w:tcW w:w="687" w:type="dxa"/>
            <w:shd w:val="clear" w:color="auto" w:fill="auto"/>
          </w:tcPr>
          <w:p w14:paraId="191201A1" w14:textId="50228A31" w:rsidR="00DC5575" w:rsidRPr="00685583" w:rsidRDefault="00DC5575" w:rsidP="00F1064D">
            <w:pPr>
              <w:pStyle w:val="Tableheadingrow9pt"/>
              <w:jc w:val="right"/>
              <w:rPr>
                <w:b w:val="0"/>
                <w:bCs/>
                <w:color w:val="auto"/>
                <w:sz w:val="17"/>
                <w:szCs w:val="17"/>
              </w:rPr>
            </w:pPr>
            <w:r w:rsidRPr="00685583">
              <w:rPr>
                <w:b w:val="0"/>
                <w:color w:val="auto"/>
                <w:sz w:val="17"/>
                <w:szCs w:val="17"/>
              </w:rPr>
              <w:t>190.1</w:t>
            </w:r>
          </w:p>
        </w:tc>
        <w:tc>
          <w:tcPr>
            <w:tcW w:w="731" w:type="dxa"/>
            <w:shd w:val="clear" w:color="auto" w:fill="auto"/>
          </w:tcPr>
          <w:p w14:paraId="62D54305" w14:textId="07E938F2" w:rsidR="00DC5575" w:rsidRPr="00685583" w:rsidRDefault="00DC5575" w:rsidP="00DC5575">
            <w:pPr>
              <w:pStyle w:val="Tableheadingrow9pt"/>
              <w:jc w:val="right"/>
              <w:rPr>
                <w:b w:val="0"/>
                <w:bCs/>
                <w:color w:val="auto"/>
                <w:sz w:val="17"/>
                <w:szCs w:val="17"/>
              </w:rPr>
            </w:pPr>
            <w:r w:rsidRPr="00685583">
              <w:rPr>
                <w:b w:val="0"/>
                <w:color w:val="auto"/>
                <w:sz w:val="17"/>
                <w:szCs w:val="17"/>
              </w:rPr>
              <w:t>93.2</w:t>
            </w:r>
          </w:p>
        </w:tc>
        <w:tc>
          <w:tcPr>
            <w:tcW w:w="709" w:type="dxa"/>
            <w:shd w:val="clear" w:color="auto" w:fill="auto"/>
          </w:tcPr>
          <w:p w14:paraId="2A79063D" w14:textId="191D9B42" w:rsidR="00DC5575" w:rsidRPr="00685583" w:rsidRDefault="00DC5575" w:rsidP="00F1064D">
            <w:pPr>
              <w:pStyle w:val="Tableheadingrow9pt"/>
              <w:jc w:val="right"/>
              <w:rPr>
                <w:b w:val="0"/>
                <w:bCs/>
                <w:color w:val="auto"/>
                <w:sz w:val="17"/>
                <w:szCs w:val="17"/>
              </w:rPr>
            </w:pPr>
            <w:r w:rsidRPr="00685583">
              <w:rPr>
                <w:b w:val="0"/>
                <w:color w:val="auto"/>
                <w:sz w:val="17"/>
                <w:szCs w:val="17"/>
              </w:rPr>
              <w:t>192.3</w:t>
            </w:r>
          </w:p>
        </w:tc>
        <w:tc>
          <w:tcPr>
            <w:tcW w:w="850" w:type="dxa"/>
            <w:shd w:val="clear" w:color="auto" w:fill="auto"/>
          </w:tcPr>
          <w:p w14:paraId="7FF10974" w14:textId="1869C359" w:rsidR="00DC5575" w:rsidRPr="00685583" w:rsidRDefault="00BE027A" w:rsidP="00DC5575">
            <w:pPr>
              <w:pStyle w:val="Tableheadingrow9pt"/>
              <w:jc w:val="right"/>
              <w:rPr>
                <w:b w:val="0"/>
                <w:bCs/>
                <w:color w:val="auto"/>
                <w:sz w:val="17"/>
                <w:szCs w:val="17"/>
              </w:rPr>
            </w:pPr>
            <w:r>
              <w:rPr>
                <w:b w:val="0"/>
                <w:color w:val="auto"/>
                <w:sz w:val="17"/>
                <w:szCs w:val="17"/>
              </w:rPr>
              <w:t>96.6</w:t>
            </w:r>
          </w:p>
        </w:tc>
        <w:tc>
          <w:tcPr>
            <w:tcW w:w="709" w:type="dxa"/>
            <w:shd w:val="clear" w:color="auto" w:fill="auto"/>
          </w:tcPr>
          <w:p w14:paraId="5D04A94A" w14:textId="72EFBA80" w:rsidR="00DC5575" w:rsidRPr="00685583" w:rsidRDefault="00BE027A" w:rsidP="00F1064D">
            <w:pPr>
              <w:pStyle w:val="Tableheadingrow9pt"/>
              <w:jc w:val="right"/>
              <w:rPr>
                <w:b w:val="0"/>
                <w:bCs/>
                <w:color w:val="auto"/>
                <w:sz w:val="17"/>
                <w:szCs w:val="17"/>
              </w:rPr>
            </w:pPr>
            <w:r>
              <w:rPr>
                <w:b w:val="0"/>
                <w:color w:val="auto"/>
                <w:sz w:val="17"/>
                <w:szCs w:val="17"/>
              </w:rPr>
              <w:t>196.6</w:t>
            </w:r>
          </w:p>
        </w:tc>
        <w:tc>
          <w:tcPr>
            <w:tcW w:w="850" w:type="dxa"/>
            <w:shd w:val="clear" w:color="auto" w:fill="auto"/>
          </w:tcPr>
          <w:p w14:paraId="16DF695B" w14:textId="3FDF41A0" w:rsidR="00DC5575" w:rsidRPr="00685583" w:rsidRDefault="00BE027A" w:rsidP="00DC5575">
            <w:pPr>
              <w:pStyle w:val="Tableheadingrow9pt"/>
              <w:jc w:val="right"/>
              <w:rPr>
                <w:b w:val="0"/>
                <w:bCs/>
                <w:color w:val="auto"/>
                <w:sz w:val="17"/>
                <w:szCs w:val="17"/>
              </w:rPr>
            </w:pPr>
            <w:r>
              <w:rPr>
                <w:b w:val="0"/>
                <w:color w:val="auto"/>
                <w:sz w:val="17"/>
                <w:szCs w:val="17"/>
              </w:rPr>
              <w:t>100.6</w:t>
            </w:r>
          </w:p>
        </w:tc>
        <w:tc>
          <w:tcPr>
            <w:tcW w:w="709" w:type="dxa"/>
            <w:shd w:val="clear" w:color="auto" w:fill="auto"/>
          </w:tcPr>
          <w:p w14:paraId="13D98A00" w14:textId="69519781" w:rsidR="00DC5575" w:rsidRPr="00BE027A" w:rsidRDefault="00BE027A" w:rsidP="00F1064D">
            <w:pPr>
              <w:pStyle w:val="Tableheadingrow9pt"/>
              <w:jc w:val="right"/>
              <w:rPr>
                <w:b w:val="0"/>
                <w:bCs/>
                <w:color w:val="auto"/>
                <w:sz w:val="17"/>
                <w:szCs w:val="17"/>
              </w:rPr>
            </w:pPr>
            <w:r w:rsidRPr="00BE027A">
              <w:rPr>
                <w:b w:val="0"/>
                <w:color w:val="auto"/>
                <w:sz w:val="17"/>
                <w:szCs w:val="17"/>
              </w:rPr>
              <w:t>201.1</w:t>
            </w:r>
          </w:p>
        </w:tc>
        <w:tc>
          <w:tcPr>
            <w:tcW w:w="736" w:type="dxa"/>
            <w:shd w:val="clear" w:color="auto" w:fill="auto"/>
          </w:tcPr>
          <w:p w14:paraId="1B8FCF7C" w14:textId="2D1F7556" w:rsidR="00DC5575" w:rsidRPr="00BE027A" w:rsidRDefault="00BE027A" w:rsidP="00DC5575">
            <w:pPr>
              <w:pStyle w:val="Tableheadingrow9pt"/>
              <w:jc w:val="right"/>
              <w:rPr>
                <w:b w:val="0"/>
                <w:bCs/>
                <w:color w:val="auto"/>
                <w:sz w:val="17"/>
                <w:szCs w:val="17"/>
              </w:rPr>
            </w:pPr>
            <w:r w:rsidRPr="00BE027A">
              <w:rPr>
                <w:b w:val="0"/>
                <w:color w:val="auto"/>
                <w:sz w:val="17"/>
                <w:szCs w:val="17"/>
              </w:rPr>
              <w:t>104.7</w:t>
            </w:r>
          </w:p>
        </w:tc>
      </w:tr>
      <w:tr w:rsidR="00DC5575" w:rsidRPr="00685583" w14:paraId="7E9C2E21" w14:textId="77777777" w:rsidTr="00946FE8">
        <w:trPr>
          <w:trHeight w:val="37"/>
          <w:jc w:val="center"/>
        </w:trPr>
        <w:tc>
          <w:tcPr>
            <w:tcW w:w="846" w:type="dxa"/>
            <w:shd w:val="clear" w:color="auto" w:fill="auto"/>
          </w:tcPr>
          <w:p w14:paraId="03F99183" w14:textId="1EFEC7DC" w:rsidR="00DC5575" w:rsidRPr="00685583" w:rsidRDefault="00DC5575" w:rsidP="00DC5575">
            <w:pPr>
              <w:pStyle w:val="Tableheadingrow9pt"/>
              <w:rPr>
                <w:bCs/>
                <w:color w:val="auto"/>
                <w:sz w:val="17"/>
                <w:szCs w:val="17"/>
              </w:rPr>
            </w:pPr>
            <w:r w:rsidRPr="00685583">
              <w:rPr>
                <w:b w:val="0"/>
                <w:color w:val="auto"/>
                <w:sz w:val="17"/>
                <w:szCs w:val="17"/>
              </w:rPr>
              <w:t>d. 155.1</w:t>
            </w:r>
          </w:p>
        </w:tc>
        <w:tc>
          <w:tcPr>
            <w:tcW w:w="850" w:type="dxa"/>
            <w:shd w:val="clear" w:color="auto" w:fill="auto"/>
          </w:tcPr>
          <w:p w14:paraId="1850110E" w14:textId="285F5A5C" w:rsidR="00DC5575" w:rsidRPr="00685583" w:rsidRDefault="00DC5575" w:rsidP="00DC5575">
            <w:pPr>
              <w:pStyle w:val="Tableheadingrow9pt"/>
              <w:jc w:val="right"/>
              <w:rPr>
                <w:bCs/>
                <w:color w:val="auto"/>
                <w:sz w:val="17"/>
                <w:szCs w:val="17"/>
              </w:rPr>
            </w:pPr>
            <w:r w:rsidRPr="00685583">
              <w:rPr>
                <w:b w:val="0"/>
                <w:color w:val="auto"/>
                <w:sz w:val="17"/>
                <w:szCs w:val="17"/>
              </w:rPr>
              <w:t>209.8</w:t>
            </w:r>
          </w:p>
        </w:tc>
        <w:tc>
          <w:tcPr>
            <w:tcW w:w="687" w:type="dxa"/>
            <w:shd w:val="clear" w:color="auto" w:fill="auto"/>
          </w:tcPr>
          <w:p w14:paraId="52AAFDFB" w14:textId="581C586F" w:rsidR="00DC5575" w:rsidRPr="00685583" w:rsidRDefault="00DC5575" w:rsidP="00F1064D">
            <w:pPr>
              <w:pStyle w:val="Tableheadingrow9pt"/>
              <w:jc w:val="right"/>
              <w:rPr>
                <w:b w:val="0"/>
                <w:bCs/>
                <w:color w:val="auto"/>
                <w:sz w:val="17"/>
                <w:szCs w:val="17"/>
              </w:rPr>
            </w:pPr>
            <w:r w:rsidRPr="00685583">
              <w:rPr>
                <w:b w:val="0"/>
                <w:color w:val="auto"/>
                <w:sz w:val="17"/>
                <w:szCs w:val="17"/>
              </w:rPr>
              <w:t>157.8</w:t>
            </w:r>
          </w:p>
        </w:tc>
        <w:tc>
          <w:tcPr>
            <w:tcW w:w="731" w:type="dxa"/>
            <w:shd w:val="clear" w:color="auto" w:fill="auto"/>
          </w:tcPr>
          <w:p w14:paraId="04DE735C" w14:textId="193A538D" w:rsidR="00DC5575" w:rsidRPr="00685583" w:rsidRDefault="00DC5575" w:rsidP="00DC5575">
            <w:pPr>
              <w:pStyle w:val="Tableheadingrow9pt"/>
              <w:jc w:val="right"/>
              <w:rPr>
                <w:b w:val="0"/>
                <w:bCs/>
                <w:color w:val="auto"/>
                <w:sz w:val="17"/>
                <w:szCs w:val="17"/>
              </w:rPr>
            </w:pPr>
            <w:r w:rsidRPr="00685583">
              <w:rPr>
                <w:b w:val="0"/>
                <w:color w:val="auto"/>
                <w:sz w:val="17"/>
                <w:szCs w:val="17"/>
              </w:rPr>
              <w:t>212.4</w:t>
            </w:r>
          </w:p>
        </w:tc>
        <w:tc>
          <w:tcPr>
            <w:tcW w:w="709" w:type="dxa"/>
            <w:shd w:val="clear" w:color="auto" w:fill="auto"/>
          </w:tcPr>
          <w:p w14:paraId="64FC367C" w14:textId="7A85EEFF" w:rsidR="00DC5575" w:rsidRPr="00685583" w:rsidRDefault="00BE027A" w:rsidP="00F1064D">
            <w:pPr>
              <w:pStyle w:val="Tableheadingrow9pt"/>
              <w:jc w:val="right"/>
              <w:rPr>
                <w:b w:val="0"/>
                <w:bCs/>
                <w:color w:val="auto"/>
                <w:sz w:val="17"/>
                <w:szCs w:val="17"/>
              </w:rPr>
            </w:pPr>
            <w:r>
              <w:rPr>
                <w:b w:val="0"/>
                <w:color w:val="auto"/>
                <w:sz w:val="17"/>
                <w:szCs w:val="17"/>
              </w:rPr>
              <w:t>187.5</w:t>
            </w:r>
          </w:p>
        </w:tc>
        <w:tc>
          <w:tcPr>
            <w:tcW w:w="850" w:type="dxa"/>
            <w:shd w:val="clear" w:color="auto" w:fill="auto"/>
          </w:tcPr>
          <w:p w14:paraId="3AC31760" w14:textId="477F7D17" w:rsidR="00DC5575" w:rsidRPr="00685583" w:rsidRDefault="00BE027A" w:rsidP="00DC5575">
            <w:pPr>
              <w:pStyle w:val="Tableheadingrow9pt"/>
              <w:jc w:val="right"/>
              <w:rPr>
                <w:b w:val="0"/>
                <w:bCs/>
                <w:color w:val="auto"/>
                <w:sz w:val="17"/>
                <w:szCs w:val="17"/>
              </w:rPr>
            </w:pPr>
            <w:r>
              <w:rPr>
                <w:b w:val="0"/>
                <w:color w:val="auto"/>
                <w:sz w:val="17"/>
                <w:szCs w:val="17"/>
              </w:rPr>
              <w:t>229.1</w:t>
            </w:r>
          </w:p>
        </w:tc>
        <w:tc>
          <w:tcPr>
            <w:tcW w:w="709" w:type="dxa"/>
            <w:shd w:val="clear" w:color="auto" w:fill="auto"/>
          </w:tcPr>
          <w:p w14:paraId="6964A007" w14:textId="1ADFB417" w:rsidR="00DC5575" w:rsidRPr="00685583" w:rsidRDefault="00BE027A" w:rsidP="00F1064D">
            <w:pPr>
              <w:pStyle w:val="Tableheadingrow9pt"/>
              <w:jc w:val="right"/>
              <w:rPr>
                <w:b w:val="0"/>
                <w:bCs/>
                <w:color w:val="auto"/>
                <w:sz w:val="17"/>
                <w:szCs w:val="17"/>
              </w:rPr>
            </w:pPr>
            <w:r>
              <w:rPr>
                <w:b w:val="0"/>
                <w:color w:val="auto"/>
                <w:sz w:val="17"/>
                <w:szCs w:val="17"/>
              </w:rPr>
              <w:t>191.5</w:t>
            </w:r>
          </w:p>
        </w:tc>
        <w:tc>
          <w:tcPr>
            <w:tcW w:w="850" w:type="dxa"/>
            <w:shd w:val="clear" w:color="auto" w:fill="auto"/>
          </w:tcPr>
          <w:p w14:paraId="545C2ACC" w14:textId="2C1DB932" w:rsidR="00DC5575" w:rsidRPr="00685583" w:rsidRDefault="00BE027A" w:rsidP="00DC5575">
            <w:pPr>
              <w:pStyle w:val="Tableheadingrow9pt"/>
              <w:jc w:val="right"/>
              <w:rPr>
                <w:b w:val="0"/>
                <w:bCs/>
                <w:color w:val="auto"/>
                <w:sz w:val="17"/>
                <w:szCs w:val="17"/>
              </w:rPr>
            </w:pPr>
            <w:r>
              <w:rPr>
                <w:b w:val="0"/>
                <w:color w:val="auto"/>
                <w:sz w:val="17"/>
                <w:szCs w:val="17"/>
              </w:rPr>
              <w:t>232.8</w:t>
            </w:r>
          </w:p>
        </w:tc>
        <w:tc>
          <w:tcPr>
            <w:tcW w:w="709" w:type="dxa"/>
            <w:shd w:val="clear" w:color="auto" w:fill="auto"/>
          </w:tcPr>
          <w:p w14:paraId="6EE2B06B" w14:textId="6909D379" w:rsidR="00DC5575" w:rsidRPr="00BE027A" w:rsidRDefault="00BE027A" w:rsidP="00F1064D">
            <w:pPr>
              <w:pStyle w:val="Tableheadingrow9pt"/>
              <w:jc w:val="right"/>
              <w:rPr>
                <w:b w:val="0"/>
                <w:bCs/>
                <w:color w:val="auto"/>
                <w:sz w:val="17"/>
                <w:szCs w:val="17"/>
              </w:rPr>
            </w:pPr>
            <w:r w:rsidRPr="00BE027A">
              <w:rPr>
                <w:b w:val="0"/>
                <w:color w:val="auto"/>
                <w:sz w:val="17"/>
                <w:szCs w:val="17"/>
              </w:rPr>
              <w:t>195.7</w:t>
            </w:r>
          </w:p>
        </w:tc>
        <w:tc>
          <w:tcPr>
            <w:tcW w:w="736" w:type="dxa"/>
            <w:shd w:val="clear" w:color="auto" w:fill="auto"/>
          </w:tcPr>
          <w:p w14:paraId="0996F0AF" w14:textId="438D3257" w:rsidR="00DC5575" w:rsidRPr="00BE027A" w:rsidRDefault="00BE027A" w:rsidP="00DC5575">
            <w:pPr>
              <w:pStyle w:val="Tableheadingrow9pt"/>
              <w:jc w:val="right"/>
              <w:rPr>
                <w:b w:val="0"/>
                <w:bCs/>
                <w:color w:val="auto"/>
                <w:sz w:val="17"/>
                <w:szCs w:val="17"/>
              </w:rPr>
            </w:pPr>
            <w:r w:rsidRPr="00BE027A">
              <w:rPr>
                <w:b w:val="0"/>
                <w:color w:val="auto"/>
                <w:sz w:val="17"/>
                <w:szCs w:val="17"/>
              </w:rPr>
              <w:t>236.7</w:t>
            </w:r>
          </w:p>
        </w:tc>
      </w:tr>
      <w:tr w:rsidR="00DC5575" w:rsidRPr="00685583" w14:paraId="218F076B" w14:textId="77777777" w:rsidTr="00946FE8">
        <w:trPr>
          <w:trHeight w:val="37"/>
          <w:jc w:val="center"/>
        </w:trPr>
        <w:tc>
          <w:tcPr>
            <w:tcW w:w="846" w:type="dxa"/>
            <w:shd w:val="clear" w:color="auto" w:fill="auto"/>
          </w:tcPr>
          <w:p w14:paraId="48A2AFE8" w14:textId="58BB09A7" w:rsidR="00DC5575" w:rsidRPr="00685583" w:rsidRDefault="00DC5575" w:rsidP="00DC5575">
            <w:pPr>
              <w:pStyle w:val="Tableheadingrow9pt"/>
              <w:rPr>
                <w:bCs/>
                <w:color w:val="auto"/>
                <w:sz w:val="17"/>
                <w:szCs w:val="17"/>
              </w:rPr>
            </w:pPr>
            <w:r w:rsidRPr="00685583">
              <w:rPr>
                <w:b w:val="0"/>
                <w:color w:val="auto"/>
                <w:sz w:val="17"/>
                <w:szCs w:val="17"/>
              </w:rPr>
              <w:t>e. 404.1</w:t>
            </w:r>
          </w:p>
        </w:tc>
        <w:tc>
          <w:tcPr>
            <w:tcW w:w="850" w:type="dxa"/>
            <w:shd w:val="clear" w:color="auto" w:fill="auto"/>
          </w:tcPr>
          <w:p w14:paraId="2443444E" w14:textId="6D1A3DF5" w:rsidR="00DC5575" w:rsidRPr="00685583" w:rsidRDefault="00DC5575" w:rsidP="00DC5575">
            <w:pPr>
              <w:pStyle w:val="Tableheadingrow9pt"/>
              <w:jc w:val="right"/>
              <w:rPr>
                <w:bCs/>
                <w:color w:val="auto"/>
                <w:sz w:val="17"/>
                <w:szCs w:val="17"/>
              </w:rPr>
            </w:pPr>
            <w:r w:rsidRPr="00685583">
              <w:rPr>
                <w:b w:val="0"/>
                <w:color w:val="auto"/>
                <w:sz w:val="17"/>
                <w:szCs w:val="17"/>
              </w:rPr>
              <w:t>298.2</w:t>
            </w:r>
          </w:p>
        </w:tc>
        <w:tc>
          <w:tcPr>
            <w:tcW w:w="687" w:type="dxa"/>
            <w:shd w:val="clear" w:color="auto" w:fill="auto"/>
          </w:tcPr>
          <w:p w14:paraId="43A022D4" w14:textId="527983F9" w:rsidR="00DC5575" w:rsidRPr="00685583" w:rsidRDefault="00DC5575" w:rsidP="00F1064D">
            <w:pPr>
              <w:pStyle w:val="Tableheadingrow9pt"/>
              <w:jc w:val="right"/>
              <w:rPr>
                <w:b w:val="0"/>
                <w:bCs/>
                <w:color w:val="auto"/>
                <w:sz w:val="17"/>
                <w:szCs w:val="17"/>
              </w:rPr>
            </w:pPr>
            <w:r w:rsidRPr="00685583">
              <w:rPr>
                <w:b w:val="0"/>
                <w:color w:val="auto"/>
                <w:sz w:val="17"/>
                <w:szCs w:val="17"/>
              </w:rPr>
              <w:t>412.2</w:t>
            </w:r>
          </w:p>
        </w:tc>
        <w:tc>
          <w:tcPr>
            <w:tcW w:w="731" w:type="dxa"/>
            <w:shd w:val="clear" w:color="auto" w:fill="auto"/>
          </w:tcPr>
          <w:p w14:paraId="7164E539" w14:textId="6DA409D2" w:rsidR="00DC5575" w:rsidRPr="00685583" w:rsidRDefault="00DC5575" w:rsidP="00DC5575">
            <w:pPr>
              <w:pStyle w:val="Tableheadingrow9pt"/>
              <w:jc w:val="right"/>
              <w:rPr>
                <w:b w:val="0"/>
                <w:bCs/>
                <w:color w:val="auto"/>
                <w:sz w:val="17"/>
                <w:szCs w:val="17"/>
              </w:rPr>
            </w:pPr>
            <w:r w:rsidRPr="00685583">
              <w:rPr>
                <w:b w:val="0"/>
                <w:color w:val="auto"/>
                <w:sz w:val="17"/>
                <w:szCs w:val="17"/>
              </w:rPr>
              <w:t>305.1</w:t>
            </w:r>
          </w:p>
        </w:tc>
        <w:tc>
          <w:tcPr>
            <w:tcW w:w="709" w:type="dxa"/>
            <w:shd w:val="clear" w:color="auto" w:fill="auto"/>
          </w:tcPr>
          <w:p w14:paraId="46BA9D1D" w14:textId="632BD290" w:rsidR="00DC5575" w:rsidRPr="00685583" w:rsidRDefault="00BE027A" w:rsidP="00F1064D">
            <w:pPr>
              <w:pStyle w:val="Tableheadingrow9pt"/>
              <w:jc w:val="right"/>
              <w:rPr>
                <w:b w:val="0"/>
                <w:bCs/>
                <w:color w:val="auto"/>
                <w:sz w:val="17"/>
                <w:szCs w:val="17"/>
              </w:rPr>
            </w:pPr>
            <w:r>
              <w:rPr>
                <w:b w:val="0"/>
                <w:color w:val="auto"/>
                <w:sz w:val="17"/>
                <w:szCs w:val="17"/>
              </w:rPr>
              <w:t>434.1</w:t>
            </w:r>
          </w:p>
        </w:tc>
        <w:tc>
          <w:tcPr>
            <w:tcW w:w="850" w:type="dxa"/>
            <w:shd w:val="clear" w:color="auto" w:fill="auto"/>
          </w:tcPr>
          <w:p w14:paraId="002A4079" w14:textId="217B6E96" w:rsidR="00DC5575" w:rsidRPr="00685583" w:rsidRDefault="00BE027A" w:rsidP="00DC5575">
            <w:pPr>
              <w:pStyle w:val="Tableheadingrow9pt"/>
              <w:jc w:val="right"/>
              <w:rPr>
                <w:b w:val="0"/>
                <w:bCs/>
                <w:color w:val="auto"/>
                <w:sz w:val="17"/>
                <w:szCs w:val="17"/>
              </w:rPr>
            </w:pPr>
            <w:r>
              <w:rPr>
                <w:b w:val="0"/>
                <w:color w:val="auto"/>
                <w:sz w:val="17"/>
                <w:szCs w:val="17"/>
              </w:rPr>
              <w:t>323.0</w:t>
            </w:r>
          </w:p>
        </w:tc>
        <w:tc>
          <w:tcPr>
            <w:tcW w:w="709" w:type="dxa"/>
            <w:shd w:val="clear" w:color="auto" w:fill="auto"/>
          </w:tcPr>
          <w:p w14:paraId="6FF81AC0" w14:textId="70AAEFF1" w:rsidR="00DC5575" w:rsidRPr="00685583" w:rsidRDefault="00BE027A" w:rsidP="00F1064D">
            <w:pPr>
              <w:pStyle w:val="Tableheadingrow9pt"/>
              <w:jc w:val="right"/>
              <w:rPr>
                <w:b w:val="0"/>
                <w:bCs/>
                <w:color w:val="auto"/>
                <w:sz w:val="17"/>
                <w:szCs w:val="17"/>
              </w:rPr>
            </w:pPr>
            <w:r>
              <w:rPr>
                <w:b w:val="0"/>
                <w:color w:val="auto"/>
                <w:sz w:val="17"/>
                <w:szCs w:val="17"/>
              </w:rPr>
              <w:t>442.8</w:t>
            </w:r>
          </w:p>
        </w:tc>
        <w:tc>
          <w:tcPr>
            <w:tcW w:w="850" w:type="dxa"/>
            <w:shd w:val="clear" w:color="auto" w:fill="auto"/>
          </w:tcPr>
          <w:p w14:paraId="1C272BD1" w14:textId="2D20EC87" w:rsidR="00DC5575" w:rsidRPr="00685583" w:rsidRDefault="00BE027A" w:rsidP="00DC5575">
            <w:pPr>
              <w:pStyle w:val="Tableheadingrow9pt"/>
              <w:jc w:val="right"/>
              <w:rPr>
                <w:b w:val="0"/>
                <w:bCs/>
                <w:color w:val="auto"/>
                <w:sz w:val="17"/>
                <w:szCs w:val="17"/>
              </w:rPr>
            </w:pPr>
            <w:r>
              <w:rPr>
                <w:b w:val="0"/>
                <w:color w:val="auto"/>
                <w:sz w:val="17"/>
                <w:szCs w:val="17"/>
              </w:rPr>
              <w:t>330.3</w:t>
            </w:r>
          </w:p>
        </w:tc>
        <w:tc>
          <w:tcPr>
            <w:tcW w:w="709" w:type="dxa"/>
            <w:shd w:val="clear" w:color="auto" w:fill="auto"/>
          </w:tcPr>
          <w:p w14:paraId="25C8C0BA" w14:textId="3E03AC13" w:rsidR="00DC5575" w:rsidRPr="00BE027A" w:rsidRDefault="00BE027A" w:rsidP="00F1064D">
            <w:pPr>
              <w:pStyle w:val="Tableheadingrow9pt"/>
              <w:jc w:val="right"/>
              <w:rPr>
                <w:b w:val="0"/>
                <w:bCs/>
                <w:color w:val="auto"/>
                <w:sz w:val="17"/>
                <w:szCs w:val="17"/>
              </w:rPr>
            </w:pPr>
            <w:r w:rsidRPr="00BE027A">
              <w:rPr>
                <w:b w:val="0"/>
                <w:color w:val="auto"/>
                <w:sz w:val="17"/>
                <w:szCs w:val="17"/>
              </w:rPr>
              <w:t>452.0</w:t>
            </w:r>
          </w:p>
        </w:tc>
        <w:tc>
          <w:tcPr>
            <w:tcW w:w="736" w:type="dxa"/>
            <w:shd w:val="clear" w:color="auto" w:fill="auto"/>
          </w:tcPr>
          <w:p w14:paraId="21966435" w14:textId="7A334A67" w:rsidR="00DC5575" w:rsidRPr="00BE027A" w:rsidRDefault="00BE027A" w:rsidP="00DC5575">
            <w:pPr>
              <w:pStyle w:val="Tableheadingrow9pt"/>
              <w:jc w:val="right"/>
              <w:rPr>
                <w:b w:val="0"/>
                <w:bCs/>
                <w:color w:val="auto"/>
                <w:sz w:val="17"/>
                <w:szCs w:val="17"/>
              </w:rPr>
            </w:pPr>
            <w:r w:rsidRPr="00BE027A">
              <w:rPr>
                <w:b w:val="0"/>
                <w:color w:val="auto"/>
                <w:sz w:val="17"/>
                <w:szCs w:val="17"/>
              </w:rPr>
              <w:t>337.9</w:t>
            </w:r>
          </w:p>
        </w:tc>
      </w:tr>
      <w:tr w:rsidR="00DC5575" w:rsidRPr="00685583" w14:paraId="0ECFD997" w14:textId="77777777" w:rsidTr="00946FE8">
        <w:trPr>
          <w:trHeight w:val="37"/>
          <w:jc w:val="center"/>
        </w:trPr>
        <w:tc>
          <w:tcPr>
            <w:tcW w:w="846" w:type="dxa"/>
            <w:shd w:val="clear" w:color="auto" w:fill="auto"/>
          </w:tcPr>
          <w:p w14:paraId="071C5643" w14:textId="6B3BEF18" w:rsidR="00DC5575" w:rsidRPr="00685583" w:rsidRDefault="00DC5575" w:rsidP="00DC5575">
            <w:pPr>
              <w:pStyle w:val="Tableheadingrow9pt"/>
              <w:rPr>
                <w:bCs/>
                <w:color w:val="auto"/>
                <w:sz w:val="17"/>
                <w:szCs w:val="17"/>
              </w:rPr>
            </w:pPr>
            <w:r w:rsidRPr="00685583">
              <w:rPr>
                <w:b w:val="0"/>
                <w:color w:val="auto"/>
                <w:sz w:val="17"/>
                <w:szCs w:val="17"/>
              </w:rPr>
              <w:t>f.  N/A</w:t>
            </w:r>
          </w:p>
        </w:tc>
        <w:tc>
          <w:tcPr>
            <w:tcW w:w="850" w:type="dxa"/>
            <w:shd w:val="clear" w:color="auto" w:fill="auto"/>
          </w:tcPr>
          <w:p w14:paraId="6525F944" w14:textId="22C7C53C" w:rsidR="00DC5575" w:rsidRPr="00685583" w:rsidRDefault="00DC5575" w:rsidP="00DC5575">
            <w:pPr>
              <w:pStyle w:val="Tableheadingrow9pt"/>
              <w:jc w:val="right"/>
              <w:rPr>
                <w:bCs/>
                <w:color w:val="auto"/>
                <w:sz w:val="17"/>
                <w:szCs w:val="17"/>
              </w:rPr>
            </w:pPr>
            <w:r w:rsidRPr="00685583">
              <w:rPr>
                <w:b w:val="0"/>
                <w:color w:val="auto"/>
                <w:sz w:val="17"/>
                <w:szCs w:val="17"/>
              </w:rPr>
              <w:t>&gt;50%</w:t>
            </w:r>
          </w:p>
        </w:tc>
        <w:tc>
          <w:tcPr>
            <w:tcW w:w="687" w:type="dxa"/>
            <w:shd w:val="clear" w:color="auto" w:fill="auto"/>
          </w:tcPr>
          <w:p w14:paraId="7CD896FE" w14:textId="1AC8C5A5" w:rsidR="00DC5575" w:rsidRPr="00685583" w:rsidRDefault="00DC5575" w:rsidP="00F1064D">
            <w:pPr>
              <w:pStyle w:val="Tableheadingrow9pt"/>
              <w:jc w:val="right"/>
              <w:rPr>
                <w:b w:val="0"/>
                <w:bCs/>
                <w:color w:val="auto"/>
                <w:sz w:val="17"/>
                <w:szCs w:val="17"/>
              </w:rPr>
            </w:pPr>
            <w:r w:rsidRPr="00685583">
              <w:rPr>
                <w:b w:val="0"/>
                <w:color w:val="auto"/>
                <w:sz w:val="17"/>
                <w:szCs w:val="17"/>
              </w:rPr>
              <w:t>N/A</w:t>
            </w:r>
          </w:p>
        </w:tc>
        <w:tc>
          <w:tcPr>
            <w:tcW w:w="731" w:type="dxa"/>
            <w:shd w:val="clear" w:color="auto" w:fill="auto"/>
          </w:tcPr>
          <w:p w14:paraId="1C2580B1" w14:textId="4919AB52" w:rsidR="00DC5575" w:rsidRPr="00685583" w:rsidRDefault="00DC5575" w:rsidP="00DC5575">
            <w:pPr>
              <w:pStyle w:val="Tableheadingrow9pt"/>
              <w:jc w:val="right"/>
              <w:rPr>
                <w:b w:val="0"/>
                <w:bCs/>
                <w:color w:val="auto"/>
                <w:sz w:val="17"/>
                <w:szCs w:val="17"/>
              </w:rPr>
            </w:pPr>
            <w:r w:rsidRPr="00685583">
              <w:rPr>
                <w:b w:val="0"/>
                <w:color w:val="auto"/>
                <w:sz w:val="17"/>
                <w:szCs w:val="17"/>
              </w:rPr>
              <w:t>&gt;50%</w:t>
            </w:r>
          </w:p>
        </w:tc>
        <w:tc>
          <w:tcPr>
            <w:tcW w:w="709" w:type="dxa"/>
            <w:shd w:val="clear" w:color="auto" w:fill="auto"/>
          </w:tcPr>
          <w:p w14:paraId="65C6C7DC" w14:textId="18326B2C" w:rsidR="00DC5575" w:rsidRPr="00685583" w:rsidRDefault="00DC5575" w:rsidP="00F1064D">
            <w:pPr>
              <w:pStyle w:val="Tableheadingrow9pt"/>
              <w:jc w:val="right"/>
              <w:rPr>
                <w:b w:val="0"/>
                <w:bCs/>
                <w:color w:val="auto"/>
                <w:sz w:val="17"/>
                <w:szCs w:val="17"/>
              </w:rPr>
            </w:pPr>
            <w:r w:rsidRPr="00685583">
              <w:rPr>
                <w:b w:val="0"/>
                <w:color w:val="auto"/>
                <w:sz w:val="17"/>
                <w:szCs w:val="17"/>
              </w:rPr>
              <w:t>N/A</w:t>
            </w:r>
          </w:p>
        </w:tc>
        <w:tc>
          <w:tcPr>
            <w:tcW w:w="850" w:type="dxa"/>
            <w:shd w:val="clear" w:color="auto" w:fill="auto"/>
          </w:tcPr>
          <w:p w14:paraId="15EE40A8" w14:textId="662488DB" w:rsidR="00DC5575" w:rsidRPr="00685583" w:rsidRDefault="00DC5575" w:rsidP="00DC5575">
            <w:pPr>
              <w:pStyle w:val="Tableheadingrow9pt"/>
              <w:jc w:val="right"/>
              <w:rPr>
                <w:b w:val="0"/>
                <w:bCs/>
                <w:color w:val="auto"/>
                <w:sz w:val="17"/>
                <w:szCs w:val="17"/>
              </w:rPr>
            </w:pPr>
            <w:r w:rsidRPr="00685583">
              <w:rPr>
                <w:b w:val="0"/>
                <w:color w:val="auto"/>
                <w:sz w:val="17"/>
                <w:szCs w:val="17"/>
              </w:rPr>
              <w:t>&gt;50%</w:t>
            </w:r>
          </w:p>
        </w:tc>
        <w:tc>
          <w:tcPr>
            <w:tcW w:w="709" w:type="dxa"/>
            <w:shd w:val="clear" w:color="auto" w:fill="auto"/>
          </w:tcPr>
          <w:p w14:paraId="70331890" w14:textId="35A2BC36" w:rsidR="00DC5575" w:rsidRPr="00685583" w:rsidRDefault="00DC5575" w:rsidP="00F1064D">
            <w:pPr>
              <w:pStyle w:val="Tableheadingrow9pt"/>
              <w:jc w:val="right"/>
              <w:rPr>
                <w:b w:val="0"/>
                <w:bCs/>
                <w:color w:val="auto"/>
                <w:sz w:val="17"/>
                <w:szCs w:val="17"/>
              </w:rPr>
            </w:pPr>
            <w:r w:rsidRPr="00685583">
              <w:rPr>
                <w:b w:val="0"/>
                <w:color w:val="auto"/>
                <w:sz w:val="17"/>
                <w:szCs w:val="17"/>
              </w:rPr>
              <w:t>N/A</w:t>
            </w:r>
          </w:p>
        </w:tc>
        <w:tc>
          <w:tcPr>
            <w:tcW w:w="850" w:type="dxa"/>
            <w:shd w:val="clear" w:color="auto" w:fill="auto"/>
          </w:tcPr>
          <w:p w14:paraId="73423A9B" w14:textId="7F4A369F" w:rsidR="00DC5575" w:rsidRPr="00685583" w:rsidRDefault="00DC5575" w:rsidP="00DC5575">
            <w:pPr>
              <w:pStyle w:val="Tableheadingrow9pt"/>
              <w:jc w:val="right"/>
              <w:rPr>
                <w:b w:val="0"/>
                <w:bCs/>
                <w:color w:val="auto"/>
                <w:sz w:val="17"/>
                <w:szCs w:val="17"/>
              </w:rPr>
            </w:pPr>
            <w:r w:rsidRPr="00685583">
              <w:rPr>
                <w:b w:val="0"/>
                <w:color w:val="auto"/>
                <w:sz w:val="17"/>
                <w:szCs w:val="17"/>
              </w:rPr>
              <w:t>&gt;50%</w:t>
            </w:r>
          </w:p>
        </w:tc>
        <w:tc>
          <w:tcPr>
            <w:tcW w:w="709" w:type="dxa"/>
            <w:shd w:val="clear" w:color="auto" w:fill="auto"/>
          </w:tcPr>
          <w:p w14:paraId="4ECF3489" w14:textId="48416A2E" w:rsidR="00DC5575" w:rsidRPr="00BE027A" w:rsidRDefault="00BE027A" w:rsidP="00F1064D">
            <w:pPr>
              <w:pStyle w:val="Tableheadingrow9pt"/>
              <w:jc w:val="right"/>
              <w:rPr>
                <w:b w:val="0"/>
                <w:bCs/>
                <w:color w:val="auto"/>
                <w:sz w:val="17"/>
                <w:szCs w:val="17"/>
              </w:rPr>
            </w:pPr>
            <w:r w:rsidRPr="00BE027A">
              <w:rPr>
                <w:b w:val="0"/>
                <w:color w:val="auto"/>
                <w:sz w:val="17"/>
                <w:szCs w:val="17"/>
              </w:rPr>
              <w:t>N/A</w:t>
            </w:r>
          </w:p>
        </w:tc>
        <w:tc>
          <w:tcPr>
            <w:tcW w:w="736" w:type="dxa"/>
            <w:shd w:val="clear" w:color="auto" w:fill="auto"/>
          </w:tcPr>
          <w:p w14:paraId="7E1F38B8" w14:textId="56D80294" w:rsidR="00DC5575" w:rsidRPr="00BE027A" w:rsidRDefault="00BE027A" w:rsidP="00DC5575">
            <w:pPr>
              <w:pStyle w:val="Tableheadingrow9pt"/>
              <w:jc w:val="right"/>
              <w:rPr>
                <w:b w:val="0"/>
                <w:bCs/>
                <w:color w:val="auto"/>
                <w:sz w:val="17"/>
                <w:szCs w:val="17"/>
              </w:rPr>
            </w:pPr>
            <w:r w:rsidRPr="00BE027A">
              <w:rPr>
                <w:b w:val="0"/>
                <w:color w:val="auto"/>
                <w:sz w:val="17"/>
                <w:szCs w:val="17"/>
              </w:rPr>
              <w:t>&gt;50%</w:t>
            </w:r>
          </w:p>
        </w:tc>
      </w:tr>
      <w:tr w:rsidR="00946FE8" w:rsidRPr="00685583" w14:paraId="656BF62C" w14:textId="77777777" w:rsidTr="00946FE8">
        <w:trPr>
          <w:trHeight w:val="37"/>
          <w:jc w:val="center"/>
        </w:trPr>
        <w:tc>
          <w:tcPr>
            <w:tcW w:w="1696" w:type="dxa"/>
            <w:gridSpan w:val="2"/>
            <w:shd w:val="clear" w:color="auto" w:fill="auto"/>
          </w:tcPr>
          <w:p w14:paraId="26EF3E91" w14:textId="2BF944AD" w:rsidR="00946FE8" w:rsidRPr="00685583" w:rsidRDefault="00946FE8" w:rsidP="00061B76">
            <w:pPr>
              <w:pStyle w:val="Tableheadingrow9pt"/>
              <w:rPr>
                <w:bCs/>
                <w:color w:val="auto"/>
                <w:sz w:val="17"/>
                <w:szCs w:val="17"/>
              </w:rPr>
            </w:pPr>
            <w:r>
              <w:rPr>
                <w:color w:val="auto"/>
                <w:sz w:val="17"/>
                <w:szCs w:val="17"/>
              </w:rPr>
              <w:t>2021–22 Expected Performance Result</w:t>
            </w:r>
          </w:p>
        </w:tc>
        <w:tc>
          <w:tcPr>
            <w:tcW w:w="687" w:type="dxa"/>
            <w:vMerge w:val="restart"/>
            <w:shd w:val="clear" w:color="auto" w:fill="auto"/>
          </w:tcPr>
          <w:p w14:paraId="16BE5C91" w14:textId="77777777" w:rsidR="00946FE8" w:rsidRPr="00685583" w:rsidRDefault="00946FE8" w:rsidP="00DC5575">
            <w:pPr>
              <w:pStyle w:val="Tableheadingrow9pt"/>
              <w:rPr>
                <w:bCs/>
                <w:color w:val="auto"/>
                <w:sz w:val="17"/>
                <w:szCs w:val="17"/>
              </w:rPr>
            </w:pPr>
          </w:p>
        </w:tc>
        <w:tc>
          <w:tcPr>
            <w:tcW w:w="731" w:type="dxa"/>
            <w:vMerge w:val="restart"/>
            <w:shd w:val="clear" w:color="auto" w:fill="auto"/>
          </w:tcPr>
          <w:p w14:paraId="1FF1F354" w14:textId="77777777" w:rsidR="00946FE8" w:rsidRPr="00685583" w:rsidRDefault="00946FE8" w:rsidP="00DC5575">
            <w:pPr>
              <w:pStyle w:val="Tableheadingrow9pt"/>
              <w:rPr>
                <w:bCs/>
                <w:color w:val="auto"/>
                <w:sz w:val="17"/>
                <w:szCs w:val="17"/>
              </w:rPr>
            </w:pPr>
          </w:p>
        </w:tc>
        <w:tc>
          <w:tcPr>
            <w:tcW w:w="709" w:type="dxa"/>
            <w:vMerge w:val="restart"/>
            <w:shd w:val="clear" w:color="auto" w:fill="auto"/>
          </w:tcPr>
          <w:p w14:paraId="2010B063" w14:textId="77777777" w:rsidR="00946FE8" w:rsidRPr="00685583" w:rsidRDefault="00946FE8" w:rsidP="00DC5575">
            <w:pPr>
              <w:pStyle w:val="Tableheadingrow9pt"/>
              <w:rPr>
                <w:bCs/>
                <w:color w:val="auto"/>
                <w:sz w:val="17"/>
                <w:szCs w:val="17"/>
              </w:rPr>
            </w:pPr>
          </w:p>
        </w:tc>
        <w:tc>
          <w:tcPr>
            <w:tcW w:w="850" w:type="dxa"/>
            <w:vMerge w:val="restart"/>
            <w:shd w:val="clear" w:color="auto" w:fill="auto"/>
          </w:tcPr>
          <w:p w14:paraId="3B4B9BC2" w14:textId="77777777" w:rsidR="00946FE8" w:rsidRPr="00685583" w:rsidRDefault="00946FE8" w:rsidP="00DC5575">
            <w:pPr>
              <w:pStyle w:val="Tableheadingrow9pt"/>
              <w:rPr>
                <w:bCs/>
                <w:color w:val="auto"/>
                <w:sz w:val="17"/>
                <w:szCs w:val="17"/>
              </w:rPr>
            </w:pPr>
          </w:p>
        </w:tc>
        <w:tc>
          <w:tcPr>
            <w:tcW w:w="709" w:type="dxa"/>
            <w:vMerge w:val="restart"/>
            <w:shd w:val="clear" w:color="auto" w:fill="auto"/>
          </w:tcPr>
          <w:p w14:paraId="5EA33A7D" w14:textId="77777777" w:rsidR="00946FE8" w:rsidRPr="00685583" w:rsidRDefault="00946FE8" w:rsidP="00DC5575">
            <w:pPr>
              <w:pStyle w:val="Tableheadingrow9pt"/>
              <w:rPr>
                <w:bCs/>
                <w:color w:val="auto"/>
                <w:sz w:val="17"/>
                <w:szCs w:val="17"/>
              </w:rPr>
            </w:pPr>
          </w:p>
        </w:tc>
        <w:tc>
          <w:tcPr>
            <w:tcW w:w="850" w:type="dxa"/>
            <w:vMerge w:val="restart"/>
            <w:shd w:val="clear" w:color="auto" w:fill="auto"/>
          </w:tcPr>
          <w:p w14:paraId="3707C585" w14:textId="77777777" w:rsidR="00946FE8" w:rsidRPr="00685583" w:rsidRDefault="00946FE8" w:rsidP="00DC5575">
            <w:pPr>
              <w:pStyle w:val="Tableheadingrow9pt"/>
              <w:rPr>
                <w:bCs/>
                <w:color w:val="auto"/>
                <w:sz w:val="17"/>
                <w:szCs w:val="17"/>
              </w:rPr>
            </w:pPr>
          </w:p>
        </w:tc>
        <w:tc>
          <w:tcPr>
            <w:tcW w:w="709" w:type="dxa"/>
            <w:vMerge w:val="restart"/>
            <w:shd w:val="clear" w:color="auto" w:fill="auto"/>
          </w:tcPr>
          <w:p w14:paraId="40315FAD" w14:textId="77777777" w:rsidR="00946FE8" w:rsidRPr="00685583" w:rsidRDefault="00946FE8" w:rsidP="00DC5575">
            <w:pPr>
              <w:pStyle w:val="Tableheadingrow9pt"/>
              <w:rPr>
                <w:bCs/>
                <w:color w:val="auto"/>
                <w:sz w:val="17"/>
                <w:szCs w:val="17"/>
              </w:rPr>
            </w:pPr>
          </w:p>
        </w:tc>
        <w:tc>
          <w:tcPr>
            <w:tcW w:w="736" w:type="dxa"/>
            <w:vMerge w:val="restart"/>
            <w:shd w:val="clear" w:color="auto" w:fill="auto"/>
          </w:tcPr>
          <w:p w14:paraId="6DBC21DC" w14:textId="1E3C9F77" w:rsidR="00946FE8" w:rsidRPr="00685583" w:rsidRDefault="00946FE8" w:rsidP="00DC5575">
            <w:pPr>
              <w:pStyle w:val="Tableheadingrow9pt"/>
              <w:rPr>
                <w:bCs/>
                <w:color w:val="auto"/>
                <w:sz w:val="17"/>
                <w:szCs w:val="17"/>
              </w:rPr>
            </w:pPr>
          </w:p>
        </w:tc>
      </w:tr>
      <w:tr w:rsidR="00946FE8" w:rsidRPr="00685583" w14:paraId="56EE1835" w14:textId="77777777" w:rsidTr="00946FE8">
        <w:trPr>
          <w:trHeight w:val="37"/>
          <w:jc w:val="center"/>
        </w:trPr>
        <w:tc>
          <w:tcPr>
            <w:tcW w:w="846" w:type="dxa"/>
            <w:shd w:val="clear" w:color="auto" w:fill="auto"/>
          </w:tcPr>
          <w:p w14:paraId="176C9092" w14:textId="08FCFEF2" w:rsidR="00946FE8" w:rsidRPr="00685583" w:rsidRDefault="00946FE8" w:rsidP="007F6C6A">
            <w:pPr>
              <w:pStyle w:val="Tableheadingrow9pt"/>
              <w:jc w:val="center"/>
              <w:rPr>
                <w:color w:val="auto"/>
                <w:sz w:val="16"/>
                <w:szCs w:val="16"/>
              </w:rPr>
            </w:pPr>
            <w:r w:rsidRPr="00685583">
              <w:rPr>
                <w:bCs/>
                <w:color w:val="auto"/>
                <w:sz w:val="16"/>
                <w:szCs w:val="16"/>
              </w:rPr>
              <w:t>MM1</w:t>
            </w:r>
          </w:p>
        </w:tc>
        <w:tc>
          <w:tcPr>
            <w:tcW w:w="850" w:type="dxa"/>
            <w:shd w:val="clear" w:color="auto" w:fill="auto"/>
          </w:tcPr>
          <w:p w14:paraId="33EDE49C" w14:textId="3B27BDB5" w:rsidR="00946FE8" w:rsidRPr="00685583" w:rsidRDefault="00946FE8" w:rsidP="007F6C6A">
            <w:pPr>
              <w:pStyle w:val="Tableheadingrow9pt"/>
              <w:jc w:val="center"/>
              <w:rPr>
                <w:color w:val="auto"/>
                <w:sz w:val="16"/>
                <w:szCs w:val="16"/>
              </w:rPr>
            </w:pPr>
            <w:r w:rsidRPr="00685583">
              <w:rPr>
                <w:bCs/>
                <w:color w:val="auto"/>
                <w:sz w:val="16"/>
                <w:szCs w:val="16"/>
              </w:rPr>
              <w:t>MM2-7</w:t>
            </w:r>
          </w:p>
        </w:tc>
        <w:tc>
          <w:tcPr>
            <w:tcW w:w="687" w:type="dxa"/>
            <w:vMerge/>
            <w:shd w:val="clear" w:color="auto" w:fill="auto"/>
          </w:tcPr>
          <w:p w14:paraId="08FC1F74" w14:textId="77777777" w:rsidR="00946FE8" w:rsidRPr="00685583" w:rsidRDefault="00946FE8" w:rsidP="00DC5575">
            <w:pPr>
              <w:pStyle w:val="Tableheadingrow9pt"/>
              <w:rPr>
                <w:bCs/>
                <w:color w:val="auto"/>
                <w:sz w:val="16"/>
                <w:szCs w:val="16"/>
              </w:rPr>
            </w:pPr>
          </w:p>
        </w:tc>
        <w:tc>
          <w:tcPr>
            <w:tcW w:w="731" w:type="dxa"/>
            <w:vMerge/>
            <w:shd w:val="clear" w:color="auto" w:fill="auto"/>
          </w:tcPr>
          <w:p w14:paraId="4B4F4BF4"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3C21ACED" w14:textId="77777777" w:rsidR="00946FE8" w:rsidRPr="00685583" w:rsidRDefault="00946FE8" w:rsidP="00DC5575">
            <w:pPr>
              <w:pStyle w:val="Tableheadingrow9pt"/>
              <w:rPr>
                <w:bCs/>
                <w:color w:val="auto"/>
                <w:sz w:val="16"/>
                <w:szCs w:val="16"/>
              </w:rPr>
            </w:pPr>
          </w:p>
        </w:tc>
        <w:tc>
          <w:tcPr>
            <w:tcW w:w="850" w:type="dxa"/>
            <w:vMerge/>
            <w:shd w:val="clear" w:color="auto" w:fill="auto"/>
          </w:tcPr>
          <w:p w14:paraId="72F3DF67"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10CE746C" w14:textId="77777777" w:rsidR="00946FE8" w:rsidRPr="00685583" w:rsidRDefault="00946FE8" w:rsidP="00DC5575">
            <w:pPr>
              <w:pStyle w:val="Tableheadingrow9pt"/>
              <w:rPr>
                <w:bCs/>
                <w:color w:val="auto"/>
                <w:sz w:val="16"/>
                <w:szCs w:val="16"/>
              </w:rPr>
            </w:pPr>
          </w:p>
        </w:tc>
        <w:tc>
          <w:tcPr>
            <w:tcW w:w="850" w:type="dxa"/>
            <w:vMerge/>
            <w:shd w:val="clear" w:color="auto" w:fill="auto"/>
          </w:tcPr>
          <w:p w14:paraId="5B550C67" w14:textId="77777777" w:rsidR="00946FE8" w:rsidRPr="00685583" w:rsidRDefault="00946FE8" w:rsidP="00DC5575">
            <w:pPr>
              <w:pStyle w:val="Tableheadingrow9pt"/>
              <w:rPr>
                <w:bCs/>
                <w:color w:val="auto"/>
                <w:sz w:val="16"/>
                <w:szCs w:val="16"/>
              </w:rPr>
            </w:pPr>
          </w:p>
        </w:tc>
        <w:tc>
          <w:tcPr>
            <w:tcW w:w="709" w:type="dxa"/>
            <w:vMerge/>
            <w:shd w:val="clear" w:color="auto" w:fill="auto"/>
          </w:tcPr>
          <w:p w14:paraId="68C9BBF5" w14:textId="77777777" w:rsidR="00946FE8" w:rsidRPr="00685583" w:rsidRDefault="00946FE8" w:rsidP="00DC5575">
            <w:pPr>
              <w:pStyle w:val="Tableheadingrow9pt"/>
              <w:rPr>
                <w:bCs/>
                <w:color w:val="auto"/>
                <w:sz w:val="16"/>
                <w:szCs w:val="16"/>
              </w:rPr>
            </w:pPr>
          </w:p>
        </w:tc>
        <w:tc>
          <w:tcPr>
            <w:tcW w:w="736" w:type="dxa"/>
            <w:vMerge/>
            <w:shd w:val="clear" w:color="auto" w:fill="auto"/>
          </w:tcPr>
          <w:p w14:paraId="4867F350" w14:textId="495CD249" w:rsidR="00946FE8" w:rsidRPr="00685583" w:rsidRDefault="00946FE8" w:rsidP="00DC5575">
            <w:pPr>
              <w:pStyle w:val="Tableheadingrow9pt"/>
              <w:rPr>
                <w:bCs/>
                <w:color w:val="auto"/>
                <w:sz w:val="16"/>
                <w:szCs w:val="16"/>
              </w:rPr>
            </w:pPr>
          </w:p>
        </w:tc>
      </w:tr>
      <w:tr w:rsidR="00946FE8" w:rsidRPr="00685583" w14:paraId="5B70F57E" w14:textId="77777777" w:rsidTr="00946FE8">
        <w:trPr>
          <w:trHeight w:val="36"/>
          <w:jc w:val="center"/>
        </w:trPr>
        <w:tc>
          <w:tcPr>
            <w:tcW w:w="846" w:type="dxa"/>
            <w:shd w:val="clear" w:color="auto" w:fill="auto"/>
          </w:tcPr>
          <w:p w14:paraId="36FE0664" w14:textId="4579D4CF" w:rsidR="00946FE8" w:rsidRPr="00BE027A" w:rsidRDefault="00946FE8" w:rsidP="00DC5575">
            <w:pPr>
              <w:pStyle w:val="Tableheadingrow9pt"/>
              <w:rPr>
                <w:b w:val="0"/>
                <w:color w:val="auto"/>
                <w:sz w:val="17"/>
                <w:szCs w:val="17"/>
              </w:rPr>
            </w:pPr>
            <w:r w:rsidRPr="00BE027A">
              <w:rPr>
                <w:b w:val="0"/>
                <w:color w:val="auto"/>
                <w:sz w:val="17"/>
                <w:szCs w:val="17"/>
              </w:rPr>
              <w:t>a. 112.9</w:t>
            </w:r>
          </w:p>
        </w:tc>
        <w:tc>
          <w:tcPr>
            <w:tcW w:w="850" w:type="dxa"/>
            <w:shd w:val="clear" w:color="auto" w:fill="auto"/>
          </w:tcPr>
          <w:p w14:paraId="4A480C56" w14:textId="037B18C5" w:rsidR="00946FE8" w:rsidRPr="00BE027A" w:rsidRDefault="00946FE8" w:rsidP="00DC5575">
            <w:pPr>
              <w:pStyle w:val="Tableheadingrow9pt"/>
              <w:jc w:val="right"/>
              <w:rPr>
                <w:b w:val="0"/>
                <w:color w:val="auto"/>
                <w:sz w:val="17"/>
                <w:szCs w:val="17"/>
              </w:rPr>
            </w:pPr>
            <w:r w:rsidRPr="00BE027A">
              <w:rPr>
                <w:b w:val="0"/>
                <w:color w:val="auto"/>
                <w:sz w:val="17"/>
                <w:szCs w:val="17"/>
              </w:rPr>
              <w:t>99.9</w:t>
            </w:r>
          </w:p>
        </w:tc>
        <w:tc>
          <w:tcPr>
            <w:tcW w:w="687" w:type="dxa"/>
            <w:vMerge/>
            <w:shd w:val="clear" w:color="auto" w:fill="auto"/>
          </w:tcPr>
          <w:p w14:paraId="7BFF62F5" w14:textId="77777777" w:rsidR="00946FE8" w:rsidRPr="00685583" w:rsidRDefault="00946FE8" w:rsidP="00DC5575">
            <w:pPr>
              <w:rPr>
                <w:color w:val="auto"/>
                <w:sz w:val="17"/>
                <w:szCs w:val="17"/>
              </w:rPr>
            </w:pPr>
          </w:p>
        </w:tc>
        <w:tc>
          <w:tcPr>
            <w:tcW w:w="731" w:type="dxa"/>
            <w:vMerge/>
            <w:shd w:val="clear" w:color="auto" w:fill="auto"/>
          </w:tcPr>
          <w:p w14:paraId="0F84558E" w14:textId="77777777" w:rsidR="00946FE8" w:rsidRPr="00685583" w:rsidRDefault="00946FE8" w:rsidP="00DC5575">
            <w:pPr>
              <w:rPr>
                <w:color w:val="auto"/>
                <w:sz w:val="17"/>
                <w:szCs w:val="17"/>
              </w:rPr>
            </w:pPr>
          </w:p>
        </w:tc>
        <w:tc>
          <w:tcPr>
            <w:tcW w:w="709" w:type="dxa"/>
            <w:vMerge/>
            <w:shd w:val="clear" w:color="auto" w:fill="auto"/>
          </w:tcPr>
          <w:p w14:paraId="62D2E87F" w14:textId="77777777" w:rsidR="00946FE8" w:rsidRPr="00685583" w:rsidRDefault="00946FE8" w:rsidP="00DC5575">
            <w:pPr>
              <w:rPr>
                <w:color w:val="auto"/>
                <w:sz w:val="17"/>
                <w:szCs w:val="17"/>
              </w:rPr>
            </w:pPr>
          </w:p>
        </w:tc>
        <w:tc>
          <w:tcPr>
            <w:tcW w:w="850" w:type="dxa"/>
            <w:vMerge/>
            <w:shd w:val="clear" w:color="auto" w:fill="auto"/>
          </w:tcPr>
          <w:p w14:paraId="502E4E04" w14:textId="77777777" w:rsidR="00946FE8" w:rsidRPr="00685583" w:rsidRDefault="00946FE8" w:rsidP="00DC5575">
            <w:pPr>
              <w:rPr>
                <w:color w:val="auto"/>
                <w:sz w:val="17"/>
                <w:szCs w:val="17"/>
              </w:rPr>
            </w:pPr>
          </w:p>
        </w:tc>
        <w:tc>
          <w:tcPr>
            <w:tcW w:w="709" w:type="dxa"/>
            <w:vMerge/>
            <w:shd w:val="clear" w:color="auto" w:fill="auto"/>
          </w:tcPr>
          <w:p w14:paraId="1B73CF4A" w14:textId="77777777" w:rsidR="00946FE8" w:rsidRPr="00685583" w:rsidRDefault="00946FE8" w:rsidP="00DC5575">
            <w:pPr>
              <w:rPr>
                <w:color w:val="auto"/>
                <w:sz w:val="17"/>
                <w:szCs w:val="17"/>
              </w:rPr>
            </w:pPr>
          </w:p>
        </w:tc>
        <w:tc>
          <w:tcPr>
            <w:tcW w:w="850" w:type="dxa"/>
            <w:vMerge/>
            <w:shd w:val="clear" w:color="auto" w:fill="auto"/>
          </w:tcPr>
          <w:p w14:paraId="44E40992" w14:textId="77777777" w:rsidR="00946FE8" w:rsidRPr="00685583" w:rsidRDefault="00946FE8" w:rsidP="00DC5575">
            <w:pPr>
              <w:rPr>
                <w:color w:val="auto"/>
                <w:sz w:val="17"/>
                <w:szCs w:val="17"/>
              </w:rPr>
            </w:pPr>
          </w:p>
        </w:tc>
        <w:tc>
          <w:tcPr>
            <w:tcW w:w="709" w:type="dxa"/>
            <w:vMerge/>
            <w:shd w:val="clear" w:color="auto" w:fill="auto"/>
          </w:tcPr>
          <w:p w14:paraId="7B500F03" w14:textId="77777777" w:rsidR="00946FE8" w:rsidRPr="00685583" w:rsidRDefault="00946FE8" w:rsidP="00DC5575">
            <w:pPr>
              <w:rPr>
                <w:color w:val="auto"/>
                <w:sz w:val="17"/>
                <w:szCs w:val="17"/>
              </w:rPr>
            </w:pPr>
          </w:p>
        </w:tc>
        <w:tc>
          <w:tcPr>
            <w:tcW w:w="736" w:type="dxa"/>
            <w:vMerge/>
            <w:shd w:val="clear" w:color="auto" w:fill="auto"/>
          </w:tcPr>
          <w:p w14:paraId="705A836E" w14:textId="2A182991" w:rsidR="00946FE8" w:rsidRPr="00685583" w:rsidRDefault="00946FE8" w:rsidP="00DC5575">
            <w:pPr>
              <w:rPr>
                <w:color w:val="auto"/>
                <w:sz w:val="17"/>
                <w:szCs w:val="17"/>
              </w:rPr>
            </w:pPr>
          </w:p>
        </w:tc>
      </w:tr>
      <w:tr w:rsidR="00946FE8" w:rsidRPr="00685583" w14:paraId="50635296" w14:textId="77777777" w:rsidTr="00946FE8">
        <w:trPr>
          <w:trHeight w:val="36"/>
          <w:jc w:val="center"/>
        </w:trPr>
        <w:tc>
          <w:tcPr>
            <w:tcW w:w="846" w:type="dxa"/>
            <w:shd w:val="clear" w:color="auto" w:fill="auto"/>
          </w:tcPr>
          <w:p w14:paraId="1786B738" w14:textId="202E2A5E" w:rsidR="00946FE8" w:rsidRPr="00BE027A" w:rsidRDefault="00946FE8" w:rsidP="00DC5575">
            <w:pPr>
              <w:pStyle w:val="Tableheadingrow9pt"/>
              <w:rPr>
                <w:b w:val="0"/>
                <w:color w:val="auto"/>
                <w:sz w:val="17"/>
                <w:szCs w:val="17"/>
              </w:rPr>
            </w:pPr>
            <w:r w:rsidRPr="00BE027A">
              <w:rPr>
                <w:b w:val="0"/>
                <w:color w:val="auto"/>
                <w:sz w:val="17"/>
                <w:szCs w:val="17"/>
              </w:rPr>
              <w:t>b. 5.3</w:t>
            </w:r>
          </w:p>
        </w:tc>
        <w:tc>
          <w:tcPr>
            <w:tcW w:w="850" w:type="dxa"/>
            <w:shd w:val="clear" w:color="auto" w:fill="auto"/>
          </w:tcPr>
          <w:p w14:paraId="262FAE05" w14:textId="5FD6B201" w:rsidR="00946FE8" w:rsidRPr="00BE027A" w:rsidRDefault="00946FE8" w:rsidP="00DC5575">
            <w:pPr>
              <w:pStyle w:val="Tableheadingrow9pt"/>
              <w:jc w:val="right"/>
              <w:rPr>
                <w:b w:val="0"/>
                <w:color w:val="auto"/>
                <w:sz w:val="17"/>
                <w:szCs w:val="17"/>
              </w:rPr>
            </w:pPr>
            <w:r w:rsidRPr="00BE027A">
              <w:rPr>
                <w:b w:val="0"/>
                <w:color w:val="auto"/>
                <w:sz w:val="17"/>
                <w:szCs w:val="17"/>
              </w:rPr>
              <w:t>10.1</w:t>
            </w:r>
          </w:p>
        </w:tc>
        <w:tc>
          <w:tcPr>
            <w:tcW w:w="687" w:type="dxa"/>
            <w:vMerge/>
            <w:shd w:val="clear" w:color="auto" w:fill="auto"/>
          </w:tcPr>
          <w:p w14:paraId="6FAD14FB" w14:textId="77777777" w:rsidR="00946FE8" w:rsidRPr="00685583" w:rsidRDefault="00946FE8" w:rsidP="00DC5575">
            <w:pPr>
              <w:rPr>
                <w:color w:val="auto"/>
                <w:sz w:val="17"/>
                <w:szCs w:val="17"/>
              </w:rPr>
            </w:pPr>
          </w:p>
        </w:tc>
        <w:tc>
          <w:tcPr>
            <w:tcW w:w="731" w:type="dxa"/>
            <w:vMerge/>
            <w:shd w:val="clear" w:color="auto" w:fill="auto"/>
          </w:tcPr>
          <w:p w14:paraId="5E0AE249" w14:textId="77777777" w:rsidR="00946FE8" w:rsidRPr="00685583" w:rsidRDefault="00946FE8" w:rsidP="00DC5575">
            <w:pPr>
              <w:rPr>
                <w:color w:val="auto"/>
                <w:sz w:val="17"/>
                <w:szCs w:val="17"/>
              </w:rPr>
            </w:pPr>
          </w:p>
        </w:tc>
        <w:tc>
          <w:tcPr>
            <w:tcW w:w="709" w:type="dxa"/>
            <w:vMerge/>
            <w:shd w:val="clear" w:color="auto" w:fill="auto"/>
          </w:tcPr>
          <w:p w14:paraId="6297E328" w14:textId="77777777" w:rsidR="00946FE8" w:rsidRPr="00685583" w:rsidRDefault="00946FE8" w:rsidP="00DC5575">
            <w:pPr>
              <w:rPr>
                <w:color w:val="auto"/>
                <w:sz w:val="17"/>
                <w:szCs w:val="17"/>
              </w:rPr>
            </w:pPr>
          </w:p>
        </w:tc>
        <w:tc>
          <w:tcPr>
            <w:tcW w:w="850" w:type="dxa"/>
            <w:vMerge/>
            <w:shd w:val="clear" w:color="auto" w:fill="auto"/>
          </w:tcPr>
          <w:p w14:paraId="77F27129" w14:textId="77777777" w:rsidR="00946FE8" w:rsidRPr="00685583" w:rsidRDefault="00946FE8" w:rsidP="00DC5575">
            <w:pPr>
              <w:rPr>
                <w:color w:val="auto"/>
                <w:sz w:val="17"/>
                <w:szCs w:val="17"/>
              </w:rPr>
            </w:pPr>
          </w:p>
        </w:tc>
        <w:tc>
          <w:tcPr>
            <w:tcW w:w="709" w:type="dxa"/>
            <w:vMerge/>
            <w:shd w:val="clear" w:color="auto" w:fill="auto"/>
          </w:tcPr>
          <w:p w14:paraId="2AEC26DC" w14:textId="77777777" w:rsidR="00946FE8" w:rsidRPr="00685583" w:rsidRDefault="00946FE8" w:rsidP="00DC5575">
            <w:pPr>
              <w:rPr>
                <w:color w:val="auto"/>
                <w:sz w:val="17"/>
                <w:szCs w:val="17"/>
              </w:rPr>
            </w:pPr>
          </w:p>
        </w:tc>
        <w:tc>
          <w:tcPr>
            <w:tcW w:w="850" w:type="dxa"/>
            <w:vMerge/>
            <w:shd w:val="clear" w:color="auto" w:fill="auto"/>
          </w:tcPr>
          <w:p w14:paraId="409B8E3A" w14:textId="77777777" w:rsidR="00946FE8" w:rsidRPr="00685583" w:rsidRDefault="00946FE8" w:rsidP="00DC5575">
            <w:pPr>
              <w:rPr>
                <w:color w:val="auto"/>
                <w:sz w:val="17"/>
                <w:szCs w:val="17"/>
              </w:rPr>
            </w:pPr>
          </w:p>
        </w:tc>
        <w:tc>
          <w:tcPr>
            <w:tcW w:w="709" w:type="dxa"/>
            <w:vMerge/>
            <w:shd w:val="clear" w:color="auto" w:fill="auto"/>
          </w:tcPr>
          <w:p w14:paraId="2AAC2BC7" w14:textId="77777777" w:rsidR="00946FE8" w:rsidRPr="00685583" w:rsidRDefault="00946FE8" w:rsidP="00DC5575">
            <w:pPr>
              <w:rPr>
                <w:color w:val="auto"/>
                <w:sz w:val="17"/>
                <w:szCs w:val="17"/>
              </w:rPr>
            </w:pPr>
          </w:p>
        </w:tc>
        <w:tc>
          <w:tcPr>
            <w:tcW w:w="736" w:type="dxa"/>
            <w:vMerge/>
            <w:shd w:val="clear" w:color="auto" w:fill="auto"/>
          </w:tcPr>
          <w:p w14:paraId="2136DA59" w14:textId="69BF6C5D" w:rsidR="00946FE8" w:rsidRPr="00685583" w:rsidRDefault="00946FE8" w:rsidP="00DC5575">
            <w:pPr>
              <w:rPr>
                <w:color w:val="auto"/>
                <w:sz w:val="17"/>
                <w:szCs w:val="17"/>
              </w:rPr>
            </w:pPr>
          </w:p>
        </w:tc>
      </w:tr>
      <w:tr w:rsidR="00946FE8" w:rsidRPr="00685583" w14:paraId="1E908156" w14:textId="77777777" w:rsidTr="00946FE8">
        <w:trPr>
          <w:trHeight w:val="36"/>
          <w:jc w:val="center"/>
        </w:trPr>
        <w:tc>
          <w:tcPr>
            <w:tcW w:w="846" w:type="dxa"/>
            <w:shd w:val="clear" w:color="auto" w:fill="auto"/>
          </w:tcPr>
          <w:p w14:paraId="0D641E8F" w14:textId="7E169580" w:rsidR="00946FE8" w:rsidRPr="00BE027A" w:rsidRDefault="00946FE8" w:rsidP="00DC5575">
            <w:pPr>
              <w:pStyle w:val="Tableheadingrow9pt"/>
              <w:rPr>
                <w:b w:val="0"/>
                <w:color w:val="auto"/>
                <w:sz w:val="17"/>
                <w:szCs w:val="17"/>
              </w:rPr>
            </w:pPr>
            <w:r w:rsidRPr="00BE027A">
              <w:rPr>
                <w:b w:val="0"/>
                <w:color w:val="auto"/>
                <w:sz w:val="17"/>
                <w:szCs w:val="17"/>
              </w:rPr>
              <w:t>c. 184.3</w:t>
            </w:r>
          </w:p>
        </w:tc>
        <w:tc>
          <w:tcPr>
            <w:tcW w:w="850" w:type="dxa"/>
            <w:shd w:val="clear" w:color="auto" w:fill="auto"/>
          </w:tcPr>
          <w:p w14:paraId="54F51429" w14:textId="493D764D" w:rsidR="00946FE8" w:rsidRPr="00BE027A" w:rsidRDefault="00946FE8" w:rsidP="00DC5575">
            <w:pPr>
              <w:pStyle w:val="Tableheadingrow9pt"/>
              <w:jc w:val="right"/>
              <w:rPr>
                <w:b w:val="0"/>
                <w:color w:val="auto"/>
                <w:sz w:val="17"/>
                <w:szCs w:val="17"/>
              </w:rPr>
            </w:pPr>
            <w:r w:rsidRPr="00BE027A">
              <w:rPr>
                <w:b w:val="0"/>
                <w:color w:val="auto"/>
                <w:sz w:val="17"/>
                <w:szCs w:val="17"/>
              </w:rPr>
              <w:t>89.1</w:t>
            </w:r>
          </w:p>
        </w:tc>
        <w:tc>
          <w:tcPr>
            <w:tcW w:w="687" w:type="dxa"/>
            <w:vMerge/>
            <w:shd w:val="clear" w:color="auto" w:fill="auto"/>
          </w:tcPr>
          <w:p w14:paraId="445FE08E" w14:textId="77777777" w:rsidR="00946FE8" w:rsidRPr="00685583" w:rsidRDefault="00946FE8" w:rsidP="00DC5575">
            <w:pPr>
              <w:rPr>
                <w:color w:val="auto"/>
                <w:sz w:val="17"/>
                <w:szCs w:val="17"/>
              </w:rPr>
            </w:pPr>
          </w:p>
        </w:tc>
        <w:tc>
          <w:tcPr>
            <w:tcW w:w="731" w:type="dxa"/>
            <w:vMerge/>
            <w:shd w:val="clear" w:color="auto" w:fill="auto"/>
          </w:tcPr>
          <w:p w14:paraId="2D3679DC" w14:textId="77777777" w:rsidR="00946FE8" w:rsidRPr="00685583" w:rsidRDefault="00946FE8" w:rsidP="00DC5575">
            <w:pPr>
              <w:rPr>
                <w:color w:val="auto"/>
                <w:sz w:val="17"/>
                <w:szCs w:val="17"/>
              </w:rPr>
            </w:pPr>
          </w:p>
        </w:tc>
        <w:tc>
          <w:tcPr>
            <w:tcW w:w="709" w:type="dxa"/>
            <w:vMerge/>
            <w:shd w:val="clear" w:color="auto" w:fill="auto"/>
          </w:tcPr>
          <w:p w14:paraId="1DEDB155" w14:textId="77777777" w:rsidR="00946FE8" w:rsidRPr="00685583" w:rsidRDefault="00946FE8" w:rsidP="00DC5575">
            <w:pPr>
              <w:rPr>
                <w:color w:val="auto"/>
                <w:sz w:val="17"/>
                <w:szCs w:val="17"/>
              </w:rPr>
            </w:pPr>
          </w:p>
        </w:tc>
        <w:tc>
          <w:tcPr>
            <w:tcW w:w="850" w:type="dxa"/>
            <w:vMerge/>
            <w:shd w:val="clear" w:color="auto" w:fill="auto"/>
          </w:tcPr>
          <w:p w14:paraId="42B8DD80" w14:textId="77777777" w:rsidR="00946FE8" w:rsidRPr="00685583" w:rsidRDefault="00946FE8" w:rsidP="00DC5575">
            <w:pPr>
              <w:rPr>
                <w:color w:val="auto"/>
                <w:sz w:val="17"/>
                <w:szCs w:val="17"/>
              </w:rPr>
            </w:pPr>
          </w:p>
        </w:tc>
        <w:tc>
          <w:tcPr>
            <w:tcW w:w="709" w:type="dxa"/>
            <w:vMerge/>
            <w:shd w:val="clear" w:color="auto" w:fill="auto"/>
          </w:tcPr>
          <w:p w14:paraId="49164640" w14:textId="77777777" w:rsidR="00946FE8" w:rsidRPr="00685583" w:rsidRDefault="00946FE8" w:rsidP="00DC5575">
            <w:pPr>
              <w:rPr>
                <w:color w:val="auto"/>
                <w:sz w:val="17"/>
                <w:szCs w:val="17"/>
              </w:rPr>
            </w:pPr>
          </w:p>
        </w:tc>
        <w:tc>
          <w:tcPr>
            <w:tcW w:w="850" w:type="dxa"/>
            <w:vMerge/>
            <w:shd w:val="clear" w:color="auto" w:fill="auto"/>
          </w:tcPr>
          <w:p w14:paraId="7691DB6A" w14:textId="77777777" w:rsidR="00946FE8" w:rsidRPr="00685583" w:rsidRDefault="00946FE8" w:rsidP="00DC5575">
            <w:pPr>
              <w:rPr>
                <w:color w:val="auto"/>
                <w:sz w:val="17"/>
                <w:szCs w:val="17"/>
              </w:rPr>
            </w:pPr>
          </w:p>
        </w:tc>
        <w:tc>
          <w:tcPr>
            <w:tcW w:w="709" w:type="dxa"/>
            <w:vMerge/>
            <w:shd w:val="clear" w:color="auto" w:fill="auto"/>
          </w:tcPr>
          <w:p w14:paraId="549B6D5D" w14:textId="77777777" w:rsidR="00946FE8" w:rsidRPr="00685583" w:rsidRDefault="00946FE8" w:rsidP="00DC5575">
            <w:pPr>
              <w:rPr>
                <w:color w:val="auto"/>
                <w:sz w:val="17"/>
                <w:szCs w:val="17"/>
              </w:rPr>
            </w:pPr>
          </w:p>
        </w:tc>
        <w:tc>
          <w:tcPr>
            <w:tcW w:w="736" w:type="dxa"/>
            <w:vMerge/>
            <w:shd w:val="clear" w:color="auto" w:fill="auto"/>
          </w:tcPr>
          <w:p w14:paraId="0FFE019C" w14:textId="0E67EF9C" w:rsidR="00946FE8" w:rsidRPr="00685583" w:rsidRDefault="00946FE8" w:rsidP="00DC5575">
            <w:pPr>
              <w:rPr>
                <w:color w:val="auto"/>
                <w:sz w:val="17"/>
                <w:szCs w:val="17"/>
              </w:rPr>
            </w:pPr>
          </w:p>
        </w:tc>
      </w:tr>
      <w:tr w:rsidR="00946FE8" w:rsidRPr="00685583" w14:paraId="3553A644" w14:textId="77777777" w:rsidTr="00946FE8">
        <w:trPr>
          <w:trHeight w:val="36"/>
          <w:jc w:val="center"/>
        </w:trPr>
        <w:tc>
          <w:tcPr>
            <w:tcW w:w="846" w:type="dxa"/>
            <w:shd w:val="clear" w:color="auto" w:fill="auto"/>
          </w:tcPr>
          <w:p w14:paraId="28BE748B" w14:textId="188D6BAC" w:rsidR="00946FE8" w:rsidRPr="00BE027A" w:rsidRDefault="00946FE8" w:rsidP="00DC5575">
            <w:pPr>
              <w:pStyle w:val="Tableheadingrow9pt"/>
              <w:rPr>
                <w:b w:val="0"/>
                <w:color w:val="auto"/>
                <w:sz w:val="17"/>
                <w:szCs w:val="17"/>
              </w:rPr>
            </w:pPr>
            <w:r w:rsidRPr="00BE027A">
              <w:rPr>
                <w:b w:val="0"/>
                <w:color w:val="auto"/>
                <w:sz w:val="17"/>
                <w:szCs w:val="17"/>
              </w:rPr>
              <w:t>d. 183.1</w:t>
            </w:r>
          </w:p>
        </w:tc>
        <w:tc>
          <w:tcPr>
            <w:tcW w:w="850" w:type="dxa"/>
            <w:shd w:val="clear" w:color="auto" w:fill="auto"/>
          </w:tcPr>
          <w:p w14:paraId="2D89CA18" w14:textId="5DA651C7" w:rsidR="00946FE8" w:rsidRPr="00BE027A" w:rsidRDefault="00946FE8" w:rsidP="00DC5575">
            <w:pPr>
              <w:pStyle w:val="Tableheadingrow9pt"/>
              <w:jc w:val="right"/>
              <w:rPr>
                <w:b w:val="0"/>
                <w:color w:val="auto"/>
                <w:sz w:val="17"/>
                <w:szCs w:val="17"/>
              </w:rPr>
            </w:pPr>
            <w:r w:rsidRPr="00BE027A">
              <w:rPr>
                <w:b w:val="0"/>
                <w:color w:val="auto"/>
                <w:sz w:val="17"/>
                <w:szCs w:val="17"/>
              </w:rPr>
              <w:t>225.9</w:t>
            </w:r>
          </w:p>
        </w:tc>
        <w:tc>
          <w:tcPr>
            <w:tcW w:w="687" w:type="dxa"/>
            <w:vMerge/>
            <w:shd w:val="clear" w:color="auto" w:fill="auto"/>
          </w:tcPr>
          <w:p w14:paraId="7D41AB66" w14:textId="77777777" w:rsidR="00946FE8" w:rsidRPr="00685583" w:rsidRDefault="00946FE8" w:rsidP="00DC5575">
            <w:pPr>
              <w:rPr>
                <w:color w:val="auto"/>
                <w:sz w:val="17"/>
                <w:szCs w:val="17"/>
              </w:rPr>
            </w:pPr>
          </w:p>
        </w:tc>
        <w:tc>
          <w:tcPr>
            <w:tcW w:w="731" w:type="dxa"/>
            <w:vMerge/>
            <w:shd w:val="clear" w:color="auto" w:fill="auto"/>
          </w:tcPr>
          <w:p w14:paraId="5B59579F" w14:textId="77777777" w:rsidR="00946FE8" w:rsidRPr="00685583" w:rsidRDefault="00946FE8" w:rsidP="00DC5575">
            <w:pPr>
              <w:rPr>
                <w:color w:val="auto"/>
                <w:sz w:val="17"/>
                <w:szCs w:val="17"/>
              </w:rPr>
            </w:pPr>
          </w:p>
        </w:tc>
        <w:tc>
          <w:tcPr>
            <w:tcW w:w="709" w:type="dxa"/>
            <w:vMerge/>
            <w:shd w:val="clear" w:color="auto" w:fill="auto"/>
          </w:tcPr>
          <w:p w14:paraId="0D835A70" w14:textId="77777777" w:rsidR="00946FE8" w:rsidRPr="00685583" w:rsidRDefault="00946FE8" w:rsidP="00DC5575">
            <w:pPr>
              <w:rPr>
                <w:color w:val="auto"/>
                <w:sz w:val="17"/>
                <w:szCs w:val="17"/>
              </w:rPr>
            </w:pPr>
          </w:p>
        </w:tc>
        <w:tc>
          <w:tcPr>
            <w:tcW w:w="850" w:type="dxa"/>
            <w:vMerge/>
            <w:shd w:val="clear" w:color="auto" w:fill="auto"/>
          </w:tcPr>
          <w:p w14:paraId="03312ED7" w14:textId="77777777" w:rsidR="00946FE8" w:rsidRPr="00685583" w:rsidRDefault="00946FE8" w:rsidP="00DC5575">
            <w:pPr>
              <w:rPr>
                <w:color w:val="auto"/>
                <w:sz w:val="17"/>
                <w:szCs w:val="17"/>
              </w:rPr>
            </w:pPr>
          </w:p>
        </w:tc>
        <w:tc>
          <w:tcPr>
            <w:tcW w:w="709" w:type="dxa"/>
            <w:vMerge/>
            <w:shd w:val="clear" w:color="auto" w:fill="auto"/>
          </w:tcPr>
          <w:p w14:paraId="10DEB1C5" w14:textId="77777777" w:rsidR="00946FE8" w:rsidRPr="00685583" w:rsidRDefault="00946FE8" w:rsidP="00DC5575">
            <w:pPr>
              <w:rPr>
                <w:color w:val="auto"/>
                <w:sz w:val="17"/>
                <w:szCs w:val="17"/>
              </w:rPr>
            </w:pPr>
          </w:p>
        </w:tc>
        <w:tc>
          <w:tcPr>
            <w:tcW w:w="850" w:type="dxa"/>
            <w:vMerge/>
            <w:shd w:val="clear" w:color="auto" w:fill="auto"/>
          </w:tcPr>
          <w:p w14:paraId="4A5686DE" w14:textId="77777777" w:rsidR="00946FE8" w:rsidRPr="00685583" w:rsidRDefault="00946FE8" w:rsidP="00DC5575">
            <w:pPr>
              <w:rPr>
                <w:color w:val="auto"/>
                <w:sz w:val="17"/>
                <w:szCs w:val="17"/>
              </w:rPr>
            </w:pPr>
          </w:p>
        </w:tc>
        <w:tc>
          <w:tcPr>
            <w:tcW w:w="709" w:type="dxa"/>
            <w:vMerge/>
            <w:shd w:val="clear" w:color="auto" w:fill="auto"/>
          </w:tcPr>
          <w:p w14:paraId="7480DB3F" w14:textId="77777777" w:rsidR="00946FE8" w:rsidRPr="00685583" w:rsidRDefault="00946FE8" w:rsidP="00DC5575">
            <w:pPr>
              <w:rPr>
                <w:color w:val="auto"/>
                <w:sz w:val="17"/>
                <w:szCs w:val="17"/>
              </w:rPr>
            </w:pPr>
          </w:p>
        </w:tc>
        <w:tc>
          <w:tcPr>
            <w:tcW w:w="736" w:type="dxa"/>
            <w:vMerge/>
            <w:shd w:val="clear" w:color="auto" w:fill="auto"/>
          </w:tcPr>
          <w:p w14:paraId="6D2EBE9E" w14:textId="6CE3E128" w:rsidR="00946FE8" w:rsidRPr="00685583" w:rsidRDefault="00946FE8" w:rsidP="00DC5575">
            <w:pPr>
              <w:rPr>
                <w:color w:val="auto"/>
                <w:sz w:val="17"/>
                <w:szCs w:val="17"/>
              </w:rPr>
            </w:pPr>
          </w:p>
        </w:tc>
      </w:tr>
      <w:tr w:rsidR="00946FE8" w:rsidRPr="00685583" w14:paraId="4A52E7CA" w14:textId="77777777" w:rsidTr="00946FE8">
        <w:trPr>
          <w:trHeight w:val="36"/>
          <w:jc w:val="center"/>
        </w:trPr>
        <w:tc>
          <w:tcPr>
            <w:tcW w:w="846" w:type="dxa"/>
            <w:shd w:val="clear" w:color="auto" w:fill="auto"/>
          </w:tcPr>
          <w:p w14:paraId="651E43B6" w14:textId="50BE4A1D" w:rsidR="00946FE8" w:rsidRPr="00BE027A" w:rsidRDefault="00946FE8" w:rsidP="00DC5575">
            <w:pPr>
              <w:pStyle w:val="Tableheadingrow9pt"/>
              <w:rPr>
                <w:b w:val="0"/>
                <w:color w:val="auto"/>
                <w:sz w:val="17"/>
                <w:szCs w:val="17"/>
              </w:rPr>
            </w:pPr>
            <w:r w:rsidRPr="00BE027A">
              <w:rPr>
                <w:b w:val="0"/>
                <w:color w:val="auto"/>
                <w:sz w:val="17"/>
                <w:szCs w:val="17"/>
              </w:rPr>
              <w:t>e. 426.6</w:t>
            </w:r>
          </w:p>
        </w:tc>
        <w:tc>
          <w:tcPr>
            <w:tcW w:w="850" w:type="dxa"/>
            <w:shd w:val="clear" w:color="auto" w:fill="auto"/>
          </w:tcPr>
          <w:p w14:paraId="5518821F" w14:textId="4F47FF4C" w:rsidR="00946FE8" w:rsidRPr="00BE027A" w:rsidRDefault="00946FE8" w:rsidP="00DC5575">
            <w:pPr>
              <w:pStyle w:val="Tableheadingrow9pt"/>
              <w:jc w:val="right"/>
              <w:rPr>
                <w:b w:val="0"/>
                <w:color w:val="auto"/>
                <w:sz w:val="17"/>
                <w:szCs w:val="17"/>
              </w:rPr>
            </w:pPr>
            <w:r w:rsidRPr="00BE027A">
              <w:rPr>
                <w:b w:val="0"/>
                <w:color w:val="auto"/>
                <w:sz w:val="17"/>
                <w:szCs w:val="17"/>
              </w:rPr>
              <w:t>382.0</w:t>
            </w:r>
          </w:p>
        </w:tc>
        <w:tc>
          <w:tcPr>
            <w:tcW w:w="687" w:type="dxa"/>
            <w:vMerge/>
            <w:shd w:val="clear" w:color="auto" w:fill="auto"/>
          </w:tcPr>
          <w:p w14:paraId="2A25FAE1" w14:textId="77777777" w:rsidR="00946FE8" w:rsidRPr="00685583" w:rsidRDefault="00946FE8" w:rsidP="00DC5575">
            <w:pPr>
              <w:rPr>
                <w:color w:val="auto"/>
                <w:sz w:val="17"/>
                <w:szCs w:val="17"/>
              </w:rPr>
            </w:pPr>
          </w:p>
        </w:tc>
        <w:tc>
          <w:tcPr>
            <w:tcW w:w="731" w:type="dxa"/>
            <w:vMerge/>
            <w:shd w:val="clear" w:color="auto" w:fill="auto"/>
          </w:tcPr>
          <w:p w14:paraId="0E1653EC" w14:textId="77777777" w:rsidR="00946FE8" w:rsidRPr="00685583" w:rsidRDefault="00946FE8" w:rsidP="00DC5575">
            <w:pPr>
              <w:rPr>
                <w:color w:val="auto"/>
                <w:sz w:val="17"/>
                <w:szCs w:val="17"/>
              </w:rPr>
            </w:pPr>
          </w:p>
        </w:tc>
        <w:tc>
          <w:tcPr>
            <w:tcW w:w="709" w:type="dxa"/>
            <w:vMerge/>
            <w:shd w:val="clear" w:color="auto" w:fill="auto"/>
          </w:tcPr>
          <w:p w14:paraId="099E3178" w14:textId="77777777" w:rsidR="00946FE8" w:rsidRPr="00685583" w:rsidRDefault="00946FE8" w:rsidP="00DC5575">
            <w:pPr>
              <w:rPr>
                <w:color w:val="auto"/>
                <w:sz w:val="17"/>
                <w:szCs w:val="17"/>
              </w:rPr>
            </w:pPr>
          </w:p>
        </w:tc>
        <w:tc>
          <w:tcPr>
            <w:tcW w:w="850" w:type="dxa"/>
            <w:vMerge/>
            <w:shd w:val="clear" w:color="auto" w:fill="auto"/>
          </w:tcPr>
          <w:p w14:paraId="14DC8CEE" w14:textId="77777777" w:rsidR="00946FE8" w:rsidRPr="00685583" w:rsidRDefault="00946FE8" w:rsidP="00DC5575">
            <w:pPr>
              <w:rPr>
                <w:color w:val="auto"/>
                <w:sz w:val="17"/>
                <w:szCs w:val="17"/>
              </w:rPr>
            </w:pPr>
          </w:p>
        </w:tc>
        <w:tc>
          <w:tcPr>
            <w:tcW w:w="709" w:type="dxa"/>
            <w:vMerge/>
            <w:shd w:val="clear" w:color="auto" w:fill="auto"/>
          </w:tcPr>
          <w:p w14:paraId="6C17531C" w14:textId="77777777" w:rsidR="00946FE8" w:rsidRPr="00685583" w:rsidRDefault="00946FE8" w:rsidP="00DC5575">
            <w:pPr>
              <w:rPr>
                <w:color w:val="auto"/>
                <w:sz w:val="17"/>
                <w:szCs w:val="17"/>
              </w:rPr>
            </w:pPr>
          </w:p>
        </w:tc>
        <w:tc>
          <w:tcPr>
            <w:tcW w:w="850" w:type="dxa"/>
            <w:vMerge/>
            <w:shd w:val="clear" w:color="auto" w:fill="auto"/>
          </w:tcPr>
          <w:p w14:paraId="55DC5268" w14:textId="77777777" w:rsidR="00946FE8" w:rsidRPr="00685583" w:rsidRDefault="00946FE8" w:rsidP="00DC5575">
            <w:pPr>
              <w:rPr>
                <w:color w:val="auto"/>
                <w:sz w:val="17"/>
                <w:szCs w:val="17"/>
              </w:rPr>
            </w:pPr>
          </w:p>
        </w:tc>
        <w:tc>
          <w:tcPr>
            <w:tcW w:w="709" w:type="dxa"/>
            <w:vMerge/>
            <w:shd w:val="clear" w:color="auto" w:fill="auto"/>
          </w:tcPr>
          <w:p w14:paraId="005235BA" w14:textId="77777777" w:rsidR="00946FE8" w:rsidRPr="00685583" w:rsidRDefault="00946FE8" w:rsidP="00DC5575">
            <w:pPr>
              <w:rPr>
                <w:color w:val="auto"/>
                <w:sz w:val="17"/>
                <w:szCs w:val="17"/>
              </w:rPr>
            </w:pPr>
          </w:p>
        </w:tc>
        <w:tc>
          <w:tcPr>
            <w:tcW w:w="736" w:type="dxa"/>
            <w:vMerge/>
            <w:shd w:val="clear" w:color="auto" w:fill="auto"/>
          </w:tcPr>
          <w:p w14:paraId="51ABE3E7" w14:textId="2FFA2338" w:rsidR="00946FE8" w:rsidRPr="00685583" w:rsidRDefault="00946FE8" w:rsidP="00DC5575">
            <w:pPr>
              <w:rPr>
                <w:color w:val="auto"/>
                <w:sz w:val="17"/>
                <w:szCs w:val="17"/>
              </w:rPr>
            </w:pPr>
          </w:p>
        </w:tc>
      </w:tr>
      <w:tr w:rsidR="00946FE8" w:rsidRPr="00685583" w14:paraId="48A9D0E2" w14:textId="77777777" w:rsidTr="00946FE8">
        <w:trPr>
          <w:trHeight w:val="36"/>
          <w:jc w:val="center"/>
        </w:trPr>
        <w:tc>
          <w:tcPr>
            <w:tcW w:w="846" w:type="dxa"/>
            <w:shd w:val="clear" w:color="auto" w:fill="auto"/>
          </w:tcPr>
          <w:p w14:paraId="6993062C" w14:textId="4A7ACD62" w:rsidR="00946FE8" w:rsidRPr="00BE027A" w:rsidRDefault="00946FE8" w:rsidP="00DC5575">
            <w:pPr>
              <w:pStyle w:val="Tableheadingrow9pt"/>
              <w:rPr>
                <w:b w:val="0"/>
                <w:color w:val="auto"/>
                <w:sz w:val="17"/>
                <w:szCs w:val="17"/>
              </w:rPr>
            </w:pPr>
            <w:r w:rsidRPr="00BE027A">
              <w:rPr>
                <w:b w:val="0"/>
                <w:color w:val="auto"/>
                <w:sz w:val="17"/>
                <w:szCs w:val="17"/>
              </w:rPr>
              <w:t>f.  N/A</w:t>
            </w:r>
          </w:p>
        </w:tc>
        <w:tc>
          <w:tcPr>
            <w:tcW w:w="850" w:type="dxa"/>
            <w:shd w:val="clear" w:color="auto" w:fill="auto"/>
          </w:tcPr>
          <w:p w14:paraId="4860C55D" w14:textId="19770BE3" w:rsidR="00946FE8" w:rsidRPr="00BE027A" w:rsidRDefault="00946FE8" w:rsidP="00DC5575">
            <w:pPr>
              <w:pStyle w:val="Tableheadingrow9pt"/>
              <w:jc w:val="right"/>
              <w:rPr>
                <w:b w:val="0"/>
                <w:color w:val="auto"/>
                <w:sz w:val="17"/>
                <w:szCs w:val="17"/>
              </w:rPr>
            </w:pPr>
            <w:r w:rsidRPr="00BE027A">
              <w:rPr>
                <w:b w:val="0"/>
                <w:color w:val="auto"/>
                <w:sz w:val="17"/>
                <w:szCs w:val="17"/>
              </w:rPr>
              <w:t>&gt;50%</w:t>
            </w:r>
          </w:p>
        </w:tc>
        <w:tc>
          <w:tcPr>
            <w:tcW w:w="687" w:type="dxa"/>
            <w:vMerge/>
            <w:shd w:val="clear" w:color="auto" w:fill="auto"/>
          </w:tcPr>
          <w:p w14:paraId="168BD646" w14:textId="77777777" w:rsidR="00946FE8" w:rsidRPr="00685583" w:rsidRDefault="00946FE8" w:rsidP="00DC5575">
            <w:pPr>
              <w:rPr>
                <w:color w:val="auto"/>
                <w:sz w:val="17"/>
                <w:szCs w:val="17"/>
              </w:rPr>
            </w:pPr>
          </w:p>
        </w:tc>
        <w:tc>
          <w:tcPr>
            <w:tcW w:w="731" w:type="dxa"/>
            <w:vMerge/>
            <w:shd w:val="clear" w:color="auto" w:fill="auto"/>
          </w:tcPr>
          <w:p w14:paraId="0DA7EA1D" w14:textId="77777777" w:rsidR="00946FE8" w:rsidRPr="00685583" w:rsidRDefault="00946FE8" w:rsidP="00DC5575">
            <w:pPr>
              <w:rPr>
                <w:color w:val="auto"/>
                <w:sz w:val="17"/>
                <w:szCs w:val="17"/>
              </w:rPr>
            </w:pPr>
          </w:p>
        </w:tc>
        <w:tc>
          <w:tcPr>
            <w:tcW w:w="709" w:type="dxa"/>
            <w:vMerge/>
            <w:shd w:val="clear" w:color="auto" w:fill="auto"/>
          </w:tcPr>
          <w:p w14:paraId="7DCD143A" w14:textId="77777777" w:rsidR="00946FE8" w:rsidRPr="00685583" w:rsidRDefault="00946FE8" w:rsidP="00DC5575">
            <w:pPr>
              <w:rPr>
                <w:color w:val="auto"/>
                <w:sz w:val="17"/>
                <w:szCs w:val="17"/>
              </w:rPr>
            </w:pPr>
          </w:p>
        </w:tc>
        <w:tc>
          <w:tcPr>
            <w:tcW w:w="850" w:type="dxa"/>
            <w:vMerge/>
            <w:shd w:val="clear" w:color="auto" w:fill="auto"/>
          </w:tcPr>
          <w:p w14:paraId="3F8DF007" w14:textId="77777777" w:rsidR="00946FE8" w:rsidRPr="00685583" w:rsidRDefault="00946FE8" w:rsidP="00DC5575">
            <w:pPr>
              <w:rPr>
                <w:color w:val="auto"/>
                <w:sz w:val="17"/>
                <w:szCs w:val="17"/>
              </w:rPr>
            </w:pPr>
          </w:p>
        </w:tc>
        <w:tc>
          <w:tcPr>
            <w:tcW w:w="709" w:type="dxa"/>
            <w:vMerge/>
            <w:shd w:val="clear" w:color="auto" w:fill="auto"/>
          </w:tcPr>
          <w:p w14:paraId="433E193B" w14:textId="77777777" w:rsidR="00946FE8" w:rsidRPr="00685583" w:rsidRDefault="00946FE8" w:rsidP="00DC5575">
            <w:pPr>
              <w:rPr>
                <w:color w:val="auto"/>
                <w:sz w:val="17"/>
                <w:szCs w:val="17"/>
              </w:rPr>
            </w:pPr>
          </w:p>
        </w:tc>
        <w:tc>
          <w:tcPr>
            <w:tcW w:w="850" w:type="dxa"/>
            <w:vMerge/>
            <w:shd w:val="clear" w:color="auto" w:fill="auto"/>
          </w:tcPr>
          <w:p w14:paraId="405ABA5C" w14:textId="77777777" w:rsidR="00946FE8" w:rsidRPr="00685583" w:rsidRDefault="00946FE8" w:rsidP="00DC5575">
            <w:pPr>
              <w:rPr>
                <w:color w:val="auto"/>
                <w:sz w:val="17"/>
                <w:szCs w:val="17"/>
              </w:rPr>
            </w:pPr>
          </w:p>
        </w:tc>
        <w:tc>
          <w:tcPr>
            <w:tcW w:w="709" w:type="dxa"/>
            <w:vMerge/>
            <w:shd w:val="clear" w:color="auto" w:fill="auto"/>
          </w:tcPr>
          <w:p w14:paraId="73AC31A9" w14:textId="77777777" w:rsidR="00946FE8" w:rsidRPr="00685583" w:rsidRDefault="00946FE8" w:rsidP="00DC5575">
            <w:pPr>
              <w:rPr>
                <w:color w:val="auto"/>
                <w:sz w:val="17"/>
                <w:szCs w:val="17"/>
              </w:rPr>
            </w:pPr>
          </w:p>
        </w:tc>
        <w:tc>
          <w:tcPr>
            <w:tcW w:w="736" w:type="dxa"/>
            <w:vMerge/>
            <w:shd w:val="clear" w:color="auto" w:fill="auto"/>
          </w:tcPr>
          <w:p w14:paraId="44D208D6" w14:textId="057FE549" w:rsidR="00946FE8" w:rsidRPr="00685583" w:rsidRDefault="00946FE8" w:rsidP="00DC5575">
            <w:pPr>
              <w:rPr>
                <w:color w:val="auto"/>
                <w:sz w:val="17"/>
                <w:szCs w:val="17"/>
              </w:rPr>
            </w:pPr>
          </w:p>
        </w:tc>
      </w:tr>
      <w:tr w:rsidR="00DC5575" w:rsidRPr="00685583" w14:paraId="225500EF" w14:textId="77777777" w:rsidTr="0098262C">
        <w:trPr>
          <w:jc w:val="center"/>
        </w:trPr>
        <w:tc>
          <w:tcPr>
            <w:tcW w:w="7677" w:type="dxa"/>
            <w:gridSpan w:val="10"/>
            <w:shd w:val="clear" w:color="auto" w:fill="auto"/>
          </w:tcPr>
          <w:p w14:paraId="12277DDE" w14:textId="77777777" w:rsidR="00DC5575" w:rsidRPr="00685583" w:rsidRDefault="00DC5575" w:rsidP="00DC5575">
            <w:pPr>
              <w:pStyle w:val="Tableheadingrow9pt"/>
              <w:rPr>
                <w:color w:val="auto"/>
              </w:rPr>
            </w:pPr>
            <w:r w:rsidRPr="00685583">
              <w:rPr>
                <w:color w:val="auto"/>
              </w:rPr>
              <w:t>Material changes to Program 1.4 resulting from the following measures:</w:t>
            </w:r>
          </w:p>
          <w:p w14:paraId="4B51F5F1" w14:textId="0C69ADEF" w:rsidR="00DC5575" w:rsidRPr="00685583" w:rsidRDefault="00F74487" w:rsidP="00F74487">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4</w:t>
            </w:r>
            <w:r w:rsidRPr="00473719">
              <w:rPr>
                <w:sz w:val="17"/>
                <w:szCs w:val="17"/>
              </w:rPr>
              <w:t xml:space="preserve"> resulting from measures.</w:t>
            </w:r>
          </w:p>
        </w:tc>
      </w:tr>
    </w:tbl>
    <w:p w14:paraId="4A57F5FF" w14:textId="3FF6A85E" w:rsidR="00076265" w:rsidRPr="00685583" w:rsidRDefault="0073538B" w:rsidP="000C1B9B">
      <w:pPr>
        <w:pStyle w:val="Tablenumberandreference"/>
        <w:pageBreakBefore/>
        <w:rPr>
          <w:color w:val="auto"/>
        </w:rPr>
      </w:pPr>
      <w:r w:rsidRPr="00685583">
        <w:rPr>
          <w:color w:val="auto"/>
        </w:rPr>
        <w:lastRenderedPageBreak/>
        <w:t xml:space="preserve">Table 2.1.6: Performance </w:t>
      </w:r>
      <w:r w:rsidR="000F7A14" w:rsidRPr="00685583">
        <w:rPr>
          <w:color w:val="auto"/>
        </w:rPr>
        <w:t>Measures</w:t>
      </w:r>
      <w:r w:rsidRPr="00685583">
        <w:rPr>
          <w:color w:val="auto"/>
        </w:rPr>
        <w:t xml:space="preserve"> for Program 1.5</w:t>
      </w:r>
    </w:p>
    <w:tbl>
      <w:tblPr>
        <w:tblStyle w:val="TableGrid"/>
        <w:tblW w:w="7680" w:type="dxa"/>
        <w:jc w:val="center"/>
        <w:tblLayout w:type="fixed"/>
        <w:tblLook w:val="04A0" w:firstRow="1" w:lastRow="0" w:firstColumn="1" w:lastColumn="0" w:noHBand="0" w:noVBand="1"/>
        <w:tblCaption w:val="Table 2.1.6: Performance Measures for Program 1.5"/>
        <w:tblDescription w:val="This table outlines Program 1.5's objective and the key activities for Program 1.5"/>
      </w:tblPr>
      <w:tblGrid>
        <w:gridCol w:w="7680"/>
      </w:tblGrid>
      <w:tr w:rsidR="00685583" w:rsidRPr="00685583" w14:paraId="464BECAB" w14:textId="77777777" w:rsidTr="00B02213">
        <w:trPr>
          <w:trHeight w:val="50"/>
          <w:jc w:val="center"/>
        </w:trPr>
        <w:tc>
          <w:tcPr>
            <w:tcW w:w="7680" w:type="dxa"/>
            <w:shd w:val="clear" w:color="auto" w:fill="D9D9D9" w:themeFill="background1" w:themeFillShade="D9"/>
          </w:tcPr>
          <w:p w14:paraId="67E48EEC" w14:textId="34FF9DE9" w:rsidR="00A75DD6" w:rsidRPr="00685583" w:rsidRDefault="0073538B" w:rsidP="00B43582">
            <w:pPr>
              <w:pStyle w:val="Tableheadingrow9pt"/>
              <w:widowControl w:val="0"/>
              <w:rPr>
                <w:color w:val="auto"/>
              </w:rPr>
            </w:pPr>
            <w:r w:rsidRPr="00685583">
              <w:rPr>
                <w:color w:val="auto"/>
              </w:rPr>
              <w:t>Program Objective – Program 1.5:</w:t>
            </w:r>
            <w:r w:rsidR="00A12316" w:rsidRPr="00685583">
              <w:rPr>
                <w:color w:val="auto"/>
              </w:rPr>
              <w:t xml:space="preserve"> Preventive Health and Chronic Disease Support</w:t>
            </w:r>
          </w:p>
        </w:tc>
      </w:tr>
      <w:tr w:rsidR="00685583" w:rsidRPr="00685583" w14:paraId="01F124EC" w14:textId="77777777" w:rsidTr="00B02213">
        <w:trPr>
          <w:jc w:val="center"/>
        </w:trPr>
        <w:tc>
          <w:tcPr>
            <w:tcW w:w="7680" w:type="dxa"/>
          </w:tcPr>
          <w:p w14:paraId="69C33C67" w14:textId="6DBC60CA" w:rsidR="00DF516D" w:rsidRPr="00685583" w:rsidRDefault="006B66C3" w:rsidP="00B43582">
            <w:pPr>
              <w:widowControl w:val="0"/>
              <w:rPr>
                <w:color w:val="auto"/>
              </w:rPr>
            </w:pPr>
            <w:r w:rsidRPr="00685583">
              <w:rPr>
                <w:color w:val="auto"/>
              </w:rPr>
              <w:t xml:space="preserve">Support </w:t>
            </w:r>
            <w:r>
              <w:rPr>
                <w:color w:val="auto"/>
              </w:rPr>
              <w:t xml:space="preserve">all </w:t>
            </w:r>
            <w:r w:rsidRPr="00685583">
              <w:rPr>
                <w:color w:val="auto"/>
              </w:rPr>
              <w:t>Australians to live longer in full health</w:t>
            </w:r>
            <w:r>
              <w:rPr>
                <w:color w:val="auto"/>
              </w:rPr>
              <w:t xml:space="preserve"> and wellbeing</w:t>
            </w:r>
            <w:r w:rsidRPr="00685583">
              <w:rPr>
                <w:color w:val="auto"/>
              </w:rPr>
              <w:t xml:space="preserve"> through reducing the rates of harmful alcohol consumption, illicit</w:t>
            </w:r>
            <w:r>
              <w:rPr>
                <w:color w:val="auto"/>
              </w:rPr>
              <w:t xml:space="preserve"> </w:t>
            </w:r>
            <w:r w:rsidRPr="00685583">
              <w:rPr>
                <w:color w:val="auto"/>
              </w:rPr>
              <w:t>drug use, and tobacco use</w:t>
            </w:r>
            <w:r w:rsidR="00812A19">
              <w:rPr>
                <w:color w:val="auto"/>
              </w:rPr>
              <w:t>,</w:t>
            </w:r>
            <w:r w:rsidRPr="00685583">
              <w:rPr>
                <w:color w:val="auto"/>
              </w:rPr>
              <w:t xml:space="preserve"> and increasing healthy eating patterns, levels of physical activity and cancer screening participation.</w:t>
            </w:r>
          </w:p>
        </w:tc>
      </w:tr>
      <w:tr w:rsidR="00685583" w:rsidRPr="00685583" w14:paraId="068A6AD9" w14:textId="77777777" w:rsidTr="00B02213">
        <w:trPr>
          <w:jc w:val="center"/>
        </w:trPr>
        <w:tc>
          <w:tcPr>
            <w:tcW w:w="7680" w:type="dxa"/>
            <w:shd w:val="clear" w:color="auto" w:fill="D9D9D9" w:themeFill="background1" w:themeFillShade="D9"/>
          </w:tcPr>
          <w:p w14:paraId="1B221B9F" w14:textId="13F29776" w:rsidR="00A75DD6" w:rsidRPr="00685583" w:rsidRDefault="00E7155B" w:rsidP="00B43582">
            <w:pPr>
              <w:pStyle w:val="Tableheadingrow9pt"/>
              <w:widowControl w:val="0"/>
              <w:rPr>
                <w:color w:val="auto"/>
              </w:rPr>
            </w:pPr>
            <w:r>
              <w:rPr>
                <w:color w:val="auto"/>
              </w:rPr>
              <w:t>Key Activities</w:t>
            </w:r>
          </w:p>
        </w:tc>
      </w:tr>
      <w:tr w:rsidR="00685583" w:rsidRPr="00685583" w14:paraId="60E1D521" w14:textId="77777777" w:rsidTr="00B02213">
        <w:trPr>
          <w:jc w:val="center"/>
        </w:trPr>
        <w:tc>
          <w:tcPr>
            <w:tcW w:w="7680" w:type="dxa"/>
          </w:tcPr>
          <w:p w14:paraId="53A7E91E" w14:textId="77777777" w:rsidR="00C34D34" w:rsidRPr="00C34D34" w:rsidRDefault="00C34D34" w:rsidP="00B43582">
            <w:pPr>
              <w:pStyle w:val="Tabletextnormal9pt"/>
              <w:widowControl w:val="0"/>
              <w:numPr>
                <w:ilvl w:val="0"/>
                <w:numId w:val="1"/>
              </w:numPr>
              <w:ind w:left="314" w:hanging="314"/>
              <w:rPr>
                <w:color w:val="auto"/>
              </w:rPr>
            </w:pPr>
            <w:r w:rsidRPr="00C34D34">
              <w:rPr>
                <w:color w:val="auto"/>
              </w:rPr>
              <w:t>Developing, implementing and monitoring:</w:t>
            </w:r>
          </w:p>
          <w:p w14:paraId="6BA6F738" w14:textId="255C54CF" w:rsidR="00C34D34" w:rsidRPr="00C34D34" w:rsidRDefault="00C34D34" w:rsidP="00B43582">
            <w:pPr>
              <w:pStyle w:val="Tabletextnormal9pt"/>
              <w:widowControl w:val="0"/>
              <w:numPr>
                <w:ilvl w:val="0"/>
                <w:numId w:val="37"/>
              </w:numPr>
              <w:ind w:left="597" w:hanging="283"/>
              <w:rPr>
                <w:color w:val="auto"/>
              </w:rPr>
            </w:pPr>
            <w:r w:rsidRPr="00C34D34">
              <w:rPr>
                <w:color w:val="auto"/>
              </w:rPr>
              <w:t>national strategies for preventive health, obesity and injury prevention</w:t>
            </w:r>
          </w:p>
          <w:p w14:paraId="7F67040B" w14:textId="7E179E05" w:rsidR="00C34D34" w:rsidRPr="00C34D34" w:rsidRDefault="00C34D34" w:rsidP="00B43582">
            <w:pPr>
              <w:pStyle w:val="Tabletextnormal9pt"/>
              <w:widowControl w:val="0"/>
              <w:numPr>
                <w:ilvl w:val="0"/>
                <w:numId w:val="37"/>
              </w:numPr>
              <w:ind w:left="597" w:hanging="283"/>
              <w:rPr>
                <w:color w:val="auto"/>
              </w:rPr>
            </w:pPr>
            <w:r w:rsidRPr="00C34D34">
              <w:rPr>
                <w:color w:val="auto"/>
              </w:rPr>
              <w:t>national strategies for men’s</w:t>
            </w:r>
            <w:r w:rsidR="00E03A85">
              <w:rPr>
                <w:color w:val="auto"/>
              </w:rPr>
              <w:t xml:space="preserve"> and women’s</w:t>
            </w:r>
            <w:r w:rsidRPr="00C34D34">
              <w:rPr>
                <w:color w:val="auto"/>
              </w:rPr>
              <w:t xml:space="preserve"> health</w:t>
            </w:r>
          </w:p>
          <w:p w14:paraId="2E131EFF" w14:textId="5E5725D0" w:rsidR="00C34D34" w:rsidRPr="00C34D34" w:rsidRDefault="00C34D34" w:rsidP="00B43582">
            <w:pPr>
              <w:pStyle w:val="Tabletextnormal9pt"/>
              <w:widowControl w:val="0"/>
              <w:numPr>
                <w:ilvl w:val="0"/>
                <w:numId w:val="37"/>
              </w:numPr>
              <w:ind w:left="597" w:hanging="283"/>
              <w:rPr>
                <w:color w:val="auto"/>
              </w:rPr>
            </w:pPr>
            <w:proofErr w:type="gramStart"/>
            <w:r w:rsidRPr="00C34D34">
              <w:rPr>
                <w:color w:val="auto"/>
              </w:rPr>
              <w:t>existing</w:t>
            </w:r>
            <w:proofErr w:type="gramEnd"/>
            <w:r w:rsidRPr="00C34D34">
              <w:rPr>
                <w:color w:val="auto"/>
              </w:rPr>
              <w:t xml:space="preserve"> national strategic action plans for chronic diseases</w:t>
            </w:r>
            <w:r w:rsidR="00E03A85">
              <w:rPr>
                <w:color w:val="auto"/>
              </w:rPr>
              <w:t xml:space="preserve"> and children’s health</w:t>
            </w:r>
            <w:r w:rsidRPr="00C34D34">
              <w:rPr>
                <w:color w:val="auto"/>
              </w:rPr>
              <w:t>.</w:t>
            </w:r>
          </w:p>
          <w:p w14:paraId="2E98E000" w14:textId="77777777" w:rsidR="00C34D34" w:rsidRPr="00C34D34" w:rsidRDefault="00C34D34" w:rsidP="00B43582">
            <w:pPr>
              <w:pStyle w:val="Tabletextnormal9pt"/>
              <w:widowControl w:val="0"/>
              <w:numPr>
                <w:ilvl w:val="0"/>
                <w:numId w:val="1"/>
              </w:numPr>
              <w:ind w:left="314" w:hanging="314"/>
              <w:rPr>
                <w:color w:val="auto"/>
              </w:rPr>
            </w:pPr>
            <w:r w:rsidRPr="00C34D34">
              <w:rPr>
                <w:color w:val="auto"/>
              </w:rPr>
              <w:t>Supporting a collaborative approach to prevention and reduction of harm to individuals and communities from alcohol, tobacco and other drugs through:</w:t>
            </w:r>
          </w:p>
          <w:p w14:paraId="39D61ECA" w14:textId="53F42A56" w:rsidR="00C34D34" w:rsidRPr="00C34D34" w:rsidRDefault="00DC049B" w:rsidP="00B43582">
            <w:pPr>
              <w:pStyle w:val="Tabletextnormal9pt"/>
              <w:widowControl w:val="0"/>
              <w:numPr>
                <w:ilvl w:val="0"/>
                <w:numId w:val="37"/>
              </w:numPr>
              <w:ind w:left="597" w:hanging="283"/>
              <w:rPr>
                <w:color w:val="auto"/>
              </w:rPr>
            </w:pPr>
            <w:r>
              <w:rPr>
                <w:color w:val="auto"/>
              </w:rPr>
              <w:t>i</w:t>
            </w:r>
            <w:r w:rsidR="00C34D34" w:rsidRPr="00C34D34">
              <w:rPr>
                <w:color w:val="auto"/>
              </w:rPr>
              <w:t>mplementing activities that align with the objectives of the National Drug Strategy 2017–2026, including the National Alcohol</w:t>
            </w:r>
            <w:r w:rsidR="00BB01F1">
              <w:rPr>
                <w:color w:val="auto"/>
              </w:rPr>
              <w:t xml:space="preserve"> Strategy 2019–</w:t>
            </w:r>
            <w:r w:rsidR="00C34D34" w:rsidRPr="00C34D34">
              <w:rPr>
                <w:color w:val="auto"/>
              </w:rPr>
              <w:t>2028, the National Ice Action Strategy and finalising the next National Tobacco Strateg</w:t>
            </w:r>
            <w:r w:rsidR="00F36881">
              <w:rPr>
                <w:color w:val="auto"/>
              </w:rPr>
              <w:t>y 2022</w:t>
            </w:r>
            <w:r w:rsidR="00C34D34" w:rsidRPr="00C34D34">
              <w:rPr>
                <w:color w:val="auto"/>
              </w:rPr>
              <w:t>–2030</w:t>
            </w:r>
          </w:p>
          <w:p w14:paraId="66680D76" w14:textId="7E5D2235" w:rsidR="00C34D34" w:rsidRPr="00C34D34" w:rsidRDefault="00DC049B" w:rsidP="00B43582">
            <w:pPr>
              <w:pStyle w:val="Tabletextnormal9pt"/>
              <w:widowControl w:val="0"/>
              <w:numPr>
                <w:ilvl w:val="0"/>
                <w:numId w:val="37"/>
              </w:numPr>
              <w:ind w:left="597" w:hanging="283"/>
              <w:rPr>
                <w:color w:val="auto"/>
              </w:rPr>
            </w:pPr>
            <w:r>
              <w:rPr>
                <w:color w:val="auto"/>
              </w:rPr>
              <w:t>d</w:t>
            </w:r>
            <w:r w:rsidR="00C34D34" w:rsidRPr="00C34D34">
              <w:rPr>
                <w:color w:val="auto"/>
              </w:rPr>
              <w:t xml:space="preserve">elivering health promotion and education activities to support smoking </w:t>
            </w:r>
            <w:r w:rsidR="00E03A85">
              <w:rPr>
                <w:color w:val="auto"/>
              </w:rPr>
              <w:t xml:space="preserve">and nicotine </w:t>
            </w:r>
            <w:r w:rsidR="00C34D34" w:rsidRPr="00C34D34">
              <w:rPr>
                <w:color w:val="auto"/>
              </w:rPr>
              <w:t>cessati</w:t>
            </w:r>
            <w:r w:rsidR="00E03A85">
              <w:rPr>
                <w:color w:val="auto"/>
              </w:rPr>
              <w:t>on and prevention</w:t>
            </w:r>
          </w:p>
          <w:p w14:paraId="40D95F27" w14:textId="55F6563F" w:rsidR="00C34D34" w:rsidRPr="00C34D34" w:rsidRDefault="00DC049B" w:rsidP="00B43582">
            <w:pPr>
              <w:pStyle w:val="Tabletextnormal9pt"/>
              <w:widowControl w:val="0"/>
              <w:numPr>
                <w:ilvl w:val="0"/>
                <w:numId w:val="37"/>
              </w:numPr>
              <w:ind w:left="597" w:hanging="283"/>
              <w:rPr>
                <w:color w:val="auto"/>
              </w:rPr>
            </w:pPr>
            <w:r>
              <w:rPr>
                <w:color w:val="auto"/>
              </w:rPr>
              <w:t>d</w:t>
            </w:r>
            <w:r w:rsidR="00C34D34" w:rsidRPr="00C34D34">
              <w:rPr>
                <w:color w:val="auto"/>
              </w:rPr>
              <w:t>elivering health promotion and education activities to raise awareness of the Australian guidelines to reduce health risks from drinking alcohol</w:t>
            </w:r>
            <w:r w:rsidR="005458F8">
              <w:rPr>
                <w:color w:val="auto"/>
              </w:rPr>
              <w:t>,</w:t>
            </w:r>
            <w:r w:rsidR="00C34D34" w:rsidRPr="00C34D34">
              <w:rPr>
                <w:color w:val="auto"/>
              </w:rPr>
              <w:t xml:space="preserve"> and raise awareness of the risks of drinking alcohol while pregnant and breastfeeding</w:t>
            </w:r>
          </w:p>
          <w:p w14:paraId="6E243B99" w14:textId="1FD386ED" w:rsidR="00C34D34" w:rsidRPr="00C34D34" w:rsidRDefault="00DC049B" w:rsidP="00B43582">
            <w:pPr>
              <w:pStyle w:val="Tabletextnormal9pt"/>
              <w:widowControl w:val="0"/>
              <w:numPr>
                <w:ilvl w:val="0"/>
                <w:numId w:val="37"/>
              </w:numPr>
              <w:ind w:left="597" w:hanging="283"/>
              <w:rPr>
                <w:color w:val="auto"/>
              </w:rPr>
            </w:pPr>
            <w:proofErr w:type="gramStart"/>
            <w:r>
              <w:rPr>
                <w:color w:val="auto"/>
              </w:rPr>
              <w:t>d</w:t>
            </w:r>
            <w:r w:rsidR="00C34D34" w:rsidRPr="00C34D34">
              <w:rPr>
                <w:color w:val="auto"/>
              </w:rPr>
              <w:t>elivering</w:t>
            </w:r>
            <w:proofErr w:type="gramEnd"/>
            <w:r w:rsidR="00C34D34" w:rsidRPr="00C34D34">
              <w:rPr>
                <w:color w:val="auto"/>
              </w:rPr>
              <w:t xml:space="preserve"> activities to prevent and minimise the impact of </w:t>
            </w:r>
            <w:proofErr w:type="spellStart"/>
            <w:r w:rsidR="00C34D34" w:rsidRPr="00C34D34">
              <w:rPr>
                <w:color w:val="auto"/>
              </w:rPr>
              <w:t>fetal</w:t>
            </w:r>
            <w:proofErr w:type="spellEnd"/>
            <w:r w:rsidR="00C34D34" w:rsidRPr="00C34D34">
              <w:rPr>
                <w:color w:val="auto"/>
              </w:rPr>
              <w:t xml:space="preserve"> alcohol spectrum disorder, including those under the National </w:t>
            </w:r>
            <w:proofErr w:type="spellStart"/>
            <w:r w:rsidR="00C34D34" w:rsidRPr="00C34D34">
              <w:rPr>
                <w:color w:val="auto"/>
              </w:rPr>
              <w:t>Fetal</w:t>
            </w:r>
            <w:proofErr w:type="spellEnd"/>
            <w:r w:rsidR="00C34D34" w:rsidRPr="00C34D34">
              <w:rPr>
                <w:color w:val="auto"/>
              </w:rPr>
              <w:t xml:space="preserve"> Alcohol Spectrum Disorder </w:t>
            </w:r>
            <w:r w:rsidR="00E03A85">
              <w:rPr>
                <w:color w:val="auto"/>
              </w:rPr>
              <w:t xml:space="preserve">(FASD) </w:t>
            </w:r>
            <w:r w:rsidR="00C34D34" w:rsidRPr="00C34D34">
              <w:rPr>
                <w:color w:val="auto"/>
              </w:rPr>
              <w:t>Strategic Action Plan 2018–2028.</w:t>
            </w:r>
          </w:p>
          <w:p w14:paraId="7F0F5404" w14:textId="7C909E69" w:rsidR="00C34D34" w:rsidRPr="00C34D34" w:rsidRDefault="00C34D34" w:rsidP="00B43582">
            <w:pPr>
              <w:pStyle w:val="Tabletextnormal9pt"/>
              <w:widowControl w:val="0"/>
              <w:numPr>
                <w:ilvl w:val="0"/>
                <w:numId w:val="1"/>
              </w:numPr>
              <w:ind w:left="312" w:hanging="312"/>
              <w:rPr>
                <w:color w:val="auto"/>
              </w:rPr>
            </w:pPr>
            <w:r w:rsidRPr="00C34D34">
              <w:rPr>
                <w:color w:val="auto"/>
              </w:rPr>
              <w:t>Investing in quality alcohol and drug treatment services consistent with the National Quality</w:t>
            </w:r>
            <w:r w:rsidR="00E03A85">
              <w:rPr>
                <w:color w:val="auto"/>
              </w:rPr>
              <w:t xml:space="preserve"> and Treatment</w:t>
            </w:r>
            <w:r w:rsidRPr="00C34D34">
              <w:rPr>
                <w:color w:val="auto"/>
              </w:rPr>
              <w:t xml:space="preserve"> Framework</w:t>
            </w:r>
            <w:r w:rsidR="00E03A85">
              <w:rPr>
                <w:color w:val="auto"/>
              </w:rPr>
              <w:t>s</w:t>
            </w:r>
            <w:r w:rsidRPr="00C34D34">
              <w:rPr>
                <w:color w:val="auto"/>
              </w:rPr>
              <w:t>.</w:t>
            </w:r>
            <w:r w:rsidR="00E03A85">
              <w:rPr>
                <w:rStyle w:val="FootnoteReference"/>
                <w:color w:val="auto"/>
              </w:rPr>
              <w:footnoteReference w:id="36"/>
            </w:r>
          </w:p>
          <w:p w14:paraId="22FDAD8D" w14:textId="732F8B9E" w:rsidR="00853464" w:rsidRPr="00C34D34" w:rsidRDefault="00853464" w:rsidP="00B43582">
            <w:pPr>
              <w:pStyle w:val="Tabletextnormal9pt"/>
              <w:widowControl w:val="0"/>
              <w:numPr>
                <w:ilvl w:val="0"/>
                <w:numId w:val="1"/>
              </w:numPr>
              <w:ind w:left="314" w:hanging="314"/>
              <w:rPr>
                <w:color w:val="auto"/>
              </w:rPr>
            </w:pPr>
            <w:r w:rsidRPr="00C34D34">
              <w:rPr>
                <w:color w:val="auto"/>
              </w:rPr>
              <w:t xml:space="preserve">Strengthening the alcohol and </w:t>
            </w:r>
            <w:r>
              <w:rPr>
                <w:color w:val="auto"/>
              </w:rPr>
              <w:t xml:space="preserve">other </w:t>
            </w:r>
            <w:r w:rsidRPr="00C34D34">
              <w:rPr>
                <w:color w:val="auto"/>
              </w:rPr>
              <w:t xml:space="preserve">drugs evidence base through </w:t>
            </w:r>
            <w:r>
              <w:rPr>
                <w:color w:val="auto"/>
              </w:rPr>
              <w:t>the commissioning of high quality</w:t>
            </w:r>
            <w:r w:rsidRPr="00C34D34">
              <w:rPr>
                <w:color w:val="auto"/>
              </w:rPr>
              <w:t xml:space="preserve"> research</w:t>
            </w:r>
            <w:r>
              <w:rPr>
                <w:color w:val="auto"/>
              </w:rPr>
              <w:t xml:space="preserve"> and</w:t>
            </w:r>
            <w:r w:rsidRPr="00C34D34">
              <w:rPr>
                <w:color w:val="auto"/>
              </w:rPr>
              <w:t xml:space="preserve"> data</w:t>
            </w:r>
            <w:r w:rsidR="00F1064D">
              <w:rPr>
                <w:color w:val="auto"/>
              </w:rPr>
              <w:t>,</w:t>
            </w:r>
            <w:r>
              <w:rPr>
                <w:color w:val="auto"/>
              </w:rPr>
              <w:t xml:space="preserve"> and consul</w:t>
            </w:r>
            <w:r w:rsidR="00E03A85">
              <w:rPr>
                <w:color w:val="auto"/>
              </w:rPr>
              <w:t>t</w:t>
            </w:r>
            <w:r>
              <w:rPr>
                <w:color w:val="auto"/>
              </w:rPr>
              <w:t>ation with industry experts.</w:t>
            </w:r>
          </w:p>
          <w:p w14:paraId="78F7B9AF" w14:textId="77777777" w:rsidR="00853464" w:rsidRPr="00C34D34" w:rsidRDefault="00853464" w:rsidP="00B43582">
            <w:pPr>
              <w:pStyle w:val="Tabletextnormal9pt"/>
              <w:widowControl w:val="0"/>
              <w:numPr>
                <w:ilvl w:val="0"/>
                <w:numId w:val="1"/>
              </w:numPr>
              <w:ind w:left="314" w:hanging="314"/>
              <w:rPr>
                <w:color w:val="auto"/>
              </w:rPr>
            </w:pPr>
            <w:r w:rsidRPr="00C34D34">
              <w:rPr>
                <w:color w:val="auto"/>
              </w:rPr>
              <w:t>Working with Commonwealth entities, states, territories and other relevant agencies to support the development, implementation and monitoring of Australia’s national alcohol, tobacco and other drug policy frameworks, including reporting on the National Drug Strategy and associated sub-strategies.</w:t>
            </w:r>
          </w:p>
          <w:p w14:paraId="529B6902" w14:textId="5C58F110" w:rsidR="00853464" w:rsidRDefault="00853464" w:rsidP="00B43582">
            <w:pPr>
              <w:pStyle w:val="Tabletextnormal9pt"/>
              <w:widowControl w:val="0"/>
              <w:numPr>
                <w:ilvl w:val="0"/>
                <w:numId w:val="1"/>
              </w:numPr>
              <w:ind w:left="314" w:hanging="314"/>
              <w:rPr>
                <w:color w:val="auto"/>
              </w:rPr>
            </w:pPr>
            <w:r>
              <w:rPr>
                <w:color w:val="auto"/>
              </w:rPr>
              <w:t>Improving access to evidence-based smoking and nicotine cessation services, such as through the delivery of the</w:t>
            </w:r>
            <w:r w:rsidRPr="00C34D34">
              <w:rPr>
                <w:color w:val="auto"/>
              </w:rPr>
              <w:t xml:space="preserve"> new national best practice support service for nicotine cessation with Cancer Council Victoria.</w:t>
            </w:r>
            <w:r w:rsidR="00E03A85">
              <w:rPr>
                <w:rStyle w:val="FootnoteReference"/>
                <w:color w:val="auto"/>
              </w:rPr>
              <w:footnoteReference w:id="37"/>
            </w:r>
          </w:p>
          <w:p w14:paraId="2F184413" w14:textId="6CF18375" w:rsidR="00853464" w:rsidRPr="00C34D34" w:rsidRDefault="00853464" w:rsidP="00B43582">
            <w:pPr>
              <w:pStyle w:val="Tabletextnormal9pt"/>
              <w:widowControl w:val="0"/>
              <w:numPr>
                <w:ilvl w:val="0"/>
                <w:numId w:val="1"/>
              </w:numPr>
              <w:ind w:left="314" w:hanging="314"/>
              <w:rPr>
                <w:color w:val="auto"/>
              </w:rPr>
            </w:pPr>
            <w:r>
              <w:rPr>
                <w:color w:val="auto"/>
              </w:rPr>
              <w:t>Support</w:t>
            </w:r>
            <w:r w:rsidR="004A7564">
              <w:rPr>
                <w:color w:val="auto"/>
              </w:rPr>
              <w:t>ing</w:t>
            </w:r>
            <w:r>
              <w:rPr>
                <w:color w:val="auto"/>
              </w:rPr>
              <w:t xml:space="preserve"> expansion of tobacco control program activities through investment in tobacco control research and evaluation</w:t>
            </w:r>
            <w:r w:rsidR="00F1064D">
              <w:rPr>
                <w:color w:val="auto"/>
              </w:rPr>
              <w:t>,</w:t>
            </w:r>
            <w:r>
              <w:rPr>
                <w:color w:val="auto"/>
              </w:rPr>
              <w:t xml:space="preserve"> and international tobacco control.</w:t>
            </w:r>
            <w:r w:rsidR="004A7564">
              <w:rPr>
                <w:rStyle w:val="FootnoteReference"/>
                <w:color w:val="auto"/>
              </w:rPr>
              <w:footnoteReference w:id="38"/>
            </w:r>
          </w:p>
          <w:p w14:paraId="4D3089EB" w14:textId="77777777" w:rsidR="00C34D34" w:rsidRPr="00C34D34" w:rsidRDefault="00C34D34" w:rsidP="00B43582">
            <w:pPr>
              <w:pStyle w:val="Tabletextnormal9pt"/>
              <w:widowControl w:val="0"/>
              <w:numPr>
                <w:ilvl w:val="0"/>
                <w:numId w:val="1"/>
              </w:numPr>
              <w:ind w:left="314" w:hanging="314"/>
              <w:rPr>
                <w:color w:val="auto"/>
              </w:rPr>
            </w:pPr>
            <w:r w:rsidRPr="00C34D34">
              <w:rPr>
                <w:color w:val="auto"/>
              </w:rPr>
              <w:t>Encouraging and enabling healthy lifestyles, physical activity and good nutrition through initiatives such as the Healthy Food Partnership, Health Star Rating system, Australian Guide to Healthy Eating and the Healthy Heart Initiative.</w:t>
            </w:r>
          </w:p>
          <w:p w14:paraId="5A27E1F9" w14:textId="77777777" w:rsidR="00C34D34" w:rsidRPr="00C34D34" w:rsidRDefault="00C34D34" w:rsidP="00B43582">
            <w:pPr>
              <w:pStyle w:val="Tabletextnormal9pt"/>
              <w:widowControl w:val="0"/>
              <w:numPr>
                <w:ilvl w:val="0"/>
                <w:numId w:val="1"/>
              </w:numPr>
              <w:ind w:left="314" w:hanging="314"/>
              <w:rPr>
                <w:color w:val="auto"/>
              </w:rPr>
            </w:pPr>
            <w:r w:rsidRPr="00C34D34">
              <w:rPr>
                <w:color w:val="auto"/>
              </w:rPr>
              <w:t>Enhancing national policy development to reduce lifestyle related chronic disease by strengthening the evidence base through high quality research, data analysis and consultation with expert networks.</w:t>
            </w:r>
          </w:p>
          <w:p w14:paraId="36D33D42" w14:textId="2FF69F06" w:rsidR="003B0A69" w:rsidRPr="00B43582" w:rsidRDefault="00C34D34" w:rsidP="00B43582">
            <w:pPr>
              <w:pStyle w:val="Tabletextnormal9pt"/>
              <w:widowControl w:val="0"/>
              <w:numPr>
                <w:ilvl w:val="0"/>
                <w:numId w:val="1"/>
              </w:numPr>
              <w:ind w:left="312" w:hanging="312"/>
              <w:rPr>
                <w:color w:val="auto"/>
              </w:rPr>
            </w:pPr>
            <w:r w:rsidRPr="00C34D34">
              <w:rPr>
                <w:color w:val="auto"/>
              </w:rPr>
              <w:t>Implementing a thalidomide financial support package through the Australian Thalidomide Survivors Support Program.</w:t>
            </w:r>
          </w:p>
        </w:tc>
      </w:tr>
    </w:tbl>
    <w:p w14:paraId="086CEAE5" w14:textId="77777777" w:rsidR="00B43582" w:rsidRDefault="00B43582">
      <w:pPr>
        <w:spacing w:before="0" w:after="160" w:line="259" w:lineRule="auto"/>
        <w:rPr>
          <w:b/>
        </w:rPr>
      </w:pPr>
      <w:r>
        <w:rPr>
          <w:b/>
        </w:rPr>
        <w:br w:type="page"/>
      </w:r>
    </w:p>
    <w:tbl>
      <w:tblPr>
        <w:tblStyle w:val="TableGrid"/>
        <w:tblW w:w="0" w:type="auto"/>
        <w:tblLook w:val="04A0" w:firstRow="1" w:lastRow="0" w:firstColumn="1" w:lastColumn="0" w:noHBand="0" w:noVBand="1"/>
        <w:tblCaption w:val="Table 2.1.6: Performance Measures for Program 1.5 (continued)"/>
        <w:tblDescription w:val="This table outlines further key activities for Program 1.5. "/>
      </w:tblPr>
      <w:tblGrid>
        <w:gridCol w:w="7360"/>
      </w:tblGrid>
      <w:tr w:rsidR="00B43582" w14:paraId="27ADC221" w14:textId="77777777" w:rsidTr="00B43582">
        <w:tc>
          <w:tcPr>
            <w:tcW w:w="7360" w:type="dxa"/>
          </w:tcPr>
          <w:p w14:paraId="42310D73" w14:textId="77777777" w:rsidR="00B43582" w:rsidRPr="00C34D34" w:rsidRDefault="00B43582" w:rsidP="00B43582">
            <w:pPr>
              <w:pStyle w:val="Tabletextnormal9pt"/>
              <w:widowControl w:val="0"/>
              <w:numPr>
                <w:ilvl w:val="0"/>
                <w:numId w:val="1"/>
              </w:numPr>
              <w:ind w:left="312" w:hanging="312"/>
              <w:rPr>
                <w:color w:val="auto"/>
              </w:rPr>
            </w:pPr>
            <w:r w:rsidRPr="00C34D34">
              <w:rPr>
                <w:color w:val="auto"/>
              </w:rPr>
              <w:lastRenderedPageBreak/>
              <w:t>Improving early detection, treatment and survival outcomes for people with cancer by continuing to:</w:t>
            </w:r>
          </w:p>
          <w:p w14:paraId="2999D328" w14:textId="77777777" w:rsidR="00B43582" w:rsidRPr="00C34D34" w:rsidRDefault="00B43582" w:rsidP="00B43582">
            <w:pPr>
              <w:pStyle w:val="Tabletextnormal9pt"/>
              <w:widowControl w:val="0"/>
              <w:numPr>
                <w:ilvl w:val="0"/>
                <w:numId w:val="37"/>
              </w:numPr>
              <w:ind w:left="596" w:hanging="284"/>
              <w:rPr>
                <w:color w:val="auto"/>
              </w:rPr>
            </w:pPr>
            <w:r>
              <w:rPr>
                <w:color w:val="auto"/>
              </w:rPr>
              <w:t>a</w:t>
            </w:r>
            <w:r w:rsidRPr="00C34D34">
              <w:rPr>
                <w:color w:val="auto"/>
              </w:rPr>
              <w:t xml:space="preserve">ctively </w:t>
            </w:r>
            <w:r>
              <w:rPr>
                <w:color w:val="auto"/>
              </w:rPr>
              <w:t>invite</w:t>
            </w:r>
            <w:r w:rsidRPr="00C34D34">
              <w:rPr>
                <w:color w:val="auto"/>
              </w:rPr>
              <w:t xml:space="preserve"> Australians to participate in cancer screening programs, such as the</w:t>
            </w:r>
            <w:r>
              <w:rPr>
                <w:color w:val="auto"/>
              </w:rPr>
              <w:t xml:space="preserve"> </w:t>
            </w:r>
            <w:r w:rsidRPr="00C34D34">
              <w:rPr>
                <w:color w:val="auto"/>
              </w:rPr>
              <w:t>National Bowel Cancer Screening Program and the National Cervical Screening Program</w:t>
            </w:r>
          </w:p>
          <w:p w14:paraId="0D467DE0" w14:textId="77777777" w:rsidR="00B43582" w:rsidRPr="00C34D34" w:rsidRDefault="00B43582" w:rsidP="00B43582">
            <w:pPr>
              <w:pStyle w:val="Tabletextnormal9pt"/>
              <w:widowControl w:val="0"/>
              <w:numPr>
                <w:ilvl w:val="0"/>
                <w:numId w:val="37"/>
              </w:numPr>
              <w:ind w:left="597" w:hanging="283"/>
              <w:rPr>
                <w:color w:val="auto"/>
              </w:rPr>
            </w:pPr>
            <w:r>
              <w:rPr>
                <w:color w:val="auto"/>
              </w:rPr>
              <w:t>s</w:t>
            </w:r>
            <w:r w:rsidRPr="00C34D34">
              <w:rPr>
                <w:color w:val="auto"/>
              </w:rPr>
              <w:t xml:space="preserve">upport states and territories to deliver the </w:t>
            </w:r>
            <w:proofErr w:type="spellStart"/>
            <w:r w:rsidRPr="00C34D34">
              <w:rPr>
                <w:color w:val="auto"/>
              </w:rPr>
              <w:t>BreastScreen</w:t>
            </w:r>
            <w:proofErr w:type="spellEnd"/>
            <w:r w:rsidRPr="00C34D34">
              <w:rPr>
                <w:color w:val="auto"/>
              </w:rPr>
              <w:t xml:space="preserve"> Australia program</w:t>
            </w:r>
          </w:p>
          <w:p w14:paraId="6457B3C5" w14:textId="77777777" w:rsidR="00B43582" w:rsidRPr="00C34D34" w:rsidRDefault="00B43582" w:rsidP="00B43582">
            <w:pPr>
              <w:pStyle w:val="Tabletextnormal9pt"/>
              <w:widowControl w:val="0"/>
              <w:numPr>
                <w:ilvl w:val="0"/>
                <w:numId w:val="37"/>
              </w:numPr>
              <w:ind w:left="597" w:hanging="283"/>
              <w:rPr>
                <w:color w:val="auto"/>
              </w:rPr>
            </w:pPr>
            <w:r>
              <w:rPr>
                <w:color w:val="auto"/>
              </w:rPr>
              <w:t>o</w:t>
            </w:r>
            <w:r w:rsidRPr="00C34D34">
              <w:rPr>
                <w:color w:val="auto"/>
              </w:rPr>
              <w:t>perat</w:t>
            </w:r>
            <w:r>
              <w:rPr>
                <w:color w:val="auto"/>
              </w:rPr>
              <w:t>e</w:t>
            </w:r>
            <w:r w:rsidRPr="00C34D34">
              <w:rPr>
                <w:color w:val="auto"/>
              </w:rPr>
              <w:t xml:space="preserve"> the National Cancer Screening Register</w:t>
            </w:r>
          </w:p>
          <w:p w14:paraId="13986BA7" w14:textId="77777777" w:rsidR="00B43582" w:rsidRPr="00C34D34" w:rsidRDefault="00B43582" w:rsidP="00B43582">
            <w:pPr>
              <w:pStyle w:val="Tabletextnormal9pt"/>
              <w:widowControl w:val="0"/>
              <w:numPr>
                <w:ilvl w:val="0"/>
                <w:numId w:val="37"/>
              </w:numPr>
              <w:ind w:left="597" w:hanging="283"/>
              <w:rPr>
                <w:color w:val="auto"/>
              </w:rPr>
            </w:pPr>
            <w:proofErr w:type="gramStart"/>
            <w:r>
              <w:rPr>
                <w:color w:val="auto"/>
              </w:rPr>
              <w:t>i</w:t>
            </w:r>
            <w:r w:rsidRPr="00C34D34">
              <w:rPr>
                <w:color w:val="auto"/>
              </w:rPr>
              <w:t>mprov</w:t>
            </w:r>
            <w:r>
              <w:rPr>
                <w:color w:val="auto"/>
              </w:rPr>
              <w:t>e</w:t>
            </w:r>
            <w:proofErr w:type="gramEnd"/>
            <w:r w:rsidRPr="00C34D34">
              <w:rPr>
                <w:color w:val="auto"/>
              </w:rPr>
              <w:t xml:space="preserve"> participation across the 3 cancer screening programs over the next 5 years under the </w:t>
            </w:r>
            <w:r>
              <w:rPr>
                <w:color w:val="auto"/>
              </w:rPr>
              <w:t xml:space="preserve">National Preventive Health </w:t>
            </w:r>
            <w:r w:rsidRPr="00C34D34">
              <w:rPr>
                <w:color w:val="auto"/>
              </w:rPr>
              <w:t>Strategy</w:t>
            </w:r>
            <w:r>
              <w:rPr>
                <w:color w:val="auto"/>
              </w:rPr>
              <w:t xml:space="preserve"> 2021–2030</w:t>
            </w:r>
            <w:r w:rsidRPr="00C34D34">
              <w:rPr>
                <w:color w:val="auto"/>
              </w:rPr>
              <w:t>.</w:t>
            </w:r>
          </w:p>
          <w:p w14:paraId="4B9ED713" w14:textId="5966AC66" w:rsidR="00B43582" w:rsidRDefault="00B43582" w:rsidP="00B43582">
            <w:pPr>
              <w:rPr>
                <w:b/>
              </w:rPr>
            </w:pPr>
            <w:r>
              <w:rPr>
                <w:color w:val="auto"/>
              </w:rPr>
              <w:t>Establishing</w:t>
            </w:r>
            <w:r w:rsidRPr="00C34D34">
              <w:rPr>
                <w:color w:val="auto"/>
              </w:rPr>
              <w:t xml:space="preserve"> the feasibility of implementing a national lung cancer screening program with Cancer Australia.</w:t>
            </w:r>
          </w:p>
        </w:tc>
      </w:tr>
    </w:tbl>
    <w:p w14:paraId="62E77AFA" w14:textId="190676D9" w:rsidR="00DE52F7" w:rsidRDefault="00DE52F7">
      <w:r>
        <w:rPr>
          <w:b/>
        </w:rPr>
        <w:br w:type="page"/>
      </w:r>
    </w:p>
    <w:tbl>
      <w:tblPr>
        <w:tblStyle w:val="TableGrid"/>
        <w:tblW w:w="7680" w:type="dxa"/>
        <w:tblLayout w:type="fixed"/>
        <w:tblLook w:val="04A0" w:firstRow="1" w:lastRow="0" w:firstColumn="1" w:lastColumn="0" w:noHBand="0" w:noVBand="1"/>
        <w:tblCaption w:val="Table 2.1.6: Performance Measures for Program 1.5 (continued)"/>
        <w:tblDescription w:val="This table includes a performance measure for Program 1.5, with an expected performance result for 2021-22, and planned performance results for 2022-23 and the forward estimates"/>
      </w:tblPr>
      <w:tblGrid>
        <w:gridCol w:w="1536"/>
        <w:gridCol w:w="1536"/>
        <w:gridCol w:w="1536"/>
        <w:gridCol w:w="1536"/>
        <w:gridCol w:w="1536"/>
      </w:tblGrid>
      <w:tr w:rsidR="00B02213" w:rsidRPr="00685583" w14:paraId="70182A5B" w14:textId="77777777" w:rsidTr="00B02213">
        <w:tc>
          <w:tcPr>
            <w:tcW w:w="7680" w:type="dxa"/>
            <w:gridSpan w:val="5"/>
            <w:shd w:val="clear" w:color="auto" w:fill="D9D9D9" w:themeFill="background1" w:themeFillShade="D9"/>
          </w:tcPr>
          <w:p w14:paraId="37E53B13" w14:textId="64671D9A" w:rsidR="00B02213" w:rsidRPr="00685583" w:rsidRDefault="00B02213" w:rsidP="00B02213">
            <w:pPr>
              <w:pStyle w:val="Tableheadingrow9pt"/>
              <w:keepNext/>
              <w:keepLines/>
              <w:rPr>
                <w:color w:val="auto"/>
              </w:rPr>
            </w:pPr>
            <w:r w:rsidRPr="00685583">
              <w:rPr>
                <w:color w:val="auto"/>
              </w:rPr>
              <w:lastRenderedPageBreak/>
              <w:t>Performance Measures</w:t>
            </w:r>
          </w:p>
        </w:tc>
      </w:tr>
      <w:tr w:rsidR="00685583" w:rsidRPr="00685583" w14:paraId="02003599" w14:textId="77777777" w:rsidTr="009E3E5F">
        <w:tblPrEx>
          <w:jc w:val="center"/>
        </w:tblPrEx>
        <w:trPr>
          <w:jc w:val="center"/>
        </w:trPr>
        <w:tc>
          <w:tcPr>
            <w:tcW w:w="7680" w:type="dxa"/>
            <w:gridSpan w:val="5"/>
            <w:shd w:val="clear" w:color="auto" w:fill="D9D9D9" w:themeFill="background1" w:themeFillShade="D9"/>
          </w:tcPr>
          <w:p w14:paraId="066570A9" w14:textId="298E2974" w:rsidR="004D748F" w:rsidRPr="00685583" w:rsidRDefault="00955135" w:rsidP="008055C8">
            <w:pPr>
              <w:keepNext/>
              <w:keepLines/>
              <w:tabs>
                <w:tab w:val="left" w:pos="1832"/>
              </w:tabs>
              <w:rPr>
                <w:b/>
                <w:bCs/>
                <w:color w:val="auto"/>
                <w:sz w:val="17"/>
                <w:szCs w:val="17"/>
              </w:rPr>
            </w:pPr>
            <w:r w:rsidRPr="00685583">
              <w:rPr>
                <w:b/>
                <w:bCs/>
                <w:color w:val="auto"/>
                <w:sz w:val="17"/>
                <w:szCs w:val="17"/>
              </w:rPr>
              <w:t>Improv</w:t>
            </w:r>
            <w:r w:rsidR="00032F2F" w:rsidRPr="00685583">
              <w:rPr>
                <w:b/>
                <w:bCs/>
                <w:color w:val="auto"/>
                <w:sz w:val="17"/>
                <w:szCs w:val="17"/>
              </w:rPr>
              <w:t>e</w:t>
            </w:r>
            <w:r w:rsidRPr="00685583">
              <w:rPr>
                <w:b/>
                <w:bCs/>
                <w:color w:val="auto"/>
                <w:sz w:val="17"/>
                <w:szCs w:val="17"/>
              </w:rPr>
              <w:t xml:space="preserve"> overall health and wellbeing of Australians by achieving preventive health targets</w:t>
            </w:r>
            <w:r w:rsidR="00032F2F" w:rsidRPr="00685583">
              <w:rPr>
                <w:b/>
                <w:bCs/>
                <w:color w:val="auto"/>
                <w:sz w:val="17"/>
                <w:szCs w:val="17"/>
              </w:rPr>
              <w:t>.</w:t>
            </w:r>
          </w:p>
          <w:p w14:paraId="182004B3" w14:textId="7018D23E" w:rsidR="004D748F" w:rsidRPr="00685583" w:rsidRDefault="00032F2F" w:rsidP="008055C8">
            <w:pPr>
              <w:pStyle w:val="ListParagraph"/>
              <w:keepNext/>
              <w:keepLines/>
              <w:numPr>
                <w:ilvl w:val="0"/>
                <w:numId w:val="12"/>
              </w:numPr>
              <w:tabs>
                <w:tab w:val="left" w:pos="1832"/>
              </w:tabs>
              <w:spacing w:before="40" w:after="40"/>
              <w:ind w:left="307" w:hanging="284"/>
              <w:rPr>
                <w:rFonts w:ascii="Arial" w:hAnsi="Arial" w:cs="Arial"/>
                <w:b/>
                <w:bCs/>
                <w:sz w:val="17"/>
                <w:szCs w:val="17"/>
              </w:rPr>
            </w:pPr>
            <w:r w:rsidRPr="00685583">
              <w:rPr>
                <w:rFonts w:ascii="Arial" w:hAnsi="Arial" w:cs="Arial"/>
                <w:b/>
                <w:bCs/>
                <w:sz w:val="17"/>
                <w:szCs w:val="17"/>
              </w:rPr>
              <w:t>N</w:t>
            </w:r>
            <w:r w:rsidR="005B02EE" w:rsidRPr="00685583">
              <w:rPr>
                <w:rFonts w:ascii="Arial" w:hAnsi="Arial" w:cs="Arial"/>
                <w:b/>
                <w:bCs/>
                <w:sz w:val="17"/>
                <w:szCs w:val="17"/>
              </w:rPr>
              <w:t xml:space="preserve">ational daily </w:t>
            </w:r>
            <w:r w:rsidR="004D748F" w:rsidRPr="00685583">
              <w:rPr>
                <w:rFonts w:ascii="Arial" w:hAnsi="Arial" w:cs="Arial"/>
                <w:b/>
                <w:bCs/>
                <w:sz w:val="17"/>
                <w:szCs w:val="17"/>
              </w:rPr>
              <w:t>smoking</w:t>
            </w:r>
            <w:r w:rsidR="005B02EE" w:rsidRPr="00685583">
              <w:rPr>
                <w:rFonts w:ascii="Arial" w:hAnsi="Arial" w:cs="Arial"/>
                <w:b/>
                <w:bCs/>
                <w:sz w:val="17"/>
                <w:szCs w:val="17"/>
              </w:rPr>
              <w:t xml:space="preserve"> prevalence</w:t>
            </w:r>
            <w:r w:rsidRPr="00685583">
              <w:rPr>
                <w:rFonts w:ascii="Arial" w:hAnsi="Arial" w:cs="Arial"/>
                <w:b/>
                <w:bCs/>
                <w:sz w:val="17"/>
                <w:szCs w:val="17"/>
              </w:rPr>
              <w:t>.</w:t>
            </w:r>
          </w:p>
          <w:p w14:paraId="17F85A09" w14:textId="4462E526" w:rsidR="004D748F" w:rsidRPr="00685583" w:rsidRDefault="00032F2F" w:rsidP="008055C8">
            <w:pPr>
              <w:pStyle w:val="ListParagraph"/>
              <w:keepNext/>
              <w:keepLines/>
              <w:numPr>
                <w:ilvl w:val="0"/>
                <w:numId w:val="12"/>
              </w:numPr>
              <w:tabs>
                <w:tab w:val="left" w:pos="1832"/>
              </w:tabs>
              <w:spacing w:before="40" w:after="40"/>
              <w:ind w:left="307" w:hanging="284"/>
              <w:rPr>
                <w:rFonts w:ascii="Arial" w:hAnsi="Arial" w:cs="Arial"/>
                <w:b/>
                <w:bCs/>
                <w:sz w:val="17"/>
                <w:szCs w:val="17"/>
              </w:rPr>
            </w:pPr>
            <w:r w:rsidRPr="00685583">
              <w:rPr>
                <w:rFonts w:ascii="Arial" w:hAnsi="Arial" w:cs="Arial"/>
                <w:b/>
                <w:bCs/>
                <w:sz w:val="17"/>
                <w:szCs w:val="17"/>
              </w:rPr>
              <w:t>L</w:t>
            </w:r>
            <w:r w:rsidR="004D748F" w:rsidRPr="00685583">
              <w:rPr>
                <w:rFonts w:ascii="Arial" w:hAnsi="Arial" w:cs="Arial"/>
                <w:b/>
                <w:bCs/>
                <w:sz w:val="17"/>
                <w:szCs w:val="17"/>
              </w:rPr>
              <w:t>evel of harmful alcohol consumption</w:t>
            </w:r>
            <w:r w:rsidRPr="00685583">
              <w:rPr>
                <w:rFonts w:ascii="Arial" w:hAnsi="Arial" w:cs="Arial"/>
                <w:b/>
                <w:bCs/>
                <w:sz w:val="17"/>
                <w:szCs w:val="17"/>
              </w:rPr>
              <w:t>.</w:t>
            </w:r>
          </w:p>
          <w:p w14:paraId="3D6AE54B" w14:textId="4263014C" w:rsidR="004D748F" w:rsidRPr="00685583" w:rsidRDefault="00032F2F" w:rsidP="008055C8">
            <w:pPr>
              <w:pStyle w:val="ListParagraph"/>
              <w:keepNext/>
              <w:keepLines/>
              <w:numPr>
                <w:ilvl w:val="0"/>
                <w:numId w:val="12"/>
              </w:numPr>
              <w:tabs>
                <w:tab w:val="left" w:pos="1832"/>
              </w:tabs>
              <w:spacing w:before="40" w:after="40"/>
              <w:ind w:left="307" w:hanging="284"/>
              <w:rPr>
                <w:rFonts w:ascii="Arial" w:hAnsi="Arial" w:cs="Arial"/>
                <w:b/>
                <w:bCs/>
                <w:sz w:val="17"/>
                <w:szCs w:val="17"/>
              </w:rPr>
            </w:pPr>
            <w:r w:rsidRPr="00685583">
              <w:rPr>
                <w:rFonts w:ascii="Arial" w:hAnsi="Arial" w:cs="Arial"/>
                <w:b/>
                <w:bCs/>
                <w:sz w:val="17"/>
                <w:szCs w:val="17"/>
              </w:rPr>
              <w:t>P</w:t>
            </w:r>
            <w:r w:rsidR="004D748F" w:rsidRPr="00685583">
              <w:rPr>
                <w:rFonts w:ascii="Arial" w:hAnsi="Arial" w:cs="Arial"/>
                <w:b/>
                <w:bCs/>
                <w:sz w:val="17"/>
                <w:szCs w:val="17"/>
              </w:rPr>
              <w:t>revalence of</w:t>
            </w:r>
            <w:r w:rsidR="005B02EE" w:rsidRPr="00685583">
              <w:rPr>
                <w:rFonts w:ascii="Arial" w:hAnsi="Arial" w:cs="Arial"/>
                <w:b/>
                <w:bCs/>
                <w:sz w:val="17"/>
                <w:szCs w:val="17"/>
              </w:rPr>
              <w:t xml:space="preserve"> recent</w:t>
            </w:r>
            <w:r w:rsidR="004D748F" w:rsidRPr="00685583">
              <w:rPr>
                <w:rFonts w:ascii="Arial" w:hAnsi="Arial" w:cs="Arial"/>
                <w:b/>
                <w:bCs/>
                <w:sz w:val="17"/>
                <w:szCs w:val="17"/>
              </w:rPr>
              <w:t xml:space="preserve"> illicit drug use</w:t>
            </w:r>
            <w:r w:rsidRPr="00685583">
              <w:rPr>
                <w:rFonts w:ascii="Arial" w:hAnsi="Arial" w:cs="Arial"/>
                <w:b/>
                <w:bCs/>
                <w:sz w:val="17"/>
                <w:szCs w:val="17"/>
              </w:rPr>
              <w:t>.</w:t>
            </w:r>
          </w:p>
          <w:p w14:paraId="0F37D418" w14:textId="4E74F4A1" w:rsidR="004D748F" w:rsidRPr="00685583" w:rsidRDefault="00955135" w:rsidP="008055C8">
            <w:pPr>
              <w:pStyle w:val="ListParagraph"/>
              <w:keepNext/>
              <w:keepLines/>
              <w:numPr>
                <w:ilvl w:val="0"/>
                <w:numId w:val="12"/>
              </w:numPr>
              <w:tabs>
                <w:tab w:val="left" w:pos="1832"/>
              </w:tabs>
              <w:spacing w:before="40" w:after="40"/>
              <w:ind w:left="307" w:hanging="284"/>
              <w:rPr>
                <w:b/>
                <w:bCs/>
                <w:sz w:val="17"/>
                <w:szCs w:val="17"/>
              </w:rPr>
            </w:pPr>
            <w:r w:rsidRPr="00685583">
              <w:rPr>
                <w:rFonts w:ascii="Arial" w:hAnsi="Arial" w:cs="Arial"/>
                <w:b/>
                <w:bCs/>
                <w:sz w:val="17"/>
                <w:szCs w:val="17"/>
              </w:rPr>
              <w:t xml:space="preserve">Increase the </w:t>
            </w:r>
            <w:r w:rsidR="005B02EE" w:rsidRPr="00685583">
              <w:rPr>
                <w:rFonts w:ascii="Arial" w:hAnsi="Arial" w:cs="Arial"/>
                <w:b/>
                <w:bCs/>
                <w:sz w:val="17"/>
                <w:szCs w:val="17"/>
              </w:rPr>
              <w:t>l</w:t>
            </w:r>
            <w:r w:rsidR="00D86D5E" w:rsidRPr="00685583">
              <w:rPr>
                <w:rFonts w:ascii="Arial" w:hAnsi="Arial" w:cs="Arial"/>
                <w:b/>
                <w:bCs/>
                <w:sz w:val="17"/>
                <w:szCs w:val="17"/>
              </w:rPr>
              <w:t>evel</w:t>
            </w:r>
            <w:r w:rsidR="004D748F" w:rsidRPr="00685583">
              <w:rPr>
                <w:rFonts w:ascii="Arial" w:hAnsi="Arial" w:cs="Arial"/>
                <w:b/>
                <w:bCs/>
                <w:sz w:val="17"/>
                <w:szCs w:val="17"/>
              </w:rPr>
              <w:t xml:space="preserve"> of cancer screening participation</w:t>
            </w:r>
            <w:r w:rsidRPr="00685583">
              <w:rPr>
                <w:rFonts w:ascii="Arial" w:hAnsi="Arial" w:cs="Arial"/>
                <w:b/>
                <w:bCs/>
                <w:sz w:val="17"/>
                <w:szCs w:val="17"/>
              </w:rPr>
              <w:t xml:space="preserve"> over </w:t>
            </w:r>
            <w:r w:rsidR="006808F3" w:rsidRPr="00685583">
              <w:rPr>
                <w:rFonts w:ascii="Arial" w:hAnsi="Arial" w:cs="Arial"/>
                <w:b/>
                <w:bCs/>
                <w:sz w:val="17"/>
                <w:szCs w:val="17"/>
              </w:rPr>
              <w:t>5</w:t>
            </w:r>
            <w:r w:rsidR="00B47D0F">
              <w:rPr>
                <w:rFonts w:ascii="Arial" w:hAnsi="Arial" w:cs="Arial"/>
                <w:b/>
                <w:bCs/>
                <w:sz w:val="17"/>
                <w:szCs w:val="17"/>
              </w:rPr>
              <w:t xml:space="preserve"> years (i.e. 2025–</w:t>
            </w:r>
            <w:r w:rsidRPr="00685583">
              <w:rPr>
                <w:rFonts w:ascii="Arial" w:hAnsi="Arial" w:cs="Arial"/>
                <w:b/>
                <w:bCs/>
                <w:sz w:val="17"/>
                <w:szCs w:val="17"/>
              </w:rPr>
              <w:t>26) in line with the Minister for Health’s commitment</w:t>
            </w:r>
            <w:r w:rsidR="00032F2F" w:rsidRPr="00685583">
              <w:rPr>
                <w:rFonts w:ascii="Arial" w:hAnsi="Arial" w:cs="Arial"/>
                <w:b/>
                <w:bCs/>
                <w:sz w:val="17"/>
                <w:szCs w:val="17"/>
              </w:rPr>
              <w:t>.</w:t>
            </w:r>
          </w:p>
          <w:p w14:paraId="21145BBD" w14:textId="5AE0E83D" w:rsidR="00A86ED3" w:rsidRPr="00685583" w:rsidRDefault="00A86ED3" w:rsidP="008055C8">
            <w:pPr>
              <w:pStyle w:val="ListParagraph"/>
              <w:keepNext/>
              <w:keepLines/>
              <w:numPr>
                <w:ilvl w:val="0"/>
                <w:numId w:val="32"/>
              </w:numPr>
              <w:tabs>
                <w:tab w:val="left" w:pos="1832"/>
              </w:tabs>
              <w:spacing w:before="40" w:after="40"/>
              <w:rPr>
                <w:rFonts w:ascii="Arial" w:hAnsi="Arial" w:cs="Arial"/>
                <w:b/>
                <w:bCs/>
                <w:sz w:val="17"/>
                <w:szCs w:val="17"/>
              </w:rPr>
            </w:pPr>
            <w:r w:rsidRPr="00685583">
              <w:rPr>
                <w:rFonts w:ascii="Arial" w:hAnsi="Arial" w:cs="Arial"/>
                <w:b/>
                <w:bCs/>
                <w:sz w:val="17"/>
                <w:szCs w:val="17"/>
              </w:rPr>
              <w:t>National Bowel Cancer Screening Program</w:t>
            </w:r>
            <w:r w:rsidR="00955135" w:rsidRPr="00685583">
              <w:rPr>
                <w:rFonts w:ascii="Arial" w:hAnsi="Arial" w:cs="Arial"/>
                <w:b/>
                <w:bCs/>
                <w:sz w:val="17"/>
                <w:szCs w:val="17"/>
              </w:rPr>
              <w:t xml:space="preserve"> (toward</w:t>
            </w:r>
            <w:r w:rsidR="00032F2F" w:rsidRPr="00685583">
              <w:rPr>
                <w:rFonts w:ascii="Arial" w:hAnsi="Arial" w:cs="Arial"/>
                <w:b/>
                <w:bCs/>
                <w:sz w:val="17"/>
                <w:szCs w:val="17"/>
              </w:rPr>
              <w:t>s</w:t>
            </w:r>
            <w:r w:rsidR="00955135" w:rsidRPr="00685583">
              <w:rPr>
                <w:rFonts w:ascii="Arial" w:hAnsi="Arial" w:cs="Arial"/>
                <w:b/>
                <w:bCs/>
                <w:sz w:val="17"/>
                <w:szCs w:val="17"/>
              </w:rPr>
              <w:t xml:space="preserve"> 53%)</w:t>
            </w:r>
            <w:r w:rsidRPr="00685583">
              <w:rPr>
                <w:rFonts w:ascii="Arial" w:hAnsi="Arial" w:cs="Arial"/>
                <w:b/>
                <w:bCs/>
                <w:sz w:val="17"/>
                <w:szCs w:val="17"/>
              </w:rPr>
              <w:t>.</w:t>
            </w:r>
          </w:p>
          <w:p w14:paraId="0C5B24EE" w14:textId="31C8087F" w:rsidR="00A86ED3" w:rsidRPr="00685583" w:rsidRDefault="00A86ED3" w:rsidP="008055C8">
            <w:pPr>
              <w:pStyle w:val="ListParagraph"/>
              <w:keepNext/>
              <w:keepLines/>
              <w:numPr>
                <w:ilvl w:val="0"/>
                <w:numId w:val="32"/>
              </w:numPr>
              <w:tabs>
                <w:tab w:val="left" w:pos="1832"/>
              </w:tabs>
              <w:spacing w:before="40" w:after="40"/>
              <w:rPr>
                <w:rFonts w:ascii="Arial" w:hAnsi="Arial" w:cs="Arial"/>
                <w:b/>
                <w:bCs/>
                <w:sz w:val="17"/>
                <w:szCs w:val="17"/>
              </w:rPr>
            </w:pPr>
            <w:r w:rsidRPr="00685583">
              <w:rPr>
                <w:rFonts w:ascii="Arial" w:hAnsi="Arial" w:cs="Arial"/>
                <w:b/>
                <w:bCs/>
                <w:sz w:val="17"/>
                <w:szCs w:val="17"/>
              </w:rPr>
              <w:t>National Cervical Screening Program</w:t>
            </w:r>
            <w:r w:rsidR="00955135" w:rsidRPr="00685583">
              <w:rPr>
                <w:rFonts w:ascii="Arial" w:hAnsi="Arial" w:cs="Arial"/>
                <w:b/>
                <w:bCs/>
                <w:sz w:val="17"/>
                <w:szCs w:val="17"/>
              </w:rPr>
              <w:t xml:space="preserve"> (towards 64%)</w:t>
            </w:r>
            <w:r w:rsidRPr="00685583">
              <w:rPr>
                <w:rFonts w:ascii="Arial" w:hAnsi="Arial" w:cs="Arial"/>
                <w:b/>
                <w:bCs/>
                <w:sz w:val="17"/>
                <w:szCs w:val="17"/>
              </w:rPr>
              <w:t>.</w:t>
            </w:r>
          </w:p>
          <w:p w14:paraId="47E6F2DF" w14:textId="53793D70" w:rsidR="003B0A69" w:rsidRPr="00E7155B" w:rsidRDefault="00A86ED3" w:rsidP="008055C8">
            <w:pPr>
              <w:pStyle w:val="ListParagraph"/>
              <w:keepNext/>
              <w:keepLines/>
              <w:numPr>
                <w:ilvl w:val="0"/>
                <w:numId w:val="32"/>
              </w:numPr>
              <w:tabs>
                <w:tab w:val="left" w:pos="1832"/>
              </w:tabs>
              <w:spacing w:before="40" w:after="40"/>
              <w:rPr>
                <w:b/>
                <w:bCs/>
                <w:sz w:val="17"/>
                <w:szCs w:val="17"/>
              </w:rPr>
            </w:pPr>
            <w:proofErr w:type="spellStart"/>
            <w:r w:rsidRPr="00685583">
              <w:rPr>
                <w:rFonts w:ascii="Arial" w:hAnsi="Arial" w:cs="Arial"/>
                <w:b/>
                <w:bCs/>
                <w:sz w:val="17"/>
                <w:szCs w:val="17"/>
              </w:rPr>
              <w:t>BreastScreen</w:t>
            </w:r>
            <w:proofErr w:type="spellEnd"/>
            <w:r w:rsidRPr="00685583">
              <w:rPr>
                <w:rFonts w:ascii="Arial" w:hAnsi="Arial" w:cs="Arial"/>
                <w:b/>
                <w:bCs/>
                <w:sz w:val="17"/>
                <w:szCs w:val="17"/>
              </w:rPr>
              <w:t xml:space="preserve"> Australia Program</w:t>
            </w:r>
            <w:r w:rsidR="00955135" w:rsidRPr="00685583">
              <w:rPr>
                <w:rFonts w:ascii="Arial" w:hAnsi="Arial" w:cs="Arial"/>
                <w:b/>
                <w:bCs/>
                <w:sz w:val="17"/>
                <w:szCs w:val="17"/>
              </w:rPr>
              <w:t xml:space="preserve"> (towards 65%).</w:t>
            </w:r>
          </w:p>
        </w:tc>
      </w:tr>
      <w:tr w:rsidR="00CC420F" w:rsidRPr="00685583" w14:paraId="4CFA8EB0" w14:textId="77777777" w:rsidTr="00E15883">
        <w:tblPrEx>
          <w:jc w:val="center"/>
        </w:tblPrEx>
        <w:trPr>
          <w:jc w:val="center"/>
        </w:trPr>
        <w:tc>
          <w:tcPr>
            <w:tcW w:w="1536" w:type="dxa"/>
            <w:shd w:val="clear" w:color="auto" w:fill="auto"/>
          </w:tcPr>
          <w:p w14:paraId="5D14E73A" w14:textId="6E0CF3FE" w:rsidR="00CC420F" w:rsidRPr="00685583" w:rsidRDefault="00CC420F" w:rsidP="00CC420F">
            <w:pPr>
              <w:pStyle w:val="Tableheadingrow9pt"/>
              <w:tabs>
                <w:tab w:val="left" w:pos="1832"/>
              </w:tab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47D0F">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6" w:type="dxa"/>
            <w:shd w:val="clear" w:color="auto" w:fill="auto"/>
          </w:tcPr>
          <w:p w14:paraId="05F78234" w14:textId="1B67CE35" w:rsidR="00CC420F" w:rsidRPr="00685583" w:rsidRDefault="00CC420F" w:rsidP="00CC420F">
            <w:pPr>
              <w:pStyle w:val="Tableheadingrow9pt"/>
              <w:tabs>
                <w:tab w:val="left" w:pos="1832"/>
              </w:tab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47D0F">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034ABF1D" w14:textId="1A237E81"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47D0F">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6592742E" w14:textId="5D0E264E"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47D0F">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3E7FEED7" w14:textId="2C05EC2C" w:rsidR="00CC420F" w:rsidRPr="00685583" w:rsidRDefault="00CC420F" w:rsidP="00CC420F">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47D0F">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4022E" w:rsidRPr="00685583" w14:paraId="5E75D71B" w14:textId="77777777" w:rsidTr="00E15883">
        <w:tblPrEx>
          <w:jc w:val="center"/>
        </w:tblPrEx>
        <w:trPr>
          <w:jc w:val="center"/>
        </w:trPr>
        <w:tc>
          <w:tcPr>
            <w:tcW w:w="1536" w:type="dxa"/>
            <w:shd w:val="clear" w:color="auto" w:fill="auto"/>
          </w:tcPr>
          <w:p w14:paraId="07A5AAFF" w14:textId="0CEB10D2"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a. ≤13.8%</w:t>
            </w:r>
            <w:r w:rsidRPr="00685583">
              <w:rPr>
                <w:rStyle w:val="FootnoteReference"/>
                <w:b w:val="0"/>
                <w:color w:val="auto"/>
                <w:sz w:val="17"/>
                <w:szCs w:val="17"/>
              </w:rPr>
              <w:footnoteReference w:id="39"/>
            </w:r>
          </w:p>
        </w:tc>
        <w:tc>
          <w:tcPr>
            <w:tcW w:w="1536" w:type="dxa"/>
            <w:shd w:val="clear" w:color="auto" w:fill="auto"/>
          </w:tcPr>
          <w:p w14:paraId="799DB28E" w14:textId="03E658A1"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1D7DB16" w14:textId="3822D616"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40FCAB3E" w14:textId="3DA66FB3"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842319B" w14:textId="618814DE"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64022E" w:rsidRPr="00685583" w14:paraId="276B806A" w14:textId="77777777" w:rsidTr="00E15883">
        <w:tblPrEx>
          <w:jc w:val="center"/>
        </w:tblPrEx>
        <w:trPr>
          <w:jc w:val="center"/>
        </w:trPr>
        <w:tc>
          <w:tcPr>
            <w:tcW w:w="1536" w:type="dxa"/>
            <w:shd w:val="clear" w:color="auto" w:fill="auto"/>
          </w:tcPr>
          <w:p w14:paraId="5A840908" w14:textId="5C861E8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b. ≤32.0%</w:t>
            </w:r>
            <w:r w:rsidRPr="00685583">
              <w:rPr>
                <w:rStyle w:val="FootnoteReference"/>
                <w:b w:val="0"/>
                <w:color w:val="auto"/>
                <w:sz w:val="17"/>
                <w:szCs w:val="17"/>
              </w:rPr>
              <w:footnoteReference w:id="40"/>
            </w:r>
          </w:p>
        </w:tc>
        <w:tc>
          <w:tcPr>
            <w:tcW w:w="1536" w:type="dxa"/>
            <w:shd w:val="clear" w:color="auto" w:fill="auto"/>
          </w:tcPr>
          <w:p w14:paraId="165B6BE6" w14:textId="36E2D0F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4C4710EC" w14:textId="0052AD6D"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5D611AAE" w14:textId="3517FFDE"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71496318" w14:textId="4CCA463C"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64022E" w:rsidRPr="00685583" w14:paraId="2214211D" w14:textId="77777777" w:rsidTr="00E15883">
        <w:tblPrEx>
          <w:jc w:val="center"/>
        </w:tblPrEx>
        <w:trPr>
          <w:jc w:val="center"/>
        </w:trPr>
        <w:tc>
          <w:tcPr>
            <w:tcW w:w="1536" w:type="dxa"/>
            <w:shd w:val="clear" w:color="auto" w:fill="auto"/>
          </w:tcPr>
          <w:p w14:paraId="0080D6AE" w14:textId="06FDAD2A"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c. ≤16.4%</w:t>
            </w:r>
            <w:r w:rsidRPr="00685583">
              <w:rPr>
                <w:rStyle w:val="FootnoteReference"/>
                <w:b w:val="0"/>
                <w:color w:val="auto"/>
                <w:sz w:val="17"/>
                <w:szCs w:val="17"/>
              </w:rPr>
              <w:footnoteReference w:id="41"/>
            </w:r>
          </w:p>
        </w:tc>
        <w:tc>
          <w:tcPr>
            <w:tcW w:w="1536" w:type="dxa"/>
            <w:shd w:val="clear" w:color="auto" w:fill="auto"/>
          </w:tcPr>
          <w:p w14:paraId="69B88223" w14:textId="36782BBD"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66656A01" w14:textId="75F5B66C"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5BA0A63E" w14:textId="74BFB951" w:rsidR="0064022E" w:rsidRPr="00685583" w:rsidRDefault="0064022E" w:rsidP="0064022E">
            <w:pPr>
              <w:pStyle w:val="Tableheadingrow9pt"/>
              <w:tabs>
                <w:tab w:val="left" w:pos="1832"/>
              </w:tabs>
              <w:rPr>
                <w:b w:val="0"/>
                <w:color w:val="auto"/>
                <w:sz w:val="17"/>
                <w:szCs w:val="17"/>
              </w:rPr>
            </w:pPr>
            <w:r w:rsidRPr="00685583">
              <w:rPr>
                <w:b w:val="0"/>
                <w:color w:val="auto"/>
                <w:sz w:val="17"/>
                <w:szCs w:val="17"/>
              </w:rPr>
              <w:t>Progressive decrease</w:t>
            </w:r>
          </w:p>
        </w:tc>
        <w:tc>
          <w:tcPr>
            <w:tcW w:w="1536" w:type="dxa"/>
            <w:shd w:val="clear" w:color="auto" w:fill="auto"/>
          </w:tcPr>
          <w:p w14:paraId="3D16785B" w14:textId="08C8638C" w:rsidR="0064022E" w:rsidRPr="0064022E" w:rsidRDefault="0064022E" w:rsidP="0064022E">
            <w:pPr>
              <w:pStyle w:val="Tableheadingrow9pt"/>
              <w:tabs>
                <w:tab w:val="left" w:pos="1832"/>
              </w:tabs>
              <w:rPr>
                <w:b w:val="0"/>
                <w:color w:val="auto"/>
                <w:sz w:val="17"/>
                <w:szCs w:val="17"/>
              </w:rPr>
            </w:pPr>
            <w:r w:rsidRPr="0064022E">
              <w:rPr>
                <w:b w:val="0"/>
                <w:color w:val="auto"/>
                <w:sz w:val="17"/>
                <w:szCs w:val="17"/>
              </w:rPr>
              <w:t>Progressive decrease</w:t>
            </w:r>
          </w:p>
        </w:tc>
      </w:tr>
      <w:tr w:rsidR="00C36740" w:rsidRPr="00685583" w14:paraId="7077F5F7" w14:textId="77777777" w:rsidTr="00E15883">
        <w:tblPrEx>
          <w:jc w:val="center"/>
        </w:tblPrEx>
        <w:trPr>
          <w:jc w:val="center"/>
        </w:trPr>
        <w:tc>
          <w:tcPr>
            <w:tcW w:w="1536" w:type="dxa"/>
            <w:shd w:val="clear" w:color="auto" w:fill="auto"/>
          </w:tcPr>
          <w:p w14:paraId="68BE14DA" w14:textId="359942F3" w:rsidR="00C36740" w:rsidRDefault="00C36740" w:rsidP="00B537DD">
            <w:pPr>
              <w:pStyle w:val="Tableheadingrow9pt"/>
              <w:numPr>
                <w:ilvl w:val="0"/>
                <w:numId w:val="30"/>
              </w:numPr>
              <w:tabs>
                <w:tab w:val="left" w:pos="314"/>
                <w:tab w:val="left" w:pos="597"/>
                <w:tab w:val="left" w:pos="1832"/>
              </w:tabs>
              <w:ind w:left="250" w:hanging="227"/>
              <w:rPr>
                <w:b w:val="0"/>
                <w:color w:val="auto"/>
                <w:sz w:val="17"/>
                <w:szCs w:val="17"/>
              </w:rPr>
            </w:pPr>
            <w:proofErr w:type="spellStart"/>
            <w:r>
              <w:rPr>
                <w:b w:val="0"/>
                <w:color w:val="auto"/>
                <w:sz w:val="17"/>
                <w:szCs w:val="17"/>
              </w:rPr>
              <w:t>i</w:t>
            </w:r>
            <w:proofErr w:type="spellEnd"/>
            <w:r>
              <w:rPr>
                <w:b w:val="0"/>
                <w:color w:val="auto"/>
                <w:sz w:val="17"/>
                <w:szCs w:val="17"/>
              </w:rPr>
              <w:t>.   4</w:t>
            </w:r>
            <w:r w:rsidRPr="00685583">
              <w:rPr>
                <w:b w:val="0"/>
                <w:color w:val="auto"/>
                <w:sz w:val="17"/>
                <w:szCs w:val="17"/>
              </w:rPr>
              <w:t>3.8%</w:t>
            </w:r>
          </w:p>
          <w:p w14:paraId="2B98F486" w14:textId="57DF6F3C" w:rsidR="00C36740" w:rsidRPr="00F664C1" w:rsidRDefault="00C36740" w:rsidP="00F664C1">
            <w:pPr>
              <w:pStyle w:val="Tableheadingrow9pt"/>
              <w:numPr>
                <w:ilvl w:val="0"/>
                <w:numId w:val="31"/>
              </w:numPr>
              <w:tabs>
                <w:tab w:val="left" w:pos="314"/>
                <w:tab w:val="left" w:pos="597"/>
                <w:tab w:val="left" w:pos="1832"/>
              </w:tabs>
              <w:ind w:left="454" w:hanging="227"/>
              <w:rPr>
                <w:b w:val="0"/>
                <w:color w:val="auto"/>
                <w:sz w:val="17"/>
                <w:szCs w:val="17"/>
              </w:rPr>
            </w:pPr>
            <w:r w:rsidRPr="00F664C1">
              <w:rPr>
                <w:b w:val="0"/>
                <w:color w:val="auto"/>
                <w:sz w:val="17"/>
                <w:szCs w:val="17"/>
              </w:rPr>
              <w:t>46.5%</w:t>
            </w:r>
          </w:p>
          <w:p w14:paraId="38502DE0" w14:textId="77777777" w:rsidR="00C36740" w:rsidRDefault="00C36740" w:rsidP="00F664C1">
            <w:pPr>
              <w:pStyle w:val="Tableheadingrow9pt"/>
              <w:numPr>
                <w:ilvl w:val="0"/>
                <w:numId w:val="31"/>
              </w:numPr>
              <w:ind w:left="454" w:hanging="227"/>
              <w:rPr>
                <w:b w:val="0"/>
                <w:color w:val="auto"/>
                <w:sz w:val="17"/>
                <w:szCs w:val="17"/>
              </w:rPr>
            </w:pPr>
            <w:r w:rsidRPr="00685583">
              <w:rPr>
                <w:b w:val="0"/>
                <w:color w:val="auto"/>
                <w:sz w:val="17"/>
                <w:szCs w:val="17"/>
              </w:rPr>
              <w:t>54.3%</w:t>
            </w:r>
          </w:p>
          <w:p w14:paraId="37075ED5" w14:textId="77777777" w:rsidR="00C36740" w:rsidRDefault="00C36740" w:rsidP="00C36740">
            <w:pPr>
              <w:pStyle w:val="Tableheadingrow9pt"/>
              <w:rPr>
                <w:b w:val="0"/>
                <w:color w:val="auto"/>
                <w:sz w:val="17"/>
                <w:szCs w:val="17"/>
              </w:rPr>
            </w:pPr>
          </w:p>
          <w:p w14:paraId="4A1A3BE8" w14:textId="77777777" w:rsidR="00C36740" w:rsidRDefault="00C36740" w:rsidP="00C36740">
            <w:pPr>
              <w:pStyle w:val="Tableheadingrow9pt"/>
              <w:rPr>
                <w:b w:val="0"/>
                <w:color w:val="auto"/>
                <w:sz w:val="17"/>
                <w:szCs w:val="17"/>
              </w:rPr>
            </w:pPr>
          </w:p>
          <w:p w14:paraId="32D6DBD7" w14:textId="77777777" w:rsidR="002709BC" w:rsidRDefault="002709BC" w:rsidP="00C36740">
            <w:pPr>
              <w:pStyle w:val="Tableheadingrow9pt"/>
              <w:rPr>
                <w:b w:val="0"/>
                <w:color w:val="auto"/>
                <w:sz w:val="17"/>
                <w:szCs w:val="17"/>
              </w:rPr>
            </w:pPr>
          </w:p>
          <w:p w14:paraId="611F81AE" w14:textId="77777777" w:rsidR="00AB114F" w:rsidRDefault="00AB114F" w:rsidP="00C36740">
            <w:pPr>
              <w:pStyle w:val="Tableheadingrow9pt"/>
              <w:rPr>
                <w:b w:val="0"/>
                <w:color w:val="auto"/>
                <w:sz w:val="17"/>
                <w:szCs w:val="17"/>
              </w:rPr>
            </w:pPr>
          </w:p>
          <w:p w14:paraId="0807444C" w14:textId="04F90AC9" w:rsidR="00AB114F" w:rsidRPr="00685583" w:rsidRDefault="00AB114F" w:rsidP="00C36740">
            <w:pPr>
              <w:pStyle w:val="Tableheadingrow9pt"/>
              <w:rPr>
                <w:b w:val="0"/>
                <w:color w:val="auto"/>
                <w:sz w:val="17"/>
                <w:szCs w:val="17"/>
              </w:rPr>
            </w:pPr>
          </w:p>
        </w:tc>
        <w:tc>
          <w:tcPr>
            <w:tcW w:w="1536" w:type="dxa"/>
            <w:vMerge w:val="restart"/>
            <w:shd w:val="clear" w:color="auto" w:fill="auto"/>
          </w:tcPr>
          <w:p w14:paraId="3B32C37C" w14:textId="2A27566A" w:rsidR="00C36740" w:rsidRPr="00685583" w:rsidRDefault="00C36740" w:rsidP="00B7405A">
            <w:pPr>
              <w:pStyle w:val="Tableheadingrow9pt"/>
              <w:tabs>
                <w:tab w:val="left" w:pos="1832"/>
              </w:tabs>
              <w:rPr>
                <w:b w:val="0"/>
                <w:color w:val="auto"/>
                <w:sz w:val="17"/>
                <w:szCs w:val="17"/>
              </w:rPr>
            </w:pPr>
            <w:r w:rsidRPr="00685583">
              <w:rPr>
                <w:b w:val="0"/>
                <w:color w:val="auto"/>
                <w:sz w:val="17"/>
                <w:szCs w:val="17"/>
              </w:rPr>
              <w:t>Progressive increase</w:t>
            </w:r>
            <w:r>
              <w:rPr>
                <w:b w:val="0"/>
                <w:color w:val="auto"/>
                <w:sz w:val="17"/>
                <w:szCs w:val="17"/>
              </w:rPr>
              <w:t xml:space="preserve"> towards 53</w:t>
            </w:r>
            <w:r w:rsidR="00B56952">
              <w:rPr>
                <w:b w:val="0"/>
                <w:color w:val="auto"/>
                <w:sz w:val="17"/>
                <w:szCs w:val="17"/>
              </w:rPr>
              <w:t>.0</w:t>
            </w:r>
            <w:r>
              <w:rPr>
                <w:b w:val="0"/>
                <w:color w:val="auto"/>
                <w:sz w:val="17"/>
                <w:szCs w:val="17"/>
              </w:rPr>
              <w:t>%</w:t>
            </w:r>
          </w:p>
          <w:p w14:paraId="25822D03" w14:textId="36BA9D4F" w:rsidR="00C36740" w:rsidRPr="00685583" w:rsidRDefault="00C36740" w:rsidP="00B7405A">
            <w:pPr>
              <w:pStyle w:val="Tableheadingrow9pt"/>
              <w:tabs>
                <w:tab w:val="left" w:pos="1832"/>
              </w:tabs>
              <w:rPr>
                <w:b w:val="0"/>
                <w:color w:val="auto"/>
                <w:sz w:val="17"/>
                <w:szCs w:val="17"/>
              </w:rPr>
            </w:pPr>
            <w:r w:rsidRPr="00685583">
              <w:rPr>
                <w:b w:val="0"/>
                <w:color w:val="auto"/>
                <w:sz w:val="17"/>
                <w:szCs w:val="17"/>
              </w:rPr>
              <w:t>Progressive increase</w:t>
            </w:r>
            <w:r>
              <w:rPr>
                <w:b w:val="0"/>
                <w:color w:val="auto"/>
                <w:sz w:val="17"/>
                <w:szCs w:val="17"/>
              </w:rPr>
              <w:t xml:space="preserve"> towards 64</w:t>
            </w:r>
            <w:r w:rsidR="00B56952">
              <w:rPr>
                <w:b w:val="0"/>
                <w:color w:val="auto"/>
                <w:sz w:val="17"/>
                <w:szCs w:val="17"/>
              </w:rPr>
              <w:t>.0</w:t>
            </w:r>
            <w:r>
              <w:rPr>
                <w:b w:val="0"/>
                <w:color w:val="auto"/>
                <w:sz w:val="17"/>
                <w:szCs w:val="17"/>
              </w:rPr>
              <w:t>%</w:t>
            </w:r>
          </w:p>
          <w:p w14:paraId="19D3C279" w14:textId="0E6BFCE0" w:rsidR="00C36740" w:rsidRPr="00685583" w:rsidRDefault="00C36740" w:rsidP="00B7405A">
            <w:pPr>
              <w:pStyle w:val="Tableheadingrow9pt"/>
              <w:rPr>
                <w:b w:val="0"/>
                <w:color w:val="auto"/>
                <w:sz w:val="17"/>
                <w:szCs w:val="17"/>
              </w:rPr>
            </w:pPr>
            <w:r w:rsidRPr="00685583">
              <w:rPr>
                <w:b w:val="0"/>
                <w:color w:val="auto"/>
                <w:sz w:val="17"/>
                <w:szCs w:val="17"/>
              </w:rPr>
              <w:t>Progressive increase</w:t>
            </w:r>
            <w:r>
              <w:rPr>
                <w:b w:val="0"/>
                <w:color w:val="auto"/>
                <w:sz w:val="17"/>
                <w:szCs w:val="17"/>
              </w:rPr>
              <w:t xml:space="preserve"> towards 65</w:t>
            </w:r>
            <w:r w:rsidR="00B56952">
              <w:rPr>
                <w:b w:val="0"/>
                <w:color w:val="auto"/>
                <w:sz w:val="17"/>
                <w:szCs w:val="17"/>
              </w:rPr>
              <w:t>.0</w:t>
            </w:r>
            <w:r>
              <w:rPr>
                <w:b w:val="0"/>
                <w:color w:val="auto"/>
                <w:sz w:val="17"/>
                <w:szCs w:val="17"/>
              </w:rPr>
              <w:t>%</w:t>
            </w:r>
          </w:p>
        </w:tc>
        <w:tc>
          <w:tcPr>
            <w:tcW w:w="1536" w:type="dxa"/>
            <w:vMerge w:val="restart"/>
            <w:shd w:val="clear" w:color="auto" w:fill="auto"/>
          </w:tcPr>
          <w:p w14:paraId="14B29E24" w14:textId="2308ED31" w:rsidR="00C36740" w:rsidRPr="00685583" w:rsidRDefault="00C36740" w:rsidP="00B7405A">
            <w:pPr>
              <w:pStyle w:val="Tableheadingrow9pt"/>
              <w:tabs>
                <w:tab w:val="left" w:pos="1832"/>
              </w:tabs>
              <w:rPr>
                <w:b w:val="0"/>
                <w:color w:val="auto"/>
                <w:sz w:val="17"/>
                <w:szCs w:val="17"/>
              </w:rPr>
            </w:pPr>
            <w:r w:rsidRPr="00685583">
              <w:rPr>
                <w:b w:val="0"/>
                <w:color w:val="auto"/>
                <w:sz w:val="17"/>
                <w:szCs w:val="17"/>
              </w:rPr>
              <w:t>Progressive increase</w:t>
            </w:r>
            <w:r>
              <w:rPr>
                <w:b w:val="0"/>
                <w:color w:val="auto"/>
                <w:sz w:val="17"/>
                <w:szCs w:val="17"/>
              </w:rPr>
              <w:t xml:space="preserve"> towards 53</w:t>
            </w:r>
            <w:r w:rsidR="00B56952">
              <w:rPr>
                <w:b w:val="0"/>
                <w:color w:val="auto"/>
                <w:sz w:val="17"/>
                <w:szCs w:val="17"/>
              </w:rPr>
              <w:t>.0</w:t>
            </w:r>
            <w:r>
              <w:rPr>
                <w:b w:val="0"/>
                <w:color w:val="auto"/>
                <w:sz w:val="17"/>
                <w:szCs w:val="17"/>
              </w:rPr>
              <w:t>%</w:t>
            </w:r>
          </w:p>
          <w:p w14:paraId="2369952F" w14:textId="7063FC9D" w:rsidR="00C36740" w:rsidRPr="00685583" w:rsidRDefault="00C36740" w:rsidP="00B7405A">
            <w:pPr>
              <w:pStyle w:val="Tableheadingrow9pt"/>
              <w:tabs>
                <w:tab w:val="left" w:pos="1832"/>
              </w:tabs>
              <w:rPr>
                <w:b w:val="0"/>
                <w:color w:val="auto"/>
                <w:sz w:val="17"/>
                <w:szCs w:val="17"/>
              </w:rPr>
            </w:pPr>
            <w:r w:rsidRPr="00685583">
              <w:rPr>
                <w:b w:val="0"/>
                <w:color w:val="auto"/>
                <w:sz w:val="17"/>
                <w:szCs w:val="17"/>
              </w:rPr>
              <w:t>Progressive increase</w:t>
            </w:r>
            <w:r>
              <w:rPr>
                <w:b w:val="0"/>
                <w:color w:val="auto"/>
                <w:sz w:val="17"/>
                <w:szCs w:val="17"/>
              </w:rPr>
              <w:t xml:space="preserve"> towards 64</w:t>
            </w:r>
            <w:r w:rsidR="00B56952">
              <w:rPr>
                <w:b w:val="0"/>
                <w:color w:val="auto"/>
                <w:sz w:val="17"/>
                <w:szCs w:val="17"/>
              </w:rPr>
              <w:t>.0</w:t>
            </w:r>
            <w:r>
              <w:rPr>
                <w:b w:val="0"/>
                <w:color w:val="auto"/>
                <w:sz w:val="17"/>
                <w:szCs w:val="17"/>
              </w:rPr>
              <w:t>%</w:t>
            </w:r>
          </w:p>
          <w:p w14:paraId="6BD84B89" w14:textId="58A43266" w:rsidR="00C36740" w:rsidRPr="00685583" w:rsidRDefault="00C36740" w:rsidP="00B7405A">
            <w:pPr>
              <w:pStyle w:val="Tableheadingrow9pt"/>
              <w:tabs>
                <w:tab w:val="left" w:pos="1832"/>
              </w:tabs>
              <w:rPr>
                <w:b w:val="0"/>
                <w:color w:val="auto"/>
                <w:sz w:val="17"/>
                <w:szCs w:val="17"/>
              </w:rPr>
            </w:pPr>
            <w:r w:rsidRPr="00685583">
              <w:rPr>
                <w:b w:val="0"/>
                <w:color w:val="auto"/>
                <w:sz w:val="17"/>
                <w:szCs w:val="17"/>
              </w:rPr>
              <w:t>Progressive increase</w:t>
            </w:r>
            <w:r>
              <w:rPr>
                <w:b w:val="0"/>
                <w:color w:val="auto"/>
                <w:sz w:val="17"/>
                <w:szCs w:val="17"/>
              </w:rPr>
              <w:t xml:space="preserve"> towards 65</w:t>
            </w:r>
            <w:r w:rsidR="00B56952">
              <w:rPr>
                <w:b w:val="0"/>
                <w:color w:val="auto"/>
                <w:sz w:val="17"/>
                <w:szCs w:val="17"/>
              </w:rPr>
              <w:t>.0</w:t>
            </w:r>
            <w:r>
              <w:rPr>
                <w:b w:val="0"/>
                <w:color w:val="auto"/>
                <w:sz w:val="17"/>
                <w:szCs w:val="17"/>
              </w:rPr>
              <w:t>%</w:t>
            </w:r>
          </w:p>
        </w:tc>
        <w:tc>
          <w:tcPr>
            <w:tcW w:w="1536" w:type="dxa"/>
            <w:vMerge w:val="restart"/>
            <w:shd w:val="clear" w:color="auto" w:fill="auto"/>
          </w:tcPr>
          <w:p w14:paraId="66DC3F58" w14:textId="0E6DE50C" w:rsidR="00C36740" w:rsidRPr="00B7405A" w:rsidRDefault="00C36740" w:rsidP="00B7405A">
            <w:pPr>
              <w:pStyle w:val="Tableheadingrow9pt"/>
              <w:rPr>
                <w:b w:val="0"/>
                <w:color w:val="auto"/>
                <w:sz w:val="17"/>
                <w:szCs w:val="17"/>
                <w:lang w:eastAsia="en-US"/>
              </w:rPr>
            </w:pPr>
            <w:r w:rsidRPr="00B7405A">
              <w:rPr>
                <w:b w:val="0"/>
                <w:color w:val="auto"/>
                <w:sz w:val="17"/>
                <w:szCs w:val="17"/>
                <w:lang w:eastAsia="en-US"/>
              </w:rPr>
              <w:t>Progressive increase towards 53</w:t>
            </w:r>
            <w:r w:rsidR="00B56952">
              <w:rPr>
                <w:b w:val="0"/>
                <w:color w:val="auto"/>
                <w:sz w:val="17"/>
                <w:szCs w:val="17"/>
                <w:lang w:eastAsia="en-US"/>
              </w:rPr>
              <w:t>.0</w:t>
            </w:r>
            <w:r w:rsidRPr="00B7405A">
              <w:rPr>
                <w:b w:val="0"/>
                <w:color w:val="auto"/>
                <w:sz w:val="17"/>
                <w:szCs w:val="17"/>
                <w:lang w:eastAsia="en-US"/>
              </w:rPr>
              <w:t>%</w:t>
            </w:r>
          </w:p>
          <w:p w14:paraId="2A770D67" w14:textId="7BCC5119" w:rsidR="00C36740" w:rsidRPr="00B7405A" w:rsidRDefault="00C36740" w:rsidP="00B7405A">
            <w:pPr>
              <w:pStyle w:val="Tableheadingrow9pt"/>
              <w:rPr>
                <w:b w:val="0"/>
                <w:color w:val="auto"/>
                <w:sz w:val="17"/>
                <w:szCs w:val="17"/>
                <w:lang w:eastAsia="en-US"/>
              </w:rPr>
            </w:pPr>
            <w:r w:rsidRPr="00B7405A">
              <w:rPr>
                <w:b w:val="0"/>
                <w:color w:val="auto"/>
                <w:sz w:val="17"/>
                <w:szCs w:val="17"/>
                <w:lang w:eastAsia="en-US"/>
              </w:rPr>
              <w:t>Progressive increase towards 64</w:t>
            </w:r>
            <w:r w:rsidR="00B56952">
              <w:rPr>
                <w:b w:val="0"/>
                <w:color w:val="auto"/>
                <w:sz w:val="17"/>
                <w:szCs w:val="17"/>
                <w:lang w:eastAsia="en-US"/>
              </w:rPr>
              <w:t>.0</w:t>
            </w:r>
            <w:r w:rsidRPr="00B7405A">
              <w:rPr>
                <w:b w:val="0"/>
                <w:color w:val="auto"/>
                <w:sz w:val="17"/>
                <w:szCs w:val="17"/>
                <w:lang w:eastAsia="en-US"/>
              </w:rPr>
              <w:t>%</w:t>
            </w:r>
          </w:p>
          <w:p w14:paraId="63D6ADB8" w14:textId="3239CE71" w:rsidR="00C36740" w:rsidRPr="00B7405A" w:rsidRDefault="00C36740" w:rsidP="00B7405A">
            <w:pPr>
              <w:pStyle w:val="Tableheadingrow9pt"/>
              <w:tabs>
                <w:tab w:val="left" w:pos="1832"/>
              </w:tabs>
              <w:rPr>
                <w:b w:val="0"/>
                <w:color w:val="auto"/>
                <w:sz w:val="17"/>
                <w:szCs w:val="17"/>
              </w:rPr>
            </w:pPr>
            <w:r w:rsidRPr="00B7405A">
              <w:rPr>
                <w:b w:val="0"/>
                <w:color w:val="auto"/>
                <w:sz w:val="17"/>
                <w:szCs w:val="17"/>
                <w:lang w:eastAsia="en-US"/>
              </w:rPr>
              <w:t>Progressive increase towards 65</w:t>
            </w:r>
            <w:r w:rsidR="00B56952">
              <w:rPr>
                <w:b w:val="0"/>
                <w:color w:val="auto"/>
                <w:sz w:val="17"/>
                <w:szCs w:val="17"/>
                <w:lang w:eastAsia="en-US"/>
              </w:rPr>
              <w:t>.0</w:t>
            </w:r>
            <w:r w:rsidRPr="00B7405A">
              <w:rPr>
                <w:b w:val="0"/>
                <w:color w:val="auto"/>
                <w:sz w:val="17"/>
                <w:szCs w:val="17"/>
                <w:lang w:eastAsia="en-US"/>
              </w:rPr>
              <w:t>%</w:t>
            </w:r>
          </w:p>
        </w:tc>
        <w:tc>
          <w:tcPr>
            <w:tcW w:w="1536" w:type="dxa"/>
            <w:vMerge w:val="restart"/>
            <w:shd w:val="clear" w:color="auto" w:fill="auto"/>
          </w:tcPr>
          <w:p w14:paraId="15203CD8" w14:textId="14F66C1B" w:rsidR="00C36740" w:rsidRPr="00B7405A" w:rsidRDefault="00C36740" w:rsidP="00B7405A">
            <w:pPr>
              <w:pStyle w:val="Tableheadingrow9pt"/>
              <w:tabs>
                <w:tab w:val="left" w:pos="1832"/>
              </w:tabs>
              <w:rPr>
                <w:b w:val="0"/>
                <w:color w:val="auto"/>
                <w:sz w:val="17"/>
                <w:szCs w:val="17"/>
                <w:lang w:eastAsia="en-US"/>
              </w:rPr>
            </w:pPr>
            <w:r w:rsidRPr="00B7405A">
              <w:rPr>
                <w:b w:val="0"/>
                <w:color w:val="auto"/>
                <w:sz w:val="17"/>
                <w:szCs w:val="17"/>
                <w:lang w:eastAsia="en-US"/>
              </w:rPr>
              <w:t>Progressive increase towards 53</w:t>
            </w:r>
            <w:r w:rsidR="00B56952">
              <w:rPr>
                <w:b w:val="0"/>
                <w:color w:val="auto"/>
                <w:sz w:val="17"/>
                <w:szCs w:val="17"/>
                <w:lang w:eastAsia="en-US"/>
              </w:rPr>
              <w:t>.0</w:t>
            </w:r>
            <w:r w:rsidRPr="00B7405A">
              <w:rPr>
                <w:b w:val="0"/>
                <w:color w:val="auto"/>
                <w:sz w:val="17"/>
                <w:szCs w:val="17"/>
                <w:lang w:eastAsia="en-US"/>
              </w:rPr>
              <w:t xml:space="preserve">% </w:t>
            </w:r>
          </w:p>
          <w:p w14:paraId="10CADBDA" w14:textId="3B89CF64" w:rsidR="00C36740" w:rsidRPr="00B7405A" w:rsidRDefault="00C36740" w:rsidP="00B7405A">
            <w:pPr>
              <w:pStyle w:val="Tableheadingrow9pt"/>
              <w:tabs>
                <w:tab w:val="left" w:pos="1832"/>
              </w:tabs>
              <w:rPr>
                <w:b w:val="0"/>
                <w:color w:val="auto"/>
                <w:sz w:val="17"/>
                <w:szCs w:val="17"/>
                <w:lang w:eastAsia="en-US"/>
              </w:rPr>
            </w:pPr>
            <w:r w:rsidRPr="00B7405A">
              <w:rPr>
                <w:b w:val="0"/>
                <w:color w:val="auto"/>
                <w:sz w:val="17"/>
                <w:szCs w:val="17"/>
                <w:lang w:eastAsia="en-US"/>
              </w:rPr>
              <w:t>Progressive increase towards 64</w:t>
            </w:r>
            <w:r w:rsidR="00B56952">
              <w:rPr>
                <w:b w:val="0"/>
                <w:color w:val="auto"/>
                <w:sz w:val="17"/>
                <w:szCs w:val="17"/>
                <w:lang w:eastAsia="en-US"/>
              </w:rPr>
              <w:t>.0</w:t>
            </w:r>
            <w:r w:rsidRPr="00B7405A">
              <w:rPr>
                <w:b w:val="0"/>
                <w:color w:val="auto"/>
                <w:sz w:val="17"/>
                <w:szCs w:val="17"/>
                <w:lang w:eastAsia="en-US"/>
              </w:rPr>
              <w:t>%</w:t>
            </w:r>
          </w:p>
          <w:p w14:paraId="3DD35BDD" w14:textId="1FBA06F7" w:rsidR="00C36740" w:rsidRPr="00B7405A" w:rsidRDefault="00C36740" w:rsidP="00B7405A">
            <w:pPr>
              <w:pStyle w:val="Tableheadingrow9pt"/>
              <w:tabs>
                <w:tab w:val="left" w:pos="1832"/>
              </w:tabs>
              <w:rPr>
                <w:b w:val="0"/>
                <w:color w:val="auto"/>
                <w:sz w:val="17"/>
                <w:szCs w:val="17"/>
              </w:rPr>
            </w:pPr>
            <w:r w:rsidRPr="00B7405A">
              <w:rPr>
                <w:b w:val="0"/>
                <w:color w:val="auto"/>
                <w:sz w:val="17"/>
                <w:szCs w:val="17"/>
                <w:lang w:eastAsia="en-US"/>
              </w:rPr>
              <w:t>Progressive increase towards 65</w:t>
            </w:r>
            <w:r w:rsidR="00B56952">
              <w:rPr>
                <w:b w:val="0"/>
                <w:color w:val="auto"/>
                <w:sz w:val="17"/>
                <w:szCs w:val="17"/>
                <w:lang w:eastAsia="en-US"/>
              </w:rPr>
              <w:t>.0</w:t>
            </w:r>
            <w:r w:rsidRPr="00B7405A">
              <w:rPr>
                <w:b w:val="0"/>
                <w:color w:val="auto"/>
                <w:sz w:val="17"/>
                <w:szCs w:val="17"/>
                <w:lang w:eastAsia="en-US"/>
              </w:rPr>
              <w:t>%</w:t>
            </w:r>
          </w:p>
        </w:tc>
      </w:tr>
      <w:tr w:rsidR="00C36740" w:rsidRPr="00685583" w14:paraId="51A009BE" w14:textId="77777777" w:rsidTr="001F7A93">
        <w:tblPrEx>
          <w:jc w:val="center"/>
        </w:tblPrEx>
        <w:trPr>
          <w:trHeight w:val="96"/>
          <w:jc w:val="center"/>
        </w:trPr>
        <w:tc>
          <w:tcPr>
            <w:tcW w:w="1536" w:type="dxa"/>
            <w:shd w:val="clear" w:color="auto" w:fill="auto"/>
            <w:tcMar>
              <w:right w:w="57" w:type="dxa"/>
            </w:tcMar>
          </w:tcPr>
          <w:p w14:paraId="18F3CD57" w14:textId="7D79A142" w:rsidR="00C36740" w:rsidRPr="00685583" w:rsidRDefault="00C36740" w:rsidP="00A75DD6">
            <w:pPr>
              <w:pStyle w:val="Tableheadingrow9pt"/>
              <w:tabs>
                <w:tab w:val="left" w:pos="1832"/>
              </w:tabs>
              <w:rPr>
                <w:color w:val="auto"/>
              </w:rPr>
            </w:pPr>
            <w:r>
              <w:rPr>
                <w:color w:val="auto"/>
                <w:sz w:val="17"/>
                <w:szCs w:val="17"/>
              </w:rPr>
              <w:t>2021–22</w:t>
            </w:r>
            <w:r>
              <w:rPr>
                <w:color w:val="auto"/>
                <w:sz w:val="17"/>
                <w:szCs w:val="17"/>
              </w:rPr>
              <w:br/>
              <w:t>Expected Performance Result</w:t>
            </w:r>
          </w:p>
        </w:tc>
        <w:tc>
          <w:tcPr>
            <w:tcW w:w="1536" w:type="dxa"/>
            <w:vMerge/>
            <w:shd w:val="clear" w:color="auto" w:fill="auto"/>
          </w:tcPr>
          <w:p w14:paraId="231F97E3" w14:textId="77777777" w:rsidR="00C36740" w:rsidRPr="00F664C1" w:rsidRDefault="00C36740" w:rsidP="00A75DD6">
            <w:pPr>
              <w:pStyle w:val="Tableheadingrow9pt"/>
              <w:tabs>
                <w:tab w:val="left" w:pos="1832"/>
              </w:tabs>
              <w:rPr>
                <w:b w:val="0"/>
                <w:color w:val="FF0000"/>
              </w:rPr>
            </w:pPr>
          </w:p>
        </w:tc>
        <w:tc>
          <w:tcPr>
            <w:tcW w:w="1536" w:type="dxa"/>
            <w:vMerge/>
            <w:shd w:val="clear" w:color="auto" w:fill="auto"/>
          </w:tcPr>
          <w:p w14:paraId="0E12B57C" w14:textId="77777777" w:rsidR="00C36740" w:rsidRPr="00F664C1" w:rsidRDefault="00C36740" w:rsidP="00A75DD6">
            <w:pPr>
              <w:pStyle w:val="Tableheadingrow9pt"/>
              <w:tabs>
                <w:tab w:val="left" w:pos="1832"/>
              </w:tabs>
              <w:rPr>
                <w:b w:val="0"/>
                <w:color w:val="FF0000"/>
              </w:rPr>
            </w:pPr>
          </w:p>
        </w:tc>
        <w:tc>
          <w:tcPr>
            <w:tcW w:w="1536" w:type="dxa"/>
            <w:vMerge/>
            <w:shd w:val="clear" w:color="auto" w:fill="auto"/>
          </w:tcPr>
          <w:p w14:paraId="7EC91D9A" w14:textId="77777777" w:rsidR="00C36740" w:rsidRPr="00F664C1" w:rsidRDefault="00C36740" w:rsidP="00A75DD6">
            <w:pPr>
              <w:pStyle w:val="Tableheadingrow9pt"/>
              <w:tabs>
                <w:tab w:val="left" w:pos="1832"/>
              </w:tabs>
              <w:rPr>
                <w:b w:val="0"/>
                <w:color w:val="FF0000"/>
              </w:rPr>
            </w:pPr>
          </w:p>
        </w:tc>
        <w:tc>
          <w:tcPr>
            <w:tcW w:w="1536" w:type="dxa"/>
            <w:vMerge/>
            <w:shd w:val="clear" w:color="auto" w:fill="auto"/>
          </w:tcPr>
          <w:p w14:paraId="2E0A064A" w14:textId="4C0CD3A1" w:rsidR="00C36740" w:rsidRPr="00F664C1" w:rsidRDefault="00C36740" w:rsidP="00A75DD6">
            <w:pPr>
              <w:pStyle w:val="Tableheadingrow9pt"/>
              <w:tabs>
                <w:tab w:val="left" w:pos="1832"/>
              </w:tabs>
              <w:rPr>
                <w:b w:val="0"/>
                <w:color w:val="FF0000"/>
              </w:rPr>
            </w:pPr>
          </w:p>
        </w:tc>
      </w:tr>
      <w:tr w:rsidR="00C36740" w:rsidRPr="00685583" w14:paraId="00D72D38" w14:textId="77777777" w:rsidTr="001F7A93">
        <w:tblPrEx>
          <w:jc w:val="center"/>
        </w:tblPrEx>
        <w:trPr>
          <w:trHeight w:val="96"/>
          <w:jc w:val="center"/>
        </w:trPr>
        <w:tc>
          <w:tcPr>
            <w:tcW w:w="1536" w:type="dxa"/>
            <w:shd w:val="clear" w:color="auto" w:fill="auto"/>
          </w:tcPr>
          <w:p w14:paraId="03A29518" w14:textId="2DFF4F8C" w:rsidR="00C36740" w:rsidRPr="00685583" w:rsidRDefault="00C36740" w:rsidP="0064022E">
            <w:pPr>
              <w:pStyle w:val="Tableheadingrow9pt"/>
              <w:tabs>
                <w:tab w:val="left" w:pos="1832"/>
              </w:tabs>
              <w:rPr>
                <w:b w:val="0"/>
                <w:color w:val="auto"/>
                <w:sz w:val="17"/>
                <w:szCs w:val="17"/>
              </w:rPr>
            </w:pPr>
            <w:r w:rsidRPr="00685583">
              <w:rPr>
                <w:b w:val="0"/>
                <w:color w:val="auto"/>
                <w:sz w:val="17"/>
                <w:szCs w:val="17"/>
              </w:rPr>
              <w:t xml:space="preserve">a. </w:t>
            </w:r>
            <w:r>
              <w:rPr>
                <w:b w:val="0"/>
                <w:color w:val="auto"/>
                <w:sz w:val="17"/>
                <w:szCs w:val="17"/>
              </w:rPr>
              <w:t>10.7%</w:t>
            </w:r>
            <w:r>
              <w:rPr>
                <w:rStyle w:val="FootnoteReference"/>
                <w:b w:val="0"/>
                <w:color w:val="auto"/>
                <w:sz w:val="17"/>
                <w:szCs w:val="17"/>
              </w:rPr>
              <w:footnoteReference w:id="42"/>
            </w:r>
          </w:p>
        </w:tc>
        <w:tc>
          <w:tcPr>
            <w:tcW w:w="1536" w:type="dxa"/>
            <w:vMerge/>
            <w:shd w:val="clear" w:color="auto" w:fill="auto"/>
          </w:tcPr>
          <w:p w14:paraId="31E51070"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BB4639E"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125E7074"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00D1479" w14:textId="3EC8A169" w:rsidR="00C36740" w:rsidRPr="00685583" w:rsidRDefault="00C36740" w:rsidP="0064022E">
            <w:pPr>
              <w:pStyle w:val="Tableheadingrow9pt"/>
              <w:tabs>
                <w:tab w:val="left" w:pos="1832"/>
              </w:tabs>
              <w:rPr>
                <w:color w:val="auto"/>
              </w:rPr>
            </w:pPr>
          </w:p>
        </w:tc>
      </w:tr>
      <w:tr w:rsidR="00C36740" w:rsidRPr="00685583" w14:paraId="47097C70" w14:textId="77777777" w:rsidTr="001F7A93">
        <w:tblPrEx>
          <w:jc w:val="center"/>
        </w:tblPrEx>
        <w:trPr>
          <w:trHeight w:val="96"/>
          <w:jc w:val="center"/>
        </w:trPr>
        <w:tc>
          <w:tcPr>
            <w:tcW w:w="1536" w:type="dxa"/>
            <w:shd w:val="clear" w:color="auto" w:fill="auto"/>
          </w:tcPr>
          <w:p w14:paraId="0B582A4D" w14:textId="1EFF95D5" w:rsidR="00C36740" w:rsidRPr="00A75DD6" w:rsidRDefault="00C36740" w:rsidP="00F1064D">
            <w:pPr>
              <w:pStyle w:val="Tableheadingrow9pt"/>
              <w:tabs>
                <w:tab w:val="left" w:pos="1832"/>
              </w:tabs>
              <w:ind w:left="198" w:hanging="198"/>
              <w:rPr>
                <w:b w:val="0"/>
                <w:color w:val="auto"/>
                <w:sz w:val="17"/>
                <w:szCs w:val="17"/>
                <w:highlight w:val="yellow"/>
              </w:rPr>
            </w:pPr>
            <w:r w:rsidRPr="00685583">
              <w:rPr>
                <w:b w:val="0"/>
                <w:color w:val="auto"/>
                <w:sz w:val="17"/>
                <w:szCs w:val="17"/>
              </w:rPr>
              <w:t xml:space="preserve">b. </w:t>
            </w:r>
            <w:r>
              <w:rPr>
                <w:b w:val="0"/>
                <w:color w:val="auto"/>
                <w:sz w:val="17"/>
                <w:szCs w:val="17"/>
              </w:rPr>
              <w:t xml:space="preserve">Data not yet available </w:t>
            </w:r>
            <w:r w:rsidRPr="00685583">
              <w:rPr>
                <w:b w:val="0"/>
                <w:color w:val="auto"/>
                <w:sz w:val="17"/>
                <w:szCs w:val="17"/>
              </w:rPr>
              <w:t xml:space="preserve"> </w:t>
            </w:r>
          </w:p>
        </w:tc>
        <w:tc>
          <w:tcPr>
            <w:tcW w:w="1536" w:type="dxa"/>
            <w:vMerge/>
            <w:shd w:val="clear" w:color="auto" w:fill="auto"/>
          </w:tcPr>
          <w:p w14:paraId="3D31CAF5"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A43DDA4"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589A9EBD"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78366BF" w14:textId="505DE548" w:rsidR="00C36740" w:rsidRPr="00685583" w:rsidRDefault="00C36740" w:rsidP="0064022E">
            <w:pPr>
              <w:pStyle w:val="Tableheadingrow9pt"/>
              <w:tabs>
                <w:tab w:val="left" w:pos="1832"/>
              </w:tabs>
              <w:rPr>
                <w:color w:val="auto"/>
              </w:rPr>
            </w:pPr>
          </w:p>
        </w:tc>
      </w:tr>
      <w:tr w:rsidR="00C36740" w:rsidRPr="00685583" w14:paraId="338A6122" w14:textId="77777777" w:rsidTr="001F7A93">
        <w:tblPrEx>
          <w:jc w:val="center"/>
        </w:tblPrEx>
        <w:trPr>
          <w:trHeight w:val="96"/>
          <w:jc w:val="center"/>
        </w:trPr>
        <w:tc>
          <w:tcPr>
            <w:tcW w:w="1536" w:type="dxa"/>
            <w:shd w:val="clear" w:color="auto" w:fill="auto"/>
          </w:tcPr>
          <w:p w14:paraId="16838BED" w14:textId="48FE1E6E" w:rsidR="00C36740" w:rsidRPr="00A75DD6" w:rsidRDefault="00C36740" w:rsidP="00F1064D">
            <w:pPr>
              <w:pStyle w:val="Tableheadingrow9pt"/>
              <w:tabs>
                <w:tab w:val="left" w:pos="1832"/>
              </w:tabs>
              <w:ind w:left="198" w:hanging="198"/>
              <w:rPr>
                <w:b w:val="0"/>
                <w:color w:val="auto"/>
                <w:sz w:val="17"/>
                <w:szCs w:val="17"/>
                <w:highlight w:val="yellow"/>
              </w:rPr>
            </w:pPr>
            <w:r w:rsidRPr="00685583">
              <w:rPr>
                <w:b w:val="0"/>
                <w:color w:val="auto"/>
                <w:sz w:val="17"/>
                <w:szCs w:val="17"/>
              </w:rPr>
              <w:t xml:space="preserve">c. </w:t>
            </w:r>
            <w:r>
              <w:rPr>
                <w:b w:val="0"/>
                <w:color w:val="auto"/>
                <w:sz w:val="17"/>
                <w:szCs w:val="17"/>
              </w:rPr>
              <w:t xml:space="preserve">Data not yet available </w:t>
            </w:r>
            <w:r w:rsidRPr="00685583">
              <w:rPr>
                <w:b w:val="0"/>
                <w:color w:val="auto"/>
                <w:sz w:val="17"/>
                <w:szCs w:val="17"/>
              </w:rPr>
              <w:t xml:space="preserve"> </w:t>
            </w:r>
          </w:p>
        </w:tc>
        <w:tc>
          <w:tcPr>
            <w:tcW w:w="1536" w:type="dxa"/>
            <w:vMerge/>
            <w:shd w:val="clear" w:color="auto" w:fill="auto"/>
          </w:tcPr>
          <w:p w14:paraId="484A0817"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5B2543DA"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3FA8F8CF" w14:textId="77777777" w:rsidR="00C36740" w:rsidRPr="00685583" w:rsidRDefault="00C36740" w:rsidP="0064022E">
            <w:pPr>
              <w:pStyle w:val="Tableheadingrow9pt"/>
              <w:tabs>
                <w:tab w:val="left" w:pos="1832"/>
              </w:tabs>
              <w:rPr>
                <w:color w:val="auto"/>
              </w:rPr>
            </w:pPr>
          </w:p>
        </w:tc>
        <w:tc>
          <w:tcPr>
            <w:tcW w:w="1536" w:type="dxa"/>
            <w:vMerge/>
            <w:shd w:val="clear" w:color="auto" w:fill="auto"/>
          </w:tcPr>
          <w:p w14:paraId="6FFC0CF7" w14:textId="30D3CC1B" w:rsidR="00C36740" w:rsidRPr="00685583" w:rsidRDefault="00C36740" w:rsidP="0064022E">
            <w:pPr>
              <w:pStyle w:val="Tableheadingrow9pt"/>
              <w:tabs>
                <w:tab w:val="left" w:pos="1832"/>
              </w:tabs>
              <w:rPr>
                <w:color w:val="auto"/>
              </w:rPr>
            </w:pPr>
          </w:p>
        </w:tc>
      </w:tr>
      <w:tr w:rsidR="00C36740" w:rsidRPr="00685583" w14:paraId="641EEC3D" w14:textId="77777777" w:rsidTr="001F7A93">
        <w:tblPrEx>
          <w:jc w:val="center"/>
        </w:tblPrEx>
        <w:trPr>
          <w:trHeight w:val="96"/>
          <w:jc w:val="center"/>
        </w:trPr>
        <w:tc>
          <w:tcPr>
            <w:tcW w:w="1536" w:type="dxa"/>
            <w:shd w:val="clear" w:color="auto" w:fill="auto"/>
          </w:tcPr>
          <w:p w14:paraId="3CFACDEA" w14:textId="3085B4F5" w:rsidR="00C36740" w:rsidRDefault="00C36740" w:rsidP="00F1064D">
            <w:pPr>
              <w:pStyle w:val="Tableheadingrow9pt"/>
              <w:numPr>
                <w:ilvl w:val="0"/>
                <w:numId w:val="40"/>
              </w:numPr>
              <w:tabs>
                <w:tab w:val="left" w:pos="314"/>
                <w:tab w:val="left" w:pos="597"/>
                <w:tab w:val="left" w:pos="1832"/>
              </w:tabs>
              <w:ind w:left="227" w:hanging="227"/>
              <w:rPr>
                <w:b w:val="0"/>
                <w:color w:val="auto"/>
                <w:sz w:val="17"/>
                <w:szCs w:val="17"/>
                <w:lang w:eastAsia="en-US"/>
              </w:rPr>
            </w:pPr>
            <w:proofErr w:type="spellStart"/>
            <w:r>
              <w:rPr>
                <w:b w:val="0"/>
                <w:color w:val="auto"/>
                <w:sz w:val="17"/>
                <w:szCs w:val="17"/>
                <w:lang w:eastAsia="en-US"/>
              </w:rPr>
              <w:t>i</w:t>
            </w:r>
            <w:proofErr w:type="spellEnd"/>
            <w:r>
              <w:rPr>
                <w:b w:val="0"/>
                <w:color w:val="auto"/>
                <w:sz w:val="17"/>
                <w:szCs w:val="17"/>
                <w:lang w:eastAsia="en-US"/>
              </w:rPr>
              <w:t>.   43.5%</w:t>
            </w:r>
            <w:r>
              <w:rPr>
                <w:rStyle w:val="FootnoteReference"/>
                <w:b w:val="0"/>
                <w:color w:val="auto"/>
                <w:sz w:val="17"/>
                <w:szCs w:val="17"/>
                <w:lang w:eastAsia="en-US"/>
              </w:rPr>
              <w:footnoteReference w:id="43"/>
            </w:r>
          </w:p>
          <w:p w14:paraId="7CBA4CB1" w14:textId="4E63E26F" w:rsidR="00C36740" w:rsidRDefault="00C36740" w:rsidP="00F1064D">
            <w:pPr>
              <w:pStyle w:val="Tableheadingrow9pt"/>
              <w:numPr>
                <w:ilvl w:val="0"/>
                <w:numId w:val="41"/>
              </w:numPr>
              <w:tabs>
                <w:tab w:val="left" w:pos="597"/>
                <w:tab w:val="left" w:pos="1832"/>
              </w:tabs>
              <w:ind w:left="454" w:hanging="227"/>
              <w:rPr>
                <w:b w:val="0"/>
                <w:color w:val="auto"/>
                <w:sz w:val="17"/>
                <w:szCs w:val="17"/>
                <w:lang w:eastAsia="en-US"/>
              </w:rPr>
            </w:pPr>
            <w:r>
              <w:rPr>
                <w:b w:val="0"/>
                <w:color w:val="auto"/>
                <w:sz w:val="17"/>
                <w:szCs w:val="17"/>
                <w:lang w:eastAsia="en-US"/>
              </w:rPr>
              <w:t>56</w:t>
            </w:r>
            <w:r w:rsidR="00B537DD">
              <w:rPr>
                <w:b w:val="0"/>
                <w:color w:val="auto"/>
                <w:sz w:val="17"/>
                <w:szCs w:val="17"/>
                <w:lang w:eastAsia="en-US"/>
              </w:rPr>
              <w:t>.0</w:t>
            </w:r>
            <w:r>
              <w:rPr>
                <w:b w:val="0"/>
                <w:color w:val="auto"/>
                <w:sz w:val="17"/>
                <w:szCs w:val="17"/>
                <w:lang w:eastAsia="en-US"/>
              </w:rPr>
              <w:t>%</w:t>
            </w:r>
            <w:r>
              <w:rPr>
                <w:rStyle w:val="FootnoteReference"/>
                <w:b w:val="0"/>
                <w:color w:val="auto"/>
                <w:sz w:val="17"/>
                <w:szCs w:val="17"/>
                <w:lang w:eastAsia="en-US"/>
              </w:rPr>
              <w:footnoteReference w:id="44"/>
            </w:r>
          </w:p>
          <w:p w14:paraId="170A9B51" w14:textId="261EBA83" w:rsidR="00C36740" w:rsidRPr="00A75DD6" w:rsidRDefault="00C36740" w:rsidP="00F1064D">
            <w:pPr>
              <w:pStyle w:val="Tableheadingrow9pt"/>
              <w:numPr>
                <w:ilvl w:val="0"/>
                <w:numId w:val="34"/>
              </w:numPr>
              <w:tabs>
                <w:tab w:val="left" w:pos="597"/>
                <w:tab w:val="left" w:pos="1832"/>
              </w:tabs>
              <w:ind w:left="454" w:hanging="227"/>
              <w:rPr>
                <w:b w:val="0"/>
                <w:color w:val="auto"/>
                <w:sz w:val="17"/>
                <w:szCs w:val="17"/>
              </w:rPr>
            </w:pPr>
            <w:r>
              <w:rPr>
                <w:b w:val="0"/>
                <w:color w:val="auto"/>
                <w:sz w:val="17"/>
                <w:szCs w:val="17"/>
                <w:lang w:eastAsia="en-US"/>
              </w:rPr>
              <w:t>54.3%</w:t>
            </w:r>
          </w:p>
        </w:tc>
        <w:tc>
          <w:tcPr>
            <w:tcW w:w="1536" w:type="dxa"/>
            <w:vMerge/>
            <w:shd w:val="clear" w:color="auto" w:fill="auto"/>
          </w:tcPr>
          <w:p w14:paraId="73A4AD9E" w14:textId="77777777" w:rsidR="00C36740" w:rsidRPr="00685583" w:rsidRDefault="00C36740" w:rsidP="001445F5">
            <w:pPr>
              <w:pStyle w:val="Tableheadingrow9pt"/>
              <w:tabs>
                <w:tab w:val="left" w:pos="1832"/>
              </w:tabs>
              <w:rPr>
                <w:color w:val="auto"/>
              </w:rPr>
            </w:pPr>
          </w:p>
        </w:tc>
        <w:tc>
          <w:tcPr>
            <w:tcW w:w="1536" w:type="dxa"/>
            <w:vMerge/>
            <w:shd w:val="clear" w:color="auto" w:fill="auto"/>
          </w:tcPr>
          <w:p w14:paraId="0FA57333" w14:textId="77777777" w:rsidR="00C36740" w:rsidRPr="00685583" w:rsidRDefault="00C36740" w:rsidP="001445F5">
            <w:pPr>
              <w:pStyle w:val="Tableheadingrow9pt"/>
              <w:tabs>
                <w:tab w:val="left" w:pos="1832"/>
              </w:tabs>
              <w:rPr>
                <w:color w:val="auto"/>
              </w:rPr>
            </w:pPr>
          </w:p>
        </w:tc>
        <w:tc>
          <w:tcPr>
            <w:tcW w:w="1536" w:type="dxa"/>
            <w:vMerge/>
            <w:shd w:val="clear" w:color="auto" w:fill="auto"/>
          </w:tcPr>
          <w:p w14:paraId="5941151D" w14:textId="77777777" w:rsidR="00C36740" w:rsidRPr="00685583" w:rsidRDefault="00C36740" w:rsidP="001445F5">
            <w:pPr>
              <w:pStyle w:val="Tableheadingrow9pt"/>
              <w:tabs>
                <w:tab w:val="left" w:pos="1832"/>
              </w:tabs>
              <w:rPr>
                <w:color w:val="auto"/>
              </w:rPr>
            </w:pPr>
          </w:p>
        </w:tc>
        <w:tc>
          <w:tcPr>
            <w:tcW w:w="1536" w:type="dxa"/>
            <w:vMerge/>
            <w:shd w:val="clear" w:color="auto" w:fill="auto"/>
          </w:tcPr>
          <w:p w14:paraId="485AF2BC" w14:textId="3B562A61" w:rsidR="00C36740" w:rsidRPr="00685583" w:rsidRDefault="00C36740" w:rsidP="001445F5">
            <w:pPr>
              <w:pStyle w:val="Tableheadingrow9pt"/>
              <w:tabs>
                <w:tab w:val="left" w:pos="1832"/>
              </w:tabs>
              <w:rPr>
                <w:color w:val="auto"/>
              </w:rPr>
            </w:pPr>
          </w:p>
        </w:tc>
      </w:tr>
      <w:tr w:rsidR="00A75DD6" w:rsidRPr="00685583" w14:paraId="25284D57" w14:textId="77777777" w:rsidTr="009E3E5F">
        <w:tblPrEx>
          <w:jc w:val="center"/>
        </w:tblPrEx>
        <w:trPr>
          <w:jc w:val="center"/>
        </w:trPr>
        <w:tc>
          <w:tcPr>
            <w:tcW w:w="7680" w:type="dxa"/>
            <w:gridSpan w:val="5"/>
            <w:shd w:val="clear" w:color="auto" w:fill="auto"/>
          </w:tcPr>
          <w:p w14:paraId="59EE66DA" w14:textId="3DE0EB2B" w:rsidR="00A75DD6" w:rsidRPr="00685583" w:rsidRDefault="00A75DD6" w:rsidP="00A75DD6">
            <w:pPr>
              <w:pStyle w:val="Tableheadingrow9pt"/>
              <w:tabs>
                <w:tab w:val="left" w:pos="1832"/>
              </w:tabs>
              <w:rPr>
                <w:color w:val="auto"/>
              </w:rPr>
            </w:pPr>
            <w:r w:rsidRPr="00685583">
              <w:rPr>
                <w:color w:val="auto"/>
              </w:rPr>
              <w:lastRenderedPageBreak/>
              <w:t>Material changes to Program 1.5 resulting from the following measures:</w:t>
            </w:r>
          </w:p>
          <w:p w14:paraId="7CDBF070" w14:textId="453CE058" w:rsidR="00A75DD6" w:rsidRPr="009C33CF" w:rsidRDefault="005A75A9" w:rsidP="009C33CF">
            <w:pPr>
              <w:tabs>
                <w:tab w:val="left" w:pos="1832"/>
              </w:tabs>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5</w:t>
            </w:r>
            <w:r w:rsidR="00220468">
              <w:rPr>
                <w:sz w:val="17"/>
                <w:szCs w:val="17"/>
              </w:rPr>
              <w:t xml:space="preserve"> resulting from measures.</w:t>
            </w:r>
          </w:p>
        </w:tc>
      </w:tr>
    </w:tbl>
    <w:p w14:paraId="68BB3FB9" w14:textId="64F9F357" w:rsidR="00076265" w:rsidRPr="00685583" w:rsidRDefault="0073538B" w:rsidP="000C1B9B">
      <w:pPr>
        <w:pStyle w:val="Tablenumberandreference"/>
        <w:pageBreakBefore/>
        <w:rPr>
          <w:color w:val="auto"/>
        </w:rPr>
      </w:pPr>
      <w:r w:rsidRPr="00685583">
        <w:rPr>
          <w:color w:val="auto"/>
        </w:rPr>
        <w:lastRenderedPageBreak/>
        <w:t xml:space="preserve">Table 2.1.7: Performance </w:t>
      </w:r>
      <w:r w:rsidR="000F7A14" w:rsidRPr="00685583">
        <w:rPr>
          <w:color w:val="auto"/>
        </w:rPr>
        <w:t>Measures</w:t>
      </w:r>
      <w:r w:rsidRPr="00685583">
        <w:rPr>
          <w:color w:val="auto"/>
        </w:rPr>
        <w:t xml:space="preserve"> for Program 1.6</w:t>
      </w:r>
      <w:r w:rsidR="000C1B9B">
        <w:rPr>
          <w:color w:val="auto"/>
        </w:rPr>
        <w:t xml:space="preserve"> </w:t>
      </w:r>
    </w:p>
    <w:tbl>
      <w:tblPr>
        <w:tblStyle w:val="TableGrid"/>
        <w:tblW w:w="7677" w:type="dxa"/>
        <w:jc w:val="center"/>
        <w:tblLayout w:type="fixed"/>
        <w:tblLook w:val="04A0" w:firstRow="1" w:lastRow="0" w:firstColumn="1" w:lastColumn="0" w:noHBand="0" w:noVBand="1"/>
        <w:tblCaption w:val="Table 2.1.7: Performance Measures for Program 1.6"/>
        <w:tblDescription w:val="This table outlines Program 1.6's objective and the key activities for Program 1.6. It also includes a performance measure for Program 1.6, with an expected performance result for 2021-22, and planned performance results for 2022-23 and the forward estimates"/>
      </w:tblPr>
      <w:tblGrid>
        <w:gridCol w:w="1670"/>
        <w:gridCol w:w="1586"/>
        <w:gridCol w:w="1418"/>
        <w:gridCol w:w="1501"/>
        <w:gridCol w:w="1502"/>
      </w:tblGrid>
      <w:tr w:rsidR="00685583" w:rsidRPr="00685583" w14:paraId="227149B7" w14:textId="77777777" w:rsidTr="00AE5740">
        <w:trPr>
          <w:trHeight w:val="50"/>
          <w:jc w:val="center"/>
        </w:trPr>
        <w:tc>
          <w:tcPr>
            <w:tcW w:w="7677" w:type="dxa"/>
            <w:gridSpan w:val="5"/>
            <w:shd w:val="clear" w:color="auto" w:fill="D9D9D9" w:themeFill="background1" w:themeFillShade="D9"/>
          </w:tcPr>
          <w:p w14:paraId="29399E0E" w14:textId="3F0C2D62" w:rsidR="00EC1696" w:rsidRPr="00685583" w:rsidRDefault="0073538B" w:rsidP="00E7155B">
            <w:pPr>
              <w:pStyle w:val="Tableheadingrow9pt"/>
              <w:rPr>
                <w:color w:val="auto"/>
              </w:rPr>
            </w:pPr>
            <w:r w:rsidRPr="00685583">
              <w:rPr>
                <w:color w:val="auto"/>
              </w:rPr>
              <w:t>Program Objective – Program 1.6:</w:t>
            </w:r>
            <w:r w:rsidR="00A12316" w:rsidRPr="00685583">
              <w:rPr>
                <w:color w:val="auto"/>
              </w:rPr>
              <w:t xml:space="preserve"> Primary Health Care Quality and Coordination</w:t>
            </w:r>
          </w:p>
        </w:tc>
      </w:tr>
      <w:tr w:rsidR="00685583" w:rsidRPr="00685583" w14:paraId="17776027" w14:textId="77777777" w:rsidTr="00AE5740">
        <w:trPr>
          <w:jc w:val="center"/>
        </w:trPr>
        <w:tc>
          <w:tcPr>
            <w:tcW w:w="7677" w:type="dxa"/>
            <w:gridSpan w:val="5"/>
          </w:tcPr>
          <w:p w14:paraId="6F25C805" w14:textId="1BA95426" w:rsidR="0073538B" w:rsidRPr="00685583" w:rsidRDefault="00A30E52" w:rsidP="00AF7A63">
            <w:pPr>
              <w:pStyle w:val="Heading2"/>
              <w:outlineLvl w:val="1"/>
              <w:rPr>
                <w:b/>
                <w:color w:val="auto"/>
              </w:rPr>
            </w:pPr>
            <w:r w:rsidRPr="00685583">
              <w:rPr>
                <w:color w:val="auto"/>
              </w:rPr>
              <w:t>Strengthen primary health care by</w:t>
            </w:r>
            <w:r w:rsidR="00AF7A63" w:rsidRPr="00685583">
              <w:rPr>
                <w:color w:val="auto"/>
              </w:rPr>
              <w:t xml:space="preserve"> delivering</w:t>
            </w:r>
            <w:r w:rsidR="0057022A" w:rsidRPr="00685583">
              <w:rPr>
                <w:color w:val="auto"/>
              </w:rPr>
              <w:t xml:space="preserve"> </w:t>
            </w:r>
            <w:r w:rsidRPr="00685583">
              <w:rPr>
                <w:color w:val="auto"/>
              </w:rPr>
              <w:t xml:space="preserve">funding to frontline </w:t>
            </w:r>
            <w:r w:rsidR="00AF7A63" w:rsidRPr="00685583">
              <w:rPr>
                <w:color w:val="auto"/>
              </w:rPr>
              <w:t xml:space="preserve">primary </w:t>
            </w:r>
            <w:r w:rsidRPr="00685583">
              <w:rPr>
                <w:color w:val="auto"/>
              </w:rPr>
              <w:t xml:space="preserve">health </w:t>
            </w:r>
            <w:r w:rsidR="00AF7A63" w:rsidRPr="00685583">
              <w:rPr>
                <w:color w:val="auto"/>
              </w:rPr>
              <w:t xml:space="preserve">care </w:t>
            </w:r>
            <w:r w:rsidRPr="00685583">
              <w:rPr>
                <w:color w:val="auto"/>
              </w:rPr>
              <w:t xml:space="preserve">services and improving the access, delivery, quality and coordination of </w:t>
            </w:r>
            <w:r w:rsidR="00AF7A63" w:rsidRPr="00685583">
              <w:rPr>
                <w:color w:val="auto"/>
              </w:rPr>
              <w:t>those</w:t>
            </w:r>
            <w:r w:rsidRPr="00685583">
              <w:rPr>
                <w:color w:val="auto"/>
              </w:rPr>
              <w:t xml:space="preserve"> services. This will help improve health outcomes for patients</w:t>
            </w:r>
            <w:r w:rsidR="00AF7A63" w:rsidRPr="00685583">
              <w:rPr>
                <w:color w:val="auto"/>
              </w:rPr>
              <w:t>, particularly people</w:t>
            </w:r>
            <w:r w:rsidRPr="00685583">
              <w:rPr>
                <w:color w:val="auto"/>
              </w:rPr>
              <w:t xml:space="preserve"> with chronic </w:t>
            </w:r>
            <w:r w:rsidR="00AF7A63" w:rsidRPr="00685583">
              <w:rPr>
                <w:color w:val="auto"/>
              </w:rPr>
              <w:t xml:space="preserve">and/or mental health </w:t>
            </w:r>
            <w:r w:rsidRPr="00685583">
              <w:rPr>
                <w:color w:val="auto"/>
              </w:rPr>
              <w:t>conditions</w:t>
            </w:r>
            <w:r w:rsidR="00032F2F" w:rsidRPr="00685583">
              <w:rPr>
                <w:color w:val="auto"/>
              </w:rPr>
              <w:t>,</w:t>
            </w:r>
            <w:r w:rsidRPr="00685583">
              <w:rPr>
                <w:color w:val="auto"/>
              </w:rPr>
              <w:t xml:space="preserve"> and</w:t>
            </w:r>
            <w:r w:rsidR="00AF7A63" w:rsidRPr="00685583">
              <w:rPr>
                <w:color w:val="auto"/>
              </w:rPr>
              <w:t xml:space="preserve"> assist in reducing unnecessary hospital visits and admissions.</w:t>
            </w:r>
          </w:p>
        </w:tc>
      </w:tr>
      <w:tr w:rsidR="00685583" w:rsidRPr="00685583" w14:paraId="64403B05" w14:textId="77777777" w:rsidTr="00AE5740">
        <w:trPr>
          <w:jc w:val="center"/>
        </w:trPr>
        <w:tc>
          <w:tcPr>
            <w:tcW w:w="7677" w:type="dxa"/>
            <w:gridSpan w:val="5"/>
            <w:shd w:val="clear" w:color="auto" w:fill="D9D9D9" w:themeFill="background1" w:themeFillShade="D9"/>
          </w:tcPr>
          <w:p w14:paraId="59B08737" w14:textId="2EC785F0" w:rsidR="00EC1696" w:rsidRPr="00685583" w:rsidRDefault="00E7155B" w:rsidP="00E7155B">
            <w:pPr>
              <w:pStyle w:val="Tableheadingrow9pt"/>
              <w:rPr>
                <w:color w:val="auto"/>
              </w:rPr>
            </w:pPr>
            <w:r>
              <w:rPr>
                <w:color w:val="auto"/>
              </w:rPr>
              <w:t>Key Activities</w:t>
            </w:r>
          </w:p>
        </w:tc>
      </w:tr>
      <w:tr w:rsidR="00685583" w:rsidRPr="00685583" w14:paraId="5DF9CB31" w14:textId="77777777" w:rsidTr="00AE5740">
        <w:trPr>
          <w:jc w:val="center"/>
        </w:trPr>
        <w:tc>
          <w:tcPr>
            <w:tcW w:w="7677" w:type="dxa"/>
            <w:gridSpan w:val="5"/>
          </w:tcPr>
          <w:p w14:paraId="4336CDB8" w14:textId="77777777" w:rsidR="00C34D34" w:rsidRPr="00C34D34" w:rsidRDefault="00C34D34" w:rsidP="00220468">
            <w:pPr>
              <w:pStyle w:val="Tabletextnormal9pt"/>
              <w:numPr>
                <w:ilvl w:val="0"/>
                <w:numId w:val="39"/>
              </w:numPr>
              <w:ind w:left="284" w:hanging="284"/>
              <w:rPr>
                <w:color w:val="auto"/>
              </w:rPr>
            </w:pPr>
            <w:r w:rsidRPr="00C34D34">
              <w:rPr>
                <w:color w:val="auto"/>
              </w:rPr>
              <w:t>Improving quality and coordination of primary health care.</w:t>
            </w:r>
          </w:p>
          <w:p w14:paraId="287EDFD7" w14:textId="7FDB384D" w:rsidR="00C34D34" w:rsidRPr="00C34D34" w:rsidRDefault="00C34D34" w:rsidP="00220468">
            <w:pPr>
              <w:pStyle w:val="Tabletextnormal9pt"/>
              <w:numPr>
                <w:ilvl w:val="0"/>
                <w:numId w:val="39"/>
              </w:numPr>
              <w:ind w:left="284" w:hanging="284"/>
              <w:rPr>
                <w:color w:val="auto"/>
              </w:rPr>
            </w:pPr>
            <w:r w:rsidRPr="00C34D34">
              <w:rPr>
                <w:color w:val="auto"/>
              </w:rPr>
              <w:t>Supporting P</w:t>
            </w:r>
            <w:r w:rsidR="00AE38ED">
              <w:rPr>
                <w:color w:val="auto"/>
              </w:rPr>
              <w:t xml:space="preserve">rimary </w:t>
            </w:r>
            <w:r w:rsidRPr="00C34D34">
              <w:rPr>
                <w:color w:val="auto"/>
              </w:rPr>
              <w:t>H</w:t>
            </w:r>
            <w:r w:rsidR="00AE38ED">
              <w:rPr>
                <w:color w:val="auto"/>
              </w:rPr>
              <w:t xml:space="preserve">ealth </w:t>
            </w:r>
            <w:r w:rsidRPr="00C34D34">
              <w:rPr>
                <w:color w:val="auto"/>
              </w:rPr>
              <w:t>N</w:t>
            </w:r>
            <w:r w:rsidR="00AE38ED">
              <w:rPr>
                <w:color w:val="auto"/>
              </w:rPr>
              <w:t>etwork</w:t>
            </w:r>
            <w:r w:rsidRPr="00C34D34">
              <w:rPr>
                <w:color w:val="auto"/>
              </w:rPr>
              <w:t>s</w:t>
            </w:r>
            <w:r w:rsidR="005904FE">
              <w:rPr>
                <w:color w:val="auto"/>
              </w:rPr>
              <w:t xml:space="preserve"> (PHNs)</w:t>
            </w:r>
            <w:r w:rsidRPr="00C34D34">
              <w:rPr>
                <w:color w:val="auto"/>
              </w:rPr>
              <w:t xml:space="preserve"> to increase the efficiency, effectiveness, accessibility and quality of primary health care services, particularly for people at risk of poorer health outcomes, and improve care coordination and integration.</w:t>
            </w:r>
          </w:p>
          <w:p w14:paraId="265E0656" w14:textId="77777777" w:rsidR="00C34D34" w:rsidRPr="00C34D34" w:rsidRDefault="00C34D34" w:rsidP="00220468">
            <w:pPr>
              <w:pStyle w:val="Tabletextnormal9pt"/>
              <w:numPr>
                <w:ilvl w:val="0"/>
                <w:numId w:val="39"/>
              </w:numPr>
              <w:ind w:left="284" w:hanging="284"/>
              <w:rPr>
                <w:color w:val="auto"/>
              </w:rPr>
            </w:pPr>
            <w:r w:rsidRPr="00C34D34">
              <w:rPr>
                <w:color w:val="auto"/>
              </w:rPr>
              <w:t>Supporting measures that improve the coordination and integration of health services to manage health in the community, with a focus on complex and chronic conditions, and reduce potentially preventable hospital attendances and admissions.</w:t>
            </w:r>
          </w:p>
          <w:p w14:paraId="2FABA528" w14:textId="77777777" w:rsidR="0073538B" w:rsidRDefault="00C34D34" w:rsidP="00220468">
            <w:pPr>
              <w:pStyle w:val="Tabletextnormal9pt"/>
              <w:numPr>
                <w:ilvl w:val="0"/>
                <w:numId w:val="39"/>
              </w:numPr>
              <w:ind w:left="284" w:hanging="284"/>
              <w:rPr>
                <w:color w:val="auto"/>
              </w:rPr>
            </w:pPr>
            <w:r w:rsidRPr="00C34D34">
              <w:rPr>
                <w:color w:val="auto"/>
              </w:rPr>
              <w:t>Supporting the delivery of health information, advice and services through interactive communication technology to help people care for themselves and their families.</w:t>
            </w:r>
          </w:p>
          <w:p w14:paraId="1DB904CC" w14:textId="6AE96761" w:rsidR="00220468" w:rsidRPr="00220468" w:rsidRDefault="00220468" w:rsidP="00220468">
            <w:pPr>
              <w:pStyle w:val="Tabletextnormal9pt"/>
              <w:numPr>
                <w:ilvl w:val="0"/>
                <w:numId w:val="39"/>
              </w:numPr>
              <w:ind w:left="284" w:hanging="284"/>
              <w:rPr>
                <w:color w:val="auto"/>
              </w:rPr>
            </w:pPr>
            <w:r w:rsidRPr="00C34D34">
              <w:rPr>
                <w:color w:val="auto"/>
              </w:rPr>
              <w:t>Supporting the provision of high quality palliative care in Australia through workforce development, quality improvement and data development activities, and by supporting advance care planning.</w:t>
            </w:r>
          </w:p>
        </w:tc>
      </w:tr>
      <w:tr w:rsidR="00685583" w:rsidRPr="00685583" w14:paraId="1C7835F5" w14:textId="77777777" w:rsidTr="00AE5740">
        <w:trPr>
          <w:jc w:val="center"/>
        </w:trPr>
        <w:tc>
          <w:tcPr>
            <w:tcW w:w="7677" w:type="dxa"/>
            <w:gridSpan w:val="5"/>
            <w:shd w:val="clear" w:color="auto" w:fill="D9D9D9" w:themeFill="background1" w:themeFillShade="D9"/>
          </w:tcPr>
          <w:p w14:paraId="52F502C6" w14:textId="149789DF" w:rsidR="00EC1696" w:rsidRPr="00685583" w:rsidRDefault="0073538B" w:rsidP="003B0A69">
            <w:pPr>
              <w:pStyle w:val="Tableheadingrow9pt"/>
              <w:rPr>
                <w:color w:val="auto"/>
              </w:rPr>
            </w:pPr>
            <w:r w:rsidRPr="00685583">
              <w:rPr>
                <w:color w:val="auto"/>
              </w:rPr>
              <w:t xml:space="preserve">Performance </w:t>
            </w:r>
            <w:r w:rsidR="000F7A14" w:rsidRPr="00685583">
              <w:rPr>
                <w:color w:val="auto"/>
              </w:rPr>
              <w:t>Measures</w:t>
            </w:r>
          </w:p>
        </w:tc>
      </w:tr>
      <w:tr w:rsidR="00685583" w:rsidRPr="00685583" w14:paraId="7645DFDF" w14:textId="77777777" w:rsidTr="00AE5740">
        <w:trPr>
          <w:jc w:val="center"/>
        </w:trPr>
        <w:tc>
          <w:tcPr>
            <w:tcW w:w="7677" w:type="dxa"/>
            <w:gridSpan w:val="5"/>
            <w:shd w:val="clear" w:color="auto" w:fill="D9D9D9" w:themeFill="background1" w:themeFillShade="D9"/>
          </w:tcPr>
          <w:p w14:paraId="4ABAAB2E" w14:textId="4C1BE086" w:rsidR="005904FE" w:rsidRPr="003F0B48" w:rsidRDefault="00BA22FD" w:rsidP="003B0A69">
            <w:pPr>
              <w:rPr>
                <w:b/>
                <w:bCs/>
                <w:color w:val="auto"/>
                <w:sz w:val="17"/>
                <w:szCs w:val="17"/>
              </w:rPr>
            </w:pPr>
            <w:r w:rsidRPr="00685583">
              <w:rPr>
                <w:b/>
                <w:bCs/>
                <w:color w:val="auto"/>
                <w:sz w:val="17"/>
                <w:szCs w:val="17"/>
              </w:rPr>
              <w:t xml:space="preserve">The number of </w:t>
            </w:r>
            <w:r w:rsidR="005904FE">
              <w:rPr>
                <w:b/>
                <w:bCs/>
                <w:color w:val="auto"/>
                <w:sz w:val="17"/>
                <w:szCs w:val="17"/>
              </w:rPr>
              <w:t>Primary Health Network</w:t>
            </w:r>
            <w:r w:rsidRPr="00685583">
              <w:rPr>
                <w:b/>
                <w:bCs/>
                <w:color w:val="auto"/>
                <w:sz w:val="17"/>
                <w:szCs w:val="17"/>
              </w:rPr>
              <w:t xml:space="preserve"> regions in which the rate of potentially preventable hospitalisations is declining, based on the latest available A</w:t>
            </w:r>
            <w:r w:rsidR="00032F2F" w:rsidRPr="00685583">
              <w:rPr>
                <w:b/>
                <w:bCs/>
                <w:color w:val="auto"/>
                <w:sz w:val="17"/>
                <w:szCs w:val="17"/>
              </w:rPr>
              <w:t xml:space="preserve">ustralian </w:t>
            </w:r>
            <w:r w:rsidRPr="00685583">
              <w:rPr>
                <w:b/>
                <w:bCs/>
                <w:color w:val="auto"/>
                <w:sz w:val="17"/>
                <w:szCs w:val="17"/>
              </w:rPr>
              <w:t>I</w:t>
            </w:r>
            <w:r w:rsidR="00032F2F" w:rsidRPr="00685583">
              <w:rPr>
                <w:b/>
                <w:bCs/>
                <w:color w:val="auto"/>
                <w:sz w:val="17"/>
                <w:szCs w:val="17"/>
              </w:rPr>
              <w:t xml:space="preserve">nstitute of </w:t>
            </w:r>
            <w:r w:rsidRPr="00685583">
              <w:rPr>
                <w:b/>
                <w:bCs/>
                <w:color w:val="auto"/>
                <w:sz w:val="17"/>
                <w:szCs w:val="17"/>
              </w:rPr>
              <w:t>H</w:t>
            </w:r>
            <w:r w:rsidR="00032F2F" w:rsidRPr="00685583">
              <w:rPr>
                <w:b/>
                <w:bCs/>
                <w:color w:val="auto"/>
                <w:sz w:val="17"/>
                <w:szCs w:val="17"/>
              </w:rPr>
              <w:t xml:space="preserve">ealth and </w:t>
            </w:r>
            <w:r w:rsidRPr="00685583">
              <w:rPr>
                <w:b/>
                <w:bCs/>
                <w:color w:val="auto"/>
                <w:sz w:val="17"/>
                <w:szCs w:val="17"/>
              </w:rPr>
              <w:t>W</w:t>
            </w:r>
            <w:r w:rsidR="00032F2F" w:rsidRPr="00685583">
              <w:rPr>
                <w:b/>
                <w:bCs/>
                <w:color w:val="auto"/>
                <w:sz w:val="17"/>
                <w:szCs w:val="17"/>
              </w:rPr>
              <w:t>elfare</w:t>
            </w:r>
            <w:r w:rsidRPr="00685583">
              <w:rPr>
                <w:b/>
                <w:bCs/>
                <w:color w:val="auto"/>
                <w:sz w:val="17"/>
                <w:szCs w:val="17"/>
              </w:rPr>
              <w:t xml:space="preserve"> longitudinal data.</w:t>
            </w:r>
          </w:p>
        </w:tc>
      </w:tr>
      <w:tr w:rsidR="00CC420F" w:rsidRPr="00685583" w14:paraId="2C96B9FC" w14:textId="77777777" w:rsidTr="00032F2F">
        <w:trPr>
          <w:jc w:val="center"/>
        </w:trPr>
        <w:tc>
          <w:tcPr>
            <w:tcW w:w="1670" w:type="dxa"/>
            <w:shd w:val="clear" w:color="auto" w:fill="auto"/>
          </w:tcPr>
          <w:p w14:paraId="1E43CAD7" w14:textId="21714B57" w:rsidR="00CC420F" w:rsidRPr="00685583" w:rsidRDefault="00CC420F" w:rsidP="00CC420F">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47D0F">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86" w:type="dxa"/>
            <w:shd w:val="clear" w:color="auto" w:fill="auto"/>
          </w:tcPr>
          <w:p w14:paraId="29C9633D" w14:textId="44D329EF" w:rsidR="00CC420F" w:rsidRPr="00685583" w:rsidRDefault="00CC420F" w:rsidP="00CC420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47D0F">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418" w:type="dxa"/>
            <w:shd w:val="clear" w:color="auto" w:fill="auto"/>
          </w:tcPr>
          <w:p w14:paraId="2DF0D96D" w14:textId="7B6D9C57"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47D0F">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1" w:type="dxa"/>
            <w:shd w:val="clear" w:color="auto" w:fill="auto"/>
          </w:tcPr>
          <w:p w14:paraId="0BD20244" w14:textId="465D056D"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47D0F">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12ADB21D" w14:textId="680A1956"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47D0F">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694806B9" w14:textId="77777777" w:rsidTr="00032F2F">
        <w:trPr>
          <w:trHeight w:val="96"/>
          <w:jc w:val="center"/>
        </w:trPr>
        <w:tc>
          <w:tcPr>
            <w:tcW w:w="1670" w:type="dxa"/>
            <w:shd w:val="clear" w:color="auto" w:fill="auto"/>
          </w:tcPr>
          <w:p w14:paraId="2D69BBE9" w14:textId="758DFA7A" w:rsidR="0064273E" w:rsidRPr="00685583" w:rsidRDefault="00EC1696" w:rsidP="004B28D9">
            <w:pPr>
              <w:pStyle w:val="Tableheadingrow9pt"/>
              <w:rPr>
                <w:b w:val="0"/>
                <w:color w:val="auto"/>
                <w:sz w:val="17"/>
                <w:szCs w:val="17"/>
              </w:rPr>
            </w:pPr>
            <w:r w:rsidRPr="00685583">
              <w:rPr>
                <w:b w:val="0"/>
                <w:color w:val="auto"/>
                <w:sz w:val="17"/>
                <w:szCs w:val="17"/>
              </w:rPr>
              <w:t>25</w:t>
            </w:r>
          </w:p>
        </w:tc>
        <w:tc>
          <w:tcPr>
            <w:tcW w:w="1586" w:type="dxa"/>
            <w:vMerge w:val="restart"/>
            <w:shd w:val="clear" w:color="auto" w:fill="auto"/>
          </w:tcPr>
          <w:p w14:paraId="0AA200FD" w14:textId="08E38E97" w:rsidR="00BA22FD" w:rsidRPr="00685583" w:rsidRDefault="00EC1696" w:rsidP="00D271B7">
            <w:pPr>
              <w:pStyle w:val="Tableheadingrow9pt"/>
              <w:rPr>
                <w:b w:val="0"/>
                <w:color w:val="auto"/>
                <w:sz w:val="17"/>
                <w:szCs w:val="17"/>
              </w:rPr>
            </w:pPr>
            <w:r w:rsidRPr="00685583">
              <w:rPr>
                <w:b w:val="0"/>
                <w:color w:val="auto"/>
                <w:sz w:val="17"/>
                <w:szCs w:val="17"/>
              </w:rPr>
              <w:t>26</w:t>
            </w:r>
          </w:p>
        </w:tc>
        <w:tc>
          <w:tcPr>
            <w:tcW w:w="1418" w:type="dxa"/>
            <w:vMerge w:val="restart"/>
            <w:shd w:val="clear" w:color="auto" w:fill="auto"/>
          </w:tcPr>
          <w:p w14:paraId="6599DF56" w14:textId="21608828" w:rsidR="0064273E" w:rsidRPr="00685583" w:rsidRDefault="00EC1696" w:rsidP="004B28D9">
            <w:pPr>
              <w:pStyle w:val="Tableheadingrow9pt"/>
              <w:rPr>
                <w:b w:val="0"/>
                <w:bCs/>
                <w:color w:val="auto"/>
                <w:sz w:val="17"/>
                <w:szCs w:val="17"/>
              </w:rPr>
            </w:pPr>
            <w:r w:rsidRPr="00685583">
              <w:rPr>
                <w:b w:val="0"/>
                <w:color w:val="auto"/>
                <w:sz w:val="17"/>
                <w:szCs w:val="17"/>
              </w:rPr>
              <w:t>27</w:t>
            </w:r>
          </w:p>
        </w:tc>
        <w:tc>
          <w:tcPr>
            <w:tcW w:w="1501" w:type="dxa"/>
            <w:vMerge w:val="restart"/>
            <w:shd w:val="clear" w:color="auto" w:fill="auto"/>
          </w:tcPr>
          <w:p w14:paraId="0D18636C" w14:textId="5A88C3AF" w:rsidR="0064273E" w:rsidRPr="00685583" w:rsidRDefault="00EC1696" w:rsidP="004B28D9">
            <w:pPr>
              <w:pStyle w:val="Tableheadingrow9pt"/>
              <w:rPr>
                <w:b w:val="0"/>
                <w:bCs/>
                <w:color w:val="auto"/>
                <w:sz w:val="17"/>
                <w:szCs w:val="17"/>
              </w:rPr>
            </w:pPr>
            <w:r w:rsidRPr="00685583">
              <w:rPr>
                <w:b w:val="0"/>
                <w:color w:val="auto"/>
                <w:sz w:val="17"/>
                <w:szCs w:val="17"/>
              </w:rPr>
              <w:t>28</w:t>
            </w:r>
          </w:p>
        </w:tc>
        <w:tc>
          <w:tcPr>
            <w:tcW w:w="1502" w:type="dxa"/>
            <w:vMerge w:val="restart"/>
            <w:shd w:val="clear" w:color="auto" w:fill="auto"/>
          </w:tcPr>
          <w:p w14:paraId="48C283D3" w14:textId="042BA128" w:rsidR="0064273E" w:rsidRPr="00EC1696" w:rsidRDefault="001B7D08" w:rsidP="004B28D9">
            <w:pPr>
              <w:pStyle w:val="Tableheadingrow9pt"/>
              <w:rPr>
                <w:b w:val="0"/>
                <w:bCs/>
                <w:color w:val="auto"/>
                <w:sz w:val="17"/>
                <w:szCs w:val="17"/>
                <w:highlight w:val="yellow"/>
              </w:rPr>
            </w:pPr>
            <w:r>
              <w:rPr>
                <w:b w:val="0"/>
                <w:color w:val="auto"/>
                <w:sz w:val="17"/>
                <w:szCs w:val="17"/>
              </w:rPr>
              <w:t>29</w:t>
            </w:r>
          </w:p>
        </w:tc>
      </w:tr>
      <w:tr w:rsidR="00685583" w:rsidRPr="00685583" w14:paraId="346D197B" w14:textId="77777777" w:rsidTr="00032F2F">
        <w:trPr>
          <w:trHeight w:val="96"/>
          <w:jc w:val="center"/>
        </w:trPr>
        <w:tc>
          <w:tcPr>
            <w:tcW w:w="1670" w:type="dxa"/>
            <w:shd w:val="clear" w:color="auto" w:fill="auto"/>
            <w:tcMar>
              <w:right w:w="57" w:type="dxa"/>
            </w:tcMar>
          </w:tcPr>
          <w:p w14:paraId="0B36D594" w14:textId="7657A80E" w:rsidR="0064273E" w:rsidRPr="00685583" w:rsidRDefault="00B47D0F" w:rsidP="00EC1696">
            <w:pPr>
              <w:pStyle w:val="Tableheadingrow9pt"/>
              <w:rPr>
                <w:color w:val="auto"/>
              </w:rPr>
            </w:pPr>
            <w:r>
              <w:rPr>
                <w:color w:val="auto"/>
                <w:sz w:val="17"/>
                <w:szCs w:val="17"/>
              </w:rPr>
              <w:t>2021–</w:t>
            </w:r>
            <w:r w:rsidR="007416BC">
              <w:rPr>
                <w:color w:val="auto"/>
                <w:sz w:val="17"/>
                <w:szCs w:val="17"/>
              </w:rPr>
              <w:t>22</w:t>
            </w:r>
            <w:r w:rsidR="007416BC">
              <w:rPr>
                <w:color w:val="auto"/>
                <w:sz w:val="17"/>
                <w:szCs w:val="17"/>
              </w:rPr>
              <w:br/>
              <w:t>Expected Performance Result</w:t>
            </w:r>
          </w:p>
        </w:tc>
        <w:tc>
          <w:tcPr>
            <w:tcW w:w="1586" w:type="dxa"/>
            <w:vMerge/>
            <w:shd w:val="clear" w:color="auto" w:fill="auto"/>
            <w:vAlign w:val="bottom"/>
          </w:tcPr>
          <w:p w14:paraId="3DC00592" w14:textId="267EB39E" w:rsidR="0064273E" w:rsidRPr="00685583" w:rsidRDefault="0064273E" w:rsidP="0064273E">
            <w:pPr>
              <w:pStyle w:val="Tableheadingrow9pt"/>
              <w:rPr>
                <w:color w:val="auto"/>
              </w:rPr>
            </w:pPr>
          </w:p>
        </w:tc>
        <w:tc>
          <w:tcPr>
            <w:tcW w:w="1418" w:type="dxa"/>
            <w:vMerge/>
            <w:shd w:val="clear" w:color="auto" w:fill="auto"/>
            <w:vAlign w:val="bottom"/>
          </w:tcPr>
          <w:p w14:paraId="0AA2983F" w14:textId="77777777" w:rsidR="0064273E" w:rsidRPr="00685583" w:rsidRDefault="0064273E" w:rsidP="0064273E">
            <w:pPr>
              <w:pStyle w:val="Tableheadingrow9pt"/>
              <w:rPr>
                <w:color w:val="auto"/>
              </w:rPr>
            </w:pPr>
          </w:p>
        </w:tc>
        <w:tc>
          <w:tcPr>
            <w:tcW w:w="1501" w:type="dxa"/>
            <w:vMerge/>
            <w:shd w:val="clear" w:color="auto" w:fill="auto"/>
            <w:vAlign w:val="bottom"/>
          </w:tcPr>
          <w:p w14:paraId="1AB75313" w14:textId="77777777" w:rsidR="0064273E" w:rsidRPr="00685583" w:rsidRDefault="0064273E" w:rsidP="0064273E">
            <w:pPr>
              <w:pStyle w:val="Tableheadingrow9pt"/>
              <w:rPr>
                <w:color w:val="auto"/>
              </w:rPr>
            </w:pPr>
          </w:p>
        </w:tc>
        <w:tc>
          <w:tcPr>
            <w:tcW w:w="1502" w:type="dxa"/>
            <w:vMerge/>
            <w:shd w:val="clear" w:color="auto" w:fill="auto"/>
            <w:vAlign w:val="bottom"/>
          </w:tcPr>
          <w:p w14:paraId="2F5A409A" w14:textId="157828C0" w:rsidR="0064273E" w:rsidRPr="00685583" w:rsidRDefault="0064273E" w:rsidP="0064273E">
            <w:pPr>
              <w:pStyle w:val="Tableheadingrow9pt"/>
              <w:rPr>
                <w:color w:val="auto"/>
              </w:rPr>
            </w:pPr>
          </w:p>
        </w:tc>
      </w:tr>
      <w:tr w:rsidR="00685583" w:rsidRPr="00685583" w14:paraId="186BD0E9" w14:textId="77777777" w:rsidTr="00032F2F">
        <w:trPr>
          <w:trHeight w:val="277"/>
          <w:jc w:val="center"/>
        </w:trPr>
        <w:tc>
          <w:tcPr>
            <w:tcW w:w="1670" w:type="dxa"/>
            <w:shd w:val="clear" w:color="auto" w:fill="auto"/>
          </w:tcPr>
          <w:p w14:paraId="58774CBD" w14:textId="31B1A30D" w:rsidR="005904FE" w:rsidRPr="00685583" w:rsidRDefault="001B7D08" w:rsidP="004B28D9">
            <w:pPr>
              <w:pStyle w:val="Tableheadingrow9pt"/>
              <w:rPr>
                <w:b w:val="0"/>
                <w:color w:val="auto"/>
                <w:sz w:val="17"/>
                <w:szCs w:val="17"/>
              </w:rPr>
            </w:pPr>
            <w:r>
              <w:rPr>
                <w:b w:val="0"/>
                <w:color w:val="auto"/>
                <w:sz w:val="17"/>
                <w:szCs w:val="17"/>
              </w:rPr>
              <w:t>Data not yet available</w:t>
            </w:r>
            <w:r w:rsidR="003F0B48">
              <w:rPr>
                <w:rStyle w:val="FootnoteReference"/>
                <w:b w:val="0"/>
                <w:color w:val="auto"/>
                <w:sz w:val="17"/>
                <w:szCs w:val="17"/>
              </w:rPr>
              <w:footnoteReference w:id="45"/>
            </w:r>
          </w:p>
        </w:tc>
        <w:tc>
          <w:tcPr>
            <w:tcW w:w="1586" w:type="dxa"/>
            <w:vMerge/>
            <w:shd w:val="clear" w:color="auto" w:fill="auto"/>
          </w:tcPr>
          <w:p w14:paraId="6E9EE340" w14:textId="77777777" w:rsidR="0064273E" w:rsidRPr="00685583" w:rsidRDefault="0064273E" w:rsidP="004B28D9">
            <w:pPr>
              <w:pStyle w:val="Tableheadingrow9pt"/>
              <w:rPr>
                <w:color w:val="auto"/>
              </w:rPr>
            </w:pPr>
          </w:p>
        </w:tc>
        <w:tc>
          <w:tcPr>
            <w:tcW w:w="1418" w:type="dxa"/>
            <w:vMerge/>
            <w:shd w:val="clear" w:color="auto" w:fill="auto"/>
          </w:tcPr>
          <w:p w14:paraId="6080F3C7" w14:textId="77777777" w:rsidR="0064273E" w:rsidRPr="00685583" w:rsidRDefault="0064273E" w:rsidP="004B28D9">
            <w:pPr>
              <w:pStyle w:val="Tableheadingrow9pt"/>
              <w:rPr>
                <w:color w:val="auto"/>
              </w:rPr>
            </w:pPr>
          </w:p>
        </w:tc>
        <w:tc>
          <w:tcPr>
            <w:tcW w:w="1501" w:type="dxa"/>
            <w:vMerge/>
            <w:shd w:val="clear" w:color="auto" w:fill="auto"/>
          </w:tcPr>
          <w:p w14:paraId="4E14F7ED" w14:textId="77777777" w:rsidR="0064273E" w:rsidRPr="00685583" w:rsidRDefault="0064273E" w:rsidP="004B28D9">
            <w:pPr>
              <w:pStyle w:val="Tableheadingrow9pt"/>
              <w:rPr>
                <w:color w:val="auto"/>
              </w:rPr>
            </w:pPr>
          </w:p>
        </w:tc>
        <w:tc>
          <w:tcPr>
            <w:tcW w:w="1502" w:type="dxa"/>
            <w:vMerge/>
            <w:shd w:val="clear" w:color="auto" w:fill="auto"/>
          </w:tcPr>
          <w:p w14:paraId="176F0051" w14:textId="7D422BFF" w:rsidR="0064273E" w:rsidRPr="00685583" w:rsidRDefault="0064273E" w:rsidP="004B28D9">
            <w:pPr>
              <w:pStyle w:val="Tableheadingrow9pt"/>
              <w:rPr>
                <w:color w:val="auto"/>
              </w:rPr>
            </w:pPr>
          </w:p>
        </w:tc>
      </w:tr>
      <w:tr w:rsidR="00685583" w:rsidRPr="00685583" w14:paraId="31570E3D" w14:textId="77777777" w:rsidTr="00AE5740">
        <w:trPr>
          <w:jc w:val="center"/>
        </w:trPr>
        <w:tc>
          <w:tcPr>
            <w:tcW w:w="7677" w:type="dxa"/>
            <w:gridSpan w:val="5"/>
            <w:shd w:val="clear" w:color="auto" w:fill="auto"/>
          </w:tcPr>
          <w:p w14:paraId="765D6B50" w14:textId="43678E47" w:rsidR="00B47D0F" w:rsidRPr="00685583" w:rsidRDefault="00B47D0F" w:rsidP="00B47D0F">
            <w:pPr>
              <w:pStyle w:val="Tableheadingrow9pt"/>
              <w:rPr>
                <w:color w:val="auto"/>
              </w:rPr>
            </w:pPr>
            <w:r>
              <w:rPr>
                <w:color w:val="auto"/>
              </w:rPr>
              <w:t>Material changes to Program 1.6</w:t>
            </w:r>
            <w:r w:rsidRPr="00685583">
              <w:rPr>
                <w:color w:val="auto"/>
              </w:rPr>
              <w:t xml:space="preserve"> resulting from the following measures:</w:t>
            </w:r>
          </w:p>
          <w:p w14:paraId="59F544A3" w14:textId="57B7F603" w:rsidR="00BA22FD" w:rsidRPr="00685583" w:rsidRDefault="00B47D0F" w:rsidP="00B47D0F">
            <w:pPr>
              <w:keepNext/>
              <w:keepLines/>
              <w:rPr>
                <w:color w:val="auto"/>
                <w:sz w:val="17"/>
                <w:szCs w:val="17"/>
              </w:rPr>
            </w:pPr>
            <w:r w:rsidRPr="00473719">
              <w:rPr>
                <w:sz w:val="17"/>
                <w:szCs w:val="17"/>
              </w:rPr>
              <w:t xml:space="preserve">There are no material changes to Program </w:t>
            </w:r>
            <w:r>
              <w:rPr>
                <w:sz w:val="17"/>
                <w:szCs w:val="17"/>
              </w:rPr>
              <w:t>1</w:t>
            </w:r>
            <w:r w:rsidRPr="00473719">
              <w:rPr>
                <w:sz w:val="17"/>
                <w:szCs w:val="17"/>
              </w:rPr>
              <w:t>.</w:t>
            </w:r>
            <w:r>
              <w:rPr>
                <w:sz w:val="17"/>
                <w:szCs w:val="17"/>
              </w:rPr>
              <w:t>6</w:t>
            </w:r>
            <w:r w:rsidRPr="00473719">
              <w:rPr>
                <w:sz w:val="17"/>
                <w:szCs w:val="17"/>
              </w:rPr>
              <w:t xml:space="preserve"> resulting from measures.</w:t>
            </w:r>
          </w:p>
        </w:tc>
      </w:tr>
    </w:tbl>
    <w:p w14:paraId="765DDC7C" w14:textId="5A3D8591" w:rsidR="00076265" w:rsidRPr="00685583" w:rsidRDefault="0073538B" w:rsidP="000C1B9B">
      <w:pPr>
        <w:pStyle w:val="Tablenumberandreference"/>
        <w:pageBreakBefore/>
        <w:rPr>
          <w:color w:val="auto"/>
        </w:rPr>
      </w:pPr>
      <w:r w:rsidRPr="00685583">
        <w:rPr>
          <w:color w:val="auto"/>
        </w:rPr>
        <w:lastRenderedPageBreak/>
        <w:t xml:space="preserve">Table 2.1.8: Performance </w:t>
      </w:r>
      <w:r w:rsidR="000F7A14" w:rsidRPr="00685583">
        <w:rPr>
          <w:color w:val="auto"/>
        </w:rPr>
        <w:t>Measures</w:t>
      </w:r>
      <w:r w:rsidRPr="00685583">
        <w:rPr>
          <w:color w:val="auto"/>
        </w:rPr>
        <w:t xml:space="preserve"> for Program 1.7</w:t>
      </w:r>
      <w:r w:rsidR="000C1B9B">
        <w:rPr>
          <w:color w:val="auto"/>
        </w:rPr>
        <w:t xml:space="preserve"> </w:t>
      </w:r>
    </w:p>
    <w:tbl>
      <w:tblPr>
        <w:tblStyle w:val="TableGrid"/>
        <w:tblW w:w="7680" w:type="dxa"/>
        <w:jc w:val="center"/>
        <w:tblLayout w:type="fixed"/>
        <w:tblLook w:val="04A0" w:firstRow="1" w:lastRow="0" w:firstColumn="1" w:lastColumn="0" w:noHBand="0" w:noVBand="1"/>
        <w:tblCaption w:val="Table 2.1.8: Performance Measures for Program 1.7"/>
        <w:tblDescription w:val="This table outlines Program 1.7's objective and the key activities for Program 1.7. It also includes a performance measure for Program 1.7, with an expected performance result for 2021-22, and planned performance results for 2022-23 and the forward estimates"/>
      </w:tblPr>
      <w:tblGrid>
        <w:gridCol w:w="1672"/>
        <w:gridCol w:w="1502"/>
        <w:gridCol w:w="1502"/>
        <w:gridCol w:w="1502"/>
        <w:gridCol w:w="1502"/>
      </w:tblGrid>
      <w:tr w:rsidR="00685583" w:rsidRPr="00685583" w14:paraId="21DD46DC" w14:textId="77777777" w:rsidTr="00F860F4">
        <w:trPr>
          <w:trHeight w:val="50"/>
          <w:jc w:val="center"/>
        </w:trPr>
        <w:tc>
          <w:tcPr>
            <w:tcW w:w="7680" w:type="dxa"/>
            <w:gridSpan w:val="5"/>
            <w:shd w:val="clear" w:color="auto" w:fill="D9D9D9" w:themeFill="background1" w:themeFillShade="D9"/>
          </w:tcPr>
          <w:p w14:paraId="2654E4E1" w14:textId="0E51A9A1" w:rsidR="00AD65AB" w:rsidRPr="00685583" w:rsidRDefault="0073538B" w:rsidP="00E7155B">
            <w:pPr>
              <w:pStyle w:val="Tableheadingrow9pt"/>
              <w:rPr>
                <w:color w:val="auto"/>
              </w:rPr>
            </w:pPr>
            <w:r w:rsidRPr="00685583">
              <w:rPr>
                <w:color w:val="auto"/>
              </w:rPr>
              <w:t>Program Objective – Program 1.</w:t>
            </w:r>
            <w:r w:rsidR="00A12316" w:rsidRPr="00685583">
              <w:rPr>
                <w:color w:val="auto"/>
              </w:rPr>
              <w:t>7</w:t>
            </w:r>
            <w:r w:rsidRPr="00685583">
              <w:rPr>
                <w:color w:val="auto"/>
              </w:rPr>
              <w:t>:</w:t>
            </w:r>
            <w:r w:rsidR="00A12316" w:rsidRPr="00685583">
              <w:rPr>
                <w:color w:val="auto"/>
              </w:rPr>
              <w:t xml:space="preserve"> Primary Care Practice Incentives and Medical Indemnity</w:t>
            </w:r>
          </w:p>
        </w:tc>
      </w:tr>
      <w:tr w:rsidR="00685583" w:rsidRPr="00685583" w14:paraId="714DFAE7" w14:textId="77777777" w:rsidTr="00F860F4">
        <w:trPr>
          <w:jc w:val="center"/>
        </w:trPr>
        <w:tc>
          <w:tcPr>
            <w:tcW w:w="7680" w:type="dxa"/>
            <w:gridSpan w:val="5"/>
          </w:tcPr>
          <w:p w14:paraId="40F42576" w14:textId="1DC42D4E" w:rsidR="0073538B" w:rsidRPr="00685583" w:rsidRDefault="00335B80" w:rsidP="00AE5740">
            <w:pPr>
              <w:pStyle w:val="Heading2"/>
              <w:outlineLvl w:val="1"/>
              <w:rPr>
                <w:color w:val="auto"/>
              </w:rPr>
            </w:pPr>
            <w:r w:rsidRPr="00685583">
              <w:rPr>
                <w:color w:val="auto"/>
              </w:rPr>
              <w:t>Provide incentive payments to eligible general practices and general practitioners through the Practice Incentives Program (PIP) to support continuing improvements, increase quality of care, enhance capacity and improve access and health outcomes for patients. Promote the ongoing stability, affordability and availability of medical indemnity insurance to enable stable fees for patients and allow the medical workforce to focus on delivering high quality services.</w:t>
            </w:r>
          </w:p>
        </w:tc>
      </w:tr>
      <w:tr w:rsidR="00685583" w:rsidRPr="00685583" w14:paraId="18D9DB64" w14:textId="77777777" w:rsidTr="00F860F4">
        <w:trPr>
          <w:jc w:val="center"/>
        </w:trPr>
        <w:tc>
          <w:tcPr>
            <w:tcW w:w="7680" w:type="dxa"/>
            <w:gridSpan w:val="5"/>
            <w:shd w:val="clear" w:color="auto" w:fill="D9D9D9" w:themeFill="background1" w:themeFillShade="D9"/>
          </w:tcPr>
          <w:p w14:paraId="579F645B" w14:textId="6F22CFC5" w:rsidR="00AD65AB" w:rsidRPr="00685583" w:rsidRDefault="00E7155B" w:rsidP="00E7155B">
            <w:pPr>
              <w:pStyle w:val="Tableheadingrow9pt"/>
              <w:rPr>
                <w:color w:val="auto"/>
              </w:rPr>
            </w:pPr>
            <w:r>
              <w:rPr>
                <w:color w:val="auto"/>
              </w:rPr>
              <w:t>Key Activities</w:t>
            </w:r>
          </w:p>
        </w:tc>
      </w:tr>
      <w:tr w:rsidR="00685583" w:rsidRPr="00685583" w14:paraId="69DFF4AD" w14:textId="77777777" w:rsidTr="00F860F4">
        <w:trPr>
          <w:jc w:val="center"/>
        </w:trPr>
        <w:tc>
          <w:tcPr>
            <w:tcW w:w="7680" w:type="dxa"/>
            <w:gridSpan w:val="5"/>
          </w:tcPr>
          <w:p w14:paraId="1C2C5C50" w14:textId="77777777" w:rsidR="00F21C80" w:rsidRPr="00F21C80" w:rsidRDefault="00F21C80" w:rsidP="008055C8">
            <w:pPr>
              <w:pStyle w:val="Tabletextnormal9pt"/>
              <w:numPr>
                <w:ilvl w:val="0"/>
                <w:numId w:val="1"/>
              </w:numPr>
              <w:ind w:left="314" w:hanging="284"/>
              <w:rPr>
                <w:color w:val="auto"/>
              </w:rPr>
            </w:pPr>
            <w:r w:rsidRPr="00F21C80">
              <w:rPr>
                <w:color w:val="auto"/>
              </w:rPr>
              <w:t>Providing incentive payments to eligible general practices and general practitioners. Incentives include the:</w:t>
            </w:r>
          </w:p>
          <w:p w14:paraId="6CDE309E" w14:textId="28DCF682" w:rsidR="00F21C80" w:rsidRPr="00F21C80" w:rsidRDefault="00F21C80" w:rsidP="008055C8">
            <w:pPr>
              <w:pStyle w:val="Tabletextnormal9pt"/>
              <w:numPr>
                <w:ilvl w:val="0"/>
                <w:numId w:val="37"/>
              </w:numPr>
              <w:ind w:left="597" w:hanging="283"/>
              <w:rPr>
                <w:color w:val="auto"/>
              </w:rPr>
            </w:pPr>
            <w:r w:rsidRPr="00F21C80">
              <w:rPr>
                <w:color w:val="auto"/>
              </w:rPr>
              <w:t>After Hours Incentive</w:t>
            </w:r>
          </w:p>
          <w:p w14:paraId="5AF61485" w14:textId="77777777" w:rsidR="009315BF" w:rsidRPr="00F21C80" w:rsidRDefault="009315BF" w:rsidP="008055C8">
            <w:pPr>
              <w:pStyle w:val="Tabletextnormal9pt"/>
              <w:numPr>
                <w:ilvl w:val="0"/>
                <w:numId w:val="37"/>
              </w:numPr>
              <w:ind w:left="597" w:hanging="283"/>
              <w:rPr>
                <w:color w:val="auto"/>
              </w:rPr>
            </w:pPr>
            <w:r w:rsidRPr="00F21C80">
              <w:rPr>
                <w:color w:val="auto"/>
              </w:rPr>
              <w:t>Aged Care Access Incentive</w:t>
            </w:r>
          </w:p>
          <w:p w14:paraId="39F7B213" w14:textId="084316BD" w:rsidR="00F21C80" w:rsidRPr="00F21C80" w:rsidRDefault="00F21C80" w:rsidP="008055C8">
            <w:pPr>
              <w:pStyle w:val="Tabletextnormal9pt"/>
              <w:numPr>
                <w:ilvl w:val="0"/>
                <w:numId w:val="37"/>
              </w:numPr>
              <w:ind w:left="597" w:hanging="283"/>
              <w:rPr>
                <w:color w:val="auto"/>
              </w:rPr>
            </w:pPr>
            <w:r w:rsidRPr="00F21C80">
              <w:rPr>
                <w:color w:val="auto"/>
              </w:rPr>
              <w:t>eHealth Incentive</w:t>
            </w:r>
          </w:p>
          <w:p w14:paraId="6E775060" w14:textId="2EAEDB60" w:rsidR="00F21C80" w:rsidRPr="00F21C80" w:rsidRDefault="00F21C80" w:rsidP="008055C8">
            <w:pPr>
              <w:pStyle w:val="Tabletextnormal9pt"/>
              <w:numPr>
                <w:ilvl w:val="0"/>
                <w:numId w:val="37"/>
              </w:numPr>
              <w:ind w:left="597" w:hanging="283"/>
              <w:rPr>
                <w:color w:val="auto"/>
              </w:rPr>
            </w:pPr>
            <w:r w:rsidRPr="00F21C80">
              <w:rPr>
                <w:color w:val="auto"/>
              </w:rPr>
              <w:t>Rural Loading Incentive</w:t>
            </w:r>
          </w:p>
          <w:p w14:paraId="72536C08" w14:textId="4A3BAC0D" w:rsidR="00F21C80" w:rsidRPr="00F21C80" w:rsidRDefault="00F21C80" w:rsidP="008055C8">
            <w:pPr>
              <w:pStyle w:val="Tabletextnormal9pt"/>
              <w:numPr>
                <w:ilvl w:val="0"/>
                <w:numId w:val="37"/>
              </w:numPr>
              <w:ind w:left="597" w:hanging="283"/>
              <w:rPr>
                <w:color w:val="auto"/>
              </w:rPr>
            </w:pPr>
            <w:r w:rsidRPr="00F21C80">
              <w:rPr>
                <w:color w:val="auto"/>
              </w:rPr>
              <w:t>Teaching Payment</w:t>
            </w:r>
          </w:p>
          <w:p w14:paraId="0564642C" w14:textId="11153BB8" w:rsidR="00F21C80" w:rsidRPr="00F21C80" w:rsidRDefault="00F21C80" w:rsidP="008055C8">
            <w:pPr>
              <w:pStyle w:val="Tabletextnormal9pt"/>
              <w:numPr>
                <w:ilvl w:val="0"/>
                <w:numId w:val="37"/>
              </w:numPr>
              <w:ind w:left="597" w:hanging="283"/>
              <w:rPr>
                <w:color w:val="auto"/>
              </w:rPr>
            </w:pPr>
            <w:r w:rsidRPr="00F21C80">
              <w:rPr>
                <w:color w:val="auto"/>
              </w:rPr>
              <w:t>Indigenous Health Incentive</w:t>
            </w:r>
          </w:p>
          <w:p w14:paraId="7763A9CC" w14:textId="44A2B43E" w:rsidR="00F21C80" w:rsidRPr="00F21C80" w:rsidRDefault="00F21C80" w:rsidP="008055C8">
            <w:pPr>
              <w:pStyle w:val="Tabletextnormal9pt"/>
              <w:numPr>
                <w:ilvl w:val="0"/>
                <w:numId w:val="37"/>
              </w:numPr>
              <w:ind w:left="597" w:hanging="283"/>
              <w:rPr>
                <w:color w:val="auto"/>
              </w:rPr>
            </w:pPr>
            <w:r w:rsidRPr="00F21C80">
              <w:rPr>
                <w:color w:val="auto"/>
              </w:rPr>
              <w:t>Procedural General Practitioner Incentive</w:t>
            </w:r>
          </w:p>
          <w:p w14:paraId="4575F1B1" w14:textId="25FEAAC0" w:rsidR="00F21C80" w:rsidRPr="00F21C80" w:rsidRDefault="00F21C80" w:rsidP="008055C8">
            <w:pPr>
              <w:pStyle w:val="Tabletextnormal9pt"/>
              <w:numPr>
                <w:ilvl w:val="0"/>
                <w:numId w:val="37"/>
              </w:numPr>
              <w:ind w:left="597" w:hanging="283"/>
              <w:rPr>
                <w:color w:val="auto"/>
              </w:rPr>
            </w:pPr>
            <w:r w:rsidRPr="00F21C80">
              <w:rPr>
                <w:color w:val="auto"/>
              </w:rPr>
              <w:t>Quality Improvement Incentive.</w:t>
            </w:r>
          </w:p>
          <w:p w14:paraId="58C5F36F" w14:textId="77777777" w:rsidR="00F21C80" w:rsidRPr="00F21C80" w:rsidRDefault="00F21C80" w:rsidP="008055C8">
            <w:pPr>
              <w:pStyle w:val="Tabletextnormal9pt"/>
              <w:numPr>
                <w:ilvl w:val="0"/>
                <w:numId w:val="1"/>
              </w:numPr>
              <w:ind w:left="314" w:hanging="284"/>
              <w:rPr>
                <w:color w:val="auto"/>
              </w:rPr>
            </w:pPr>
            <w:r w:rsidRPr="00F21C80">
              <w:rPr>
                <w:color w:val="auto"/>
              </w:rPr>
              <w:t>Administering the medical and midwife indemnity schemes to promote ongoing stability, affordability and availability of medical indemnity insurance. Through these schemes, subsidise claims costs and ensure the cost of insurance premiums remains affordable.</w:t>
            </w:r>
          </w:p>
          <w:p w14:paraId="3D18C4E3" w14:textId="77777777" w:rsidR="00F21C80" w:rsidRPr="00F21C80" w:rsidRDefault="00F21C80" w:rsidP="008055C8">
            <w:pPr>
              <w:pStyle w:val="Tabletextnormal9pt"/>
              <w:numPr>
                <w:ilvl w:val="0"/>
                <w:numId w:val="1"/>
              </w:numPr>
              <w:ind w:left="314" w:hanging="284"/>
              <w:rPr>
                <w:color w:val="auto"/>
              </w:rPr>
            </w:pPr>
            <w:r w:rsidRPr="00F21C80">
              <w:rPr>
                <w:color w:val="auto"/>
              </w:rPr>
              <w:t>Administering a contract with an eligible insurer for the provision of professional indemnity insurance to deliver the Midwife Professional Indemnity Scheme on behalf of the Government.</w:t>
            </w:r>
          </w:p>
          <w:p w14:paraId="7CF8A507" w14:textId="6B5CB311" w:rsidR="0073538B" w:rsidRPr="00685583" w:rsidRDefault="00323BFE" w:rsidP="008055C8">
            <w:pPr>
              <w:pStyle w:val="Tabletextnormal9pt"/>
              <w:numPr>
                <w:ilvl w:val="0"/>
                <w:numId w:val="1"/>
              </w:numPr>
              <w:ind w:left="314" w:hanging="284"/>
              <w:rPr>
                <w:color w:val="auto"/>
              </w:rPr>
            </w:pPr>
            <w:r>
              <w:rPr>
                <w:color w:val="auto"/>
              </w:rPr>
              <w:t xml:space="preserve">Administering the </w:t>
            </w:r>
            <w:r w:rsidR="00F21C80" w:rsidRPr="00F21C80">
              <w:rPr>
                <w:color w:val="auto"/>
              </w:rPr>
              <w:t>COVID-19 Vaccine Claims Scheme.</w:t>
            </w:r>
          </w:p>
        </w:tc>
      </w:tr>
      <w:tr w:rsidR="00685583" w:rsidRPr="00685583" w14:paraId="42477DCF" w14:textId="77777777" w:rsidTr="00F860F4">
        <w:trPr>
          <w:jc w:val="center"/>
        </w:trPr>
        <w:tc>
          <w:tcPr>
            <w:tcW w:w="7680" w:type="dxa"/>
            <w:gridSpan w:val="5"/>
            <w:shd w:val="clear" w:color="auto" w:fill="D9D9D9" w:themeFill="background1" w:themeFillShade="D9"/>
          </w:tcPr>
          <w:p w14:paraId="4FBA89DB" w14:textId="7AE84F2E" w:rsidR="00AD65AB" w:rsidRPr="00685583" w:rsidRDefault="0073538B" w:rsidP="003B0A69">
            <w:pPr>
              <w:pStyle w:val="Tableheadingrow9pt"/>
              <w:rPr>
                <w:color w:val="auto"/>
              </w:rPr>
            </w:pPr>
            <w:r w:rsidRPr="00685583">
              <w:rPr>
                <w:color w:val="auto"/>
              </w:rPr>
              <w:t xml:space="preserve">Performance </w:t>
            </w:r>
            <w:r w:rsidR="000F7A14" w:rsidRPr="00685583">
              <w:rPr>
                <w:color w:val="auto"/>
              </w:rPr>
              <w:t>Measures</w:t>
            </w:r>
          </w:p>
        </w:tc>
      </w:tr>
      <w:tr w:rsidR="00685583" w:rsidRPr="00685583" w14:paraId="133D2564" w14:textId="77777777" w:rsidTr="00F860F4">
        <w:trPr>
          <w:jc w:val="center"/>
        </w:trPr>
        <w:tc>
          <w:tcPr>
            <w:tcW w:w="7680" w:type="dxa"/>
            <w:gridSpan w:val="5"/>
            <w:shd w:val="clear" w:color="auto" w:fill="D9D9D9" w:themeFill="background1" w:themeFillShade="D9"/>
          </w:tcPr>
          <w:p w14:paraId="4BB25394" w14:textId="712E2C41" w:rsidR="003B0A69" w:rsidRPr="00685583" w:rsidRDefault="00563CE2" w:rsidP="003B0A69">
            <w:pPr>
              <w:rPr>
                <w:b/>
                <w:color w:val="auto"/>
                <w:sz w:val="17"/>
                <w:szCs w:val="17"/>
              </w:rPr>
            </w:pPr>
            <w:r w:rsidRPr="00685583">
              <w:rPr>
                <w:b/>
                <w:color w:val="auto"/>
                <w:sz w:val="17"/>
                <w:szCs w:val="17"/>
              </w:rPr>
              <w:t xml:space="preserve">Maintain Australia’s access to quality general practitioner care through </w:t>
            </w:r>
            <w:r w:rsidR="00864DCD" w:rsidRPr="00685583">
              <w:rPr>
                <w:b/>
                <w:color w:val="auto"/>
                <w:sz w:val="17"/>
                <w:szCs w:val="17"/>
              </w:rPr>
              <w:t xml:space="preserve">the </w:t>
            </w:r>
            <w:r w:rsidRPr="00685583">
              <w:rPr>
                <w:b/>
                <w:color w:val="auto"/>
                <w:sz w:val="17"/>
                <w:szCs w:val="17"/>
              </w:rPr>
              <w:t>percentage of accredited general practices submitting PIP Quality Improvement Incentive data to their Primary Health Network.</w:t>
            </w:r>
          </w:p>
        </w:tc>
      </w:tr>
      <w:tr w:rsidR="00CC420F" w:rsidRPr="00685583" w14:paraId="6CA03DED" w14:textId="77777777" w:rsidTr="00F860F4">
        <w:trPr>
          <w:jc w:val="center"/>
        </w:trPr>
        <w:tc>
          <w:tcPr>
            <w:tcW w:w="1672" w:type="dxa"/>
            <w:shd w:val="clear" w:color="auto" w:fill="auto"/>
          </w:tcPr>
          <w:p w14:paraId="2BD031E4" w14:textId="5DD38DAB" w:rsidR="00CC420F" w:rsidRPr="00685583" w:rsidRDefault="00CC420F" w:rsidP="00CC420F">
            <w:pPr>
              <w:pStyle w:val="Tableheadingrowmeasures85pt"/>
              <w:rPr>
                <w:color w:val="auto"/>
              </w:rPr>
            </w:pPr>
            <w:r>
              <w:rPr>
                <w:color w:val="auto"/>
              </w:rPr>
              <w:t>Current Year</w:t>
            </w:r>
            <w:r>
              <w:rPr>
                <w:color w:val="auto"/>
              </w:rPr>
              <w:br/>
            </w:r>
            <w:r w:rsidRPr="005D0368">
              <w:rPr>
                <w:color w:val="auto"/>
              </w:rPr>
              <w:t>202</w:t>
            </w:r>
            <w:r w:rsidR="00762AB8">
              <w:rPr>
                <w:color w:val="auto"/>
              </w:rPr>
              <w:t>1–</w:t>
            </w:r>
            <w:r w:rsidRPr="005D0368">
              <w:rPr>
                <w:color w:val="auto"/>
              </w:rPr>
              <w:t>2</w:t>
            </w:r>
            <w:r>
              <w:rPr>
                <w:color w:val="auto"/>
              </w:rPr>
              <w:t>2</w:t>
            </w:r>
            <w:r>
              <w:rPr>
                <w:color w:val="auto"/>
              </w:rPr>
              <w:br/>
              <w:t>Planned Performance Result</w:t>
            </w:r>
          </w:p>
        </w:tc>
        <w:tc>
          <w:tcPr>
            <w:tcW w:w="1502" w:type="dxa"/>
            <w:shd w:val="clear" w:color="auto" w:fill="auto"/>
          </w:tcPr>
          <w:p w14:paraId="77D29D0A" w14:textId="0A68F218" w:rsidR="00CC420F" w:rsidRPr="00685583" w:rsidRDefault="00CC420F" w:rsidP="00CC420F">
            <w:pPr>
              <w:pStyle w:val="Tableheadingrowmeasures85pt"/>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02" w:type="dxa"/>
            <w:shd w:val="clear" w:color="auto" w:fill="auto"/>
          </w:tcPr>
          <w:p w14:paraId="6D16B305" w14:textId="37FB0B91"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02" w:type="dxa"/>
            <w:shd w:val="clear" w:color="auto" w:fill="auto"/>
          </w:tcPr>
          <w:p w14:paraId="22038906" w14:textId="4EEEC890"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02" w:type="dxa"/>
            <w:shd w:val="clear" w:color="auto" w:fill="auto"/>
          </w:tcPr>
          <w:p w14:paraId="1ADEB3B1" w14:textId="28AE34B4"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685583" w:rsidRPr="00685583" w14:paraId="71B94A23" w14:textId="77777777" w:rsidTr="00F860F4">
        <w:trPr>
          <w:jc w:val="center"/>
        </w:trPr>
        <w:tc>
          <w:tcPr>
            <w:tcW w:w="1672" w:type="dxa"/>
            <w:shd w:val="clear" w:color="auto" w:fill="auto"/>
          </w:tcPr>
          <w:p w14:paraId="5A74A8E1" w14:textId="62883E9D" w:rsidR="0064273E" w:rsidRPr="00685583" w:rsidRDefault="00AD65AB" w:rsidP="00F860F4">
            <w:pPr>
              <w:pStyle w:val="Tableheadingrow9pt"/>
              <w:rPr>
                <w:b w:val="0"/>
                <w:color w:val="auto"/>
                <w:sz w:val="17"/>
                <w:szCs w:val="17"/>
              </w:rPr>
            </w:pPr>
            <w:r w:rsidRPr="00685583">
              <w:rPr>
                <w:b w:val="0"/>
                <w:color w:val="auto"/>
                <w:sz w:val="17"/>
                <w:szCs w:val="17"/>
              </w:rPr>
              <w:t>≥89.0%</w:t>
            </w:r>
          </w:p>
        </w:tc>
        <w:tc>
          <w:tcPr>
            <w:tcW w:w="1502" w:type="dxa"/>
            <w:vMerge w:val="restart"/>
            <w:shd w:val="clear" w:color="auto" w:fill="auto"/>
          </w:tcPr>
          <w:p w14:paraId="62EF4585" w14:textId="52CBF2D6" w:rsidR="0064273E" w:rsidRPr="00685583" w:rsidRDefault="00AD65AB" w:rsidP="00F860F4">
            <w:pPr>
              <w:pStyle w:val="Tableheadingrow9pt"/>
              <w:rPr>
                <w:b w:val="0"/>
                <w:color w:val="auto"/>
                <w:sz w:val="17"/>
                <w:szCs w:val="17"/>
              </w:rPr>
            </w:pPr>
            <w:r w:rsidRPr="00685583">
              <w:rPr>
                <w:b w:val="0"/>
                <w:color w:val="auto"/>
                <w:sz w:val="17"/>
                <w:szCs w:val="17"/>
              </w:rPr>
              <w:t>≥92.0%</w:t>
            </w:r>
          </w:p>
        </w:tc>
        <w:tc>
          <w:tcPr>
            <w:tcW w:w="1502" w:type="dxa"/>
            <w:vMerge w:val="restart"/>
            <w:shd w:val="clear" w:color="auto" w:fill="auto"/>
          </w:tcPr>
          <w:p w14:paraId="487F9C46" w14:textId="790CA0CB" w:rsidR="0064273E" w:rsidRPr="00685583" w:rsidRDefault="00AD65AB" w:rsidP="00F860F4">
            <w:pPr>
              <w:pStyle w:val="Tableheadingrow9pt"/>
              <w:rPr>
                <w:b w:val="0"/>
                <w:color w:val="auto"/>
                <w:sz w:val="17"/>
                <w:szCs w:val="17"/>
              </w:rPr>
            </w:pPr>
            <w:r w:rsidRPr="00685583">
              <w:rPr>
                <w:b w:val="0"/>
                <w:color w:val="auto"/>
                <w:sz w:val="17"/>
                <w:szCs w:val="17"/>
              </w:rPr>
              <w:t>≥94.0%</w:t>
            </w:r>
          </w:p>
        </w:tc>
        <w:tc>
          <w:tcPr>
            <w:tcW w:w="1502" w:type="dxa"/>
            <w:vMerge w:val="restart"/>
            <w:shd w:val="clear" w:color="auto" w:fill="auto"/>
          </w:tcPr>
          <w:p w14:paraId="0839BE09" w14:textId="437A08ED" w:rsidR="0064273E" w:rsidRPr="004D1ECE" w:rsidRDefault="00AD65AB" w:rsidP="00F860F4">
            <w:pPr>
              <w:pStyle w:val="Tableheadingrow9pt"/>
              <w:rPr>
                <w:b w:val="0"/>
                <w:color w:val="auto"/>
                <w:sz w:val="17"/>
                <w:szCs w:val="17"/>
              </w:rPr>
            </w:pPr>
            <w:r w:rsidRPr="004D1ECE">
              <w:rPr>
                <w:b w:val="0"/>
                <w:color w:val="auto"/>
                <w:sz w:val="17"/>
                <w:szCs w:val="17"/>
              </w:rPr>
              <w:t>≥95.0%</w:t>
            </w:r>
          </w:p>
        </w:tc>
        <w:tc>
          <w:tcPr>
            <w:tcW w:w="1502" w:type="dxa"/>
            <w:vMerge w:val="restart"/>
            <w:shd w:val="clear" w:color="auto" w:fill="auto"/>
          </w:tcPr>
          <w:p w14:paraId="629B0FC8" w14:textId="257AA728" w:rsidR="00B40285" w:rsidRPr="004D1ECE" w:rsidRDefault="00B40285" w:rsidP="00B40285">
            <w:pPr>
              <w:pStyle w:val="Tableheadingrow9pt"/>
              <w:rPr>
                <w:b w:val="0"/>
                <w:color w:val="auto"/>
                <w:sz w:val="17"/>
                <w:szCs w:val="17"/>
              </w:rPr>
            </w:pPr>
            <w:r w:rsidRPr="004D1ECE">
              <w:rPr>
                <w:b w:val="0"/>
                <w:color w:val="auto"/>
                <w:sz w:val="17"/>
                <w:szCs w:val="17"/>
              </w:rPr>
              <w:t>≥95.0%</w:t>
            </w:r>
          </w:p>
        </w:tc>
      </w:tr>
      <w:tr w:rsidR="00685583" w:rsidRPr="00685583" w14:paraId="3B60DBF2" w14:textId="77777777" w:rsidTr="008E0921">
        <w:trPr>
          <w:jc w:val="center"/>
        </w:trPr>
        <w:tc>
          <w:tcPr>
            <w:tcW w:w="1672" w:type="dxa"/>
            <w:shd w:val="clear" w:color="auto" w:fill="auto"/>
          </w:tcPr>
          <w:p w14:paraId="58B022F0" w14:textId="2FAC94A2" w:rsidR="0064273E" w:rsidRPr="00685583" w:rsidRDefault="00762AB8" w:rsidP="00F860F4">
            <w:pPr>
              <w:pStyle w:val="Tableheadingrow9pt"/>
              <w:rPr>
                <w:b w:val="0"/>
                <w:color w:val="auto"/>
              </w:rPr>
            </w:pPr>
            <w:r>
              <w:rPr>
                <w:color w:val="auto"/>
                <w:sz w:val="17"/>
                <w:szCs w:val="17"/>
              </w:rPr>
              <w:t>2021–</w:t>
            </w:r>
            <w:r w:rsidR="001055DE">
              <w:rPr>
                <w:color w:val="auto"/>
                <w:sz w:val="17"/>
                <w:szCs w:val="17"/>
              </w:rPr>
              <w:t>22</w:t>
            </w:r>
            <w:r w:rsidR="001055DE">
              <w:rPr>
                <w:color w:val="auto"/>
                <w:sz w:val="17"/>
                <w:szCs w:val="17"/>
              </w:rPr>
              <w:br/>
              <w:t>Expected Performance Result</w:t>
            </w:r>
          </w:p>
        </w:tc>
        <w:tc>
          <w:tcPr>
            <w:tcW w:w="1502" w:type="dxa"/>
            <w:vMerge/>
            <w:shd w:val="clear" w:color="auto" w:fill="auto"/>
          </w:tcPr>
          <w:p w14:paraId="43F03AD9" w14:textId="77777777" w:rsidR="0064273E" w:rsidRPr="00685583" w:rsidRDefault="0064273E" w:rsidP="00F860F4">
            <w:pPr>
              <w:pStyle w:val="Tableheadingrow9pt"/>
              <w:rPr>
                <w:b w:val="0"/>
                <w:color w:val="auto"/>
              </w:rPr>
            </w:pPr>
          </w:p>
        </w:tc>
        <w:tc>
          <w:tcPr>
            <w:tcW w:w="1502" w:type="dxa"/>
            <w:vMerge/>
            <w:shd w:val="clear" w:color="auto" w:fill="auto"/>
          </w:tcPr>
          <w:p w14:paraId="720E7876" w14:textId="77777777" w:rsidR="0064273E" w:rsidRPr="00685583" w:rsidRDefault="0064273E" w:rsidP="00F860F4">
            <w:pPr>
              <w:pStyle w:val="Tableheadingrow9pt"/>
              <w:rPr>
                <w:b w:val="0"/>
                <w:color w:val="auto"/>
              </w:rPr>
            </w:pPr>
          </w:p>
        </w:tc>
        <w:tc>
          <w:tcPr>
            <w:tcW w:w="1502" w:type="dxa"/>
            <w:vMerge/>
            <w:shd w:val="clear" w:color="auto" w:fill="auto"/>
          </w:tcPr>
          <w:p w14:paraId="30303AB5" w14:textId="77777777" w:rsidR="0064273E" w:rsidRPr="00685583" w:rsidRDefault="0064273E" w:rsidP="00F860F4">
            <w:pPr>
              <w:pStyle w:val="Tableheadingrow9pt"/>
              <w:rPr>
                <w:b w:val="0"/>
                <w:color w:val="auto"/>
              </w:rPr>
            </w:pPr>
          </w:p>
        </w:tc>
        <w:tc>
          <w:tcPr>
            <w:tcW w:w="1502" w:type="dxa"/>
            <w:vMerge/>
            <w:shd w:val="clear" w:color="auto" w:fill="auto"/>
          </w:tcPr>
          <w:p w14:paraId="52EF24BA" w14:textId="73D816D1" w:rsidR="0064273E" w:rsidRPr="00685583" w:rsidRDefault="0064273E" w:rsidP="00F860F4">
            <w:pPr>
              <w:pStyle w:val="Tableheadingrow9pt"/>
              <w:rPr>
                <w:b w:val="0"/>
                <w:color w:val="auto"/>
              </w:rPr>
            </w:pPr>
          </w:p>
        </w:tc>
      </w:tr>
      <w:tr w:rsidR="00685583" w:rsidRPr="00685583" w14:paraId="63F96B79" w14:textId="77777777" w:rsidTr="008E0921">
        <w:trPr>
          <w:jc w:val="center"/>
        </w:trPr>
        <w:tc>
          <w:tcPr>
            <w:tcW w:w="1672" w:type="dxa"/>
            <w:shd w:val="clear" w:color="auto" w:fill="auto"/>
          </w:tcPr>
          <w:p w14:paraId="761A2320" w14:textId="78979FA4" w:rsidR="0064273E" w:rsidRPr="00685583" w:rsidRDefault="004D1ECE" w:rsidP="00544AB1">
            <w:pPr>
              <w:pStyle w:val="Tableheadingrow9pt"/>
              <w:rPr>
                <w:b w:val="0"/>
                <w:color w:val="auto"/>
                <w:sz w:val="17"/>
                <w:szCs w:val="17"/>
              </w:rPr>
            </w:pPr>
            <w:r w:rsidRPr="00685583">
              <w:rPr>
                <w:b w:val="0"/>
                <w:color w:val="auto"/>
                <w:sz w:val="17"/>
                <w:szCs w:val="17"/>
              </w:rPr>
              <w:t>≥89.0%</w:t>
            </w:r>
          </w:p>
        </w:tc>
        <w:tc>
          <w:tcPr>
            <w:tcW w:w="1502" w:type="dxa"/>
            <w:vMerge/>
            <w:shd w:val="clear" w:color="auto" w:fill="auto"/>
          </w:tcPr>
          <w:p w14:paraId="7E6A2601" w14:textId="77777777" w:rsidR="0064273E" w:rsidRPr="00685583" w:rsidRDefault="0064273E" w:rsidP="00F860F4">
            <w:pPr>
              <w:pStyle w:val="Tableheadingrow9pt"/>
              <w:rPr>
                <w:b w:val="0"/>
                <w:color w:val="auto"/>
              </w:rPr>
            </w:pPr>
          </w:p>
        </w:tc>
        <w:tc>
          <w:tcPr>
            <w:tcW w:w="1502" w:type="dxa"/>
            <w:vMerge/>
            <w:shd w:val="clear" w:color="auto" w:fill="auto"/>
          </w:tcPr>
          <w:p w14:paraId="494102CD" w14:textId="77777777" w:rsidR="0064273E" w:rsidRPr="00685583" w:rsidRDefault="0064273E" w:rsidP="00F860F4">
            <w:pPr>
              <w:pStyle w:val="Tableheadingrow9pt"/>
              <w:rPr>
                <w:b w:val="0"/>
                <w:color w:val="auto"/>
              </w:rPr>
            </w:pPr>
          </w:p>
        </w:tc>
        <w:tc>
          <w:tcPr>
            <w:tcW w:w="1502" w:type="dxa"/>
            <w:vMerge/>
            <w:shd w:val="clear" w:color="auto" w:fill="auto"/>
          </w:tcPr>
          <w:p w14:paraId="5E1557D9" w14:textId="77777777" w:rsidR="0064273E" w:rsidRPr="00685583" w:rsidRDefault="0064273E" w:rsidP="00F860F4">
            <w:pPr>
              <w:pStyle w:val="Tableheadingrow9pt"/>
              <w:rPr>
                <w:b w:val="0"/>
                <w:color w:val="auto"/>
              </w:rPr>
            </w:pPr>
          </w:p>
        </w:tc>
        <w:tc>
          <w:tcPr>
            <w:tcW w:w="1502" w:type="dxa"/>
            <w:vMerge/>
            <w:shd w:val="clear" w:color="auto" w:fill="auto"/>
          </w:tcPr>
          <w:p w14:paraId="2B39D051" w14:textId="74A87A56" w:rsidR="0064273E" w:rsidRPr="00685583" w:rsidRDefault="0064273E" w:rsidP="00F860F4">
            <w:pPr>
              <w:pStyle w:val="Tableheadingrow9pt"/>
              <w:rPr>
                <w:b w:val="0"/>
                <w:color w:val="auto"/>
              </w:rPr>
            </w:pPr>
          </w:p>
        </w:tc>
      </w:tr>
    </w:tbl>
    <w:p w14:paraId="45D95392" w14:textId="77777777" w:rsidR="00812A19" w:rsidRDefault="00812A19">
      <w:r>
        <w:br w:type="page"/>
      </w:r>
    </w:p>
    <w:tbl>
      <w:tblPr>
        <w:tblStyle w:val="TableGrid"/>
        <w:tblW w:w="7680" w:type="dxa"/>
        <w:jc w:val="center"/>
        <w:tblLayout w:type="fixed"/>
        <w:tblLook w:val="04A0" w:firstRow="1" w:lastRow="0" w:firstColumn="1" w:lastColumn="0" w:noHBand="0" w:noVBand="1"/>
        <w:tblCaption w:val="Table 2.1.8: Performance Measures for Program 1.7 (continued)"/>
        <w:tblDescription w:val="This table includes a performance measure for Program 1.7, with an expected performance result for 2021-22, and planned performance results for 2022-23 and the forward estimates"/>
      </w:tblPr>
      <w:tblGrid>
        <w:gridCol w:w="1672"/>
        <w:gridCol w:w="1502"/>
        <w:gridCol w:w="1502"/>
        <w:gridCol w:w="1502"/>
        <w:gridCol w:w="1502"/>
      </w:tblGrid>
      <w:tr w:rsidR="00685583" w:rsidRPr="00685583" w14:paraId="726985CF" w14:textId="77777777" w:rsidTr="00F860F4">
        <w:trPr>
          <w:jc w:val="center"/>
        </w:trPr>
        <w:tc>
          <w:tcPr>
            <w:tcW w:w="7680" w:type="dxa"/>
            <w:gridSpan w:val="5"/>
            <w:shd w:val="clear" w:color="auto" w:fill="D9D9D9" w:themeFill="background1" w:themeFillShade="D9"/>
          </w:tcPr>
          <w:p w14:paraId="6C5E22CA" w14:textId="2FB6EFBC" w:rsidR="003B0A69" w:rsidRPr="00685583" w:rsidRDefault="00F860F4" w:rsidP="003B0A69">
            <w:pPr>
              <w:rPr>
                <w:b/>
                <w:color w:val="auto"/>
                <w:sz w:val="17"/>
                <w:szCs w:val="17"/>
              </w:rPr>
            </w:pPr>
            <w:r w:rsidRPr="00685583">
              <w:rPr>
                <w:b/>
                <w:color w:val="auto"/>
                <w:sz w:val="17"/>
                <w:szCs w:val="17"/>
              </w:rPr>
              <w:lastRenderedPageBreak/>
              <w:t>Percentage of medical profess</w:t>
            </w:r>
            <w:r w:rsidR="00670159" w:rsidRPr="00685583">
              <w:rPr>
                <w:b/>
                <w:color w:val="auto"/>
                <w:sz w:val="17"/>
                <w:szCs w:val="17"/>
              </w:rPr>
              <w:t>ionals who can access</w:t>
            </w:r>
            <w:r w:rsidRPr="00685583">
              <w:rPr>
                <w:b/>
                <w:color w:val="auto"/>
                <w:sz w:val="17"/>
                <w:szCs w:val="17"/>
              </w:rPr>
              <w:t xml:space="preserve"> medical indemnity insurance without the application of a risk surcharge or a refusal of cover.</w:t>
            </w:r>
          </w:p>
        </w:tc>
      </w:tr>
      <w:tr w:rsidR="00CC420F" w:rsidRPr="00685583" w14:paraId="626D36D1" w14:textId="77777777" w:rsidTr="00F860F4">
        <w:trPr>
          <w:jc w:val="center"/>
        </w:trPr>
        <w:tc>
          <w:tcPr>
            <w:tcW w:w="1672" w:type="dxa"/>
            <w:shd w:val="clear" w:color="auto" w:fill="auto"/>
          </w:tcPr>
          <w:p w14:paraId="553F3BBA" w14:textId="51685727" w:rsidR="00CC420F" w:rsidRPr="00685583" w:rsidRDefault="00CC420F" w:rsidP="00CC420F">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762AB8">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02" w:type="dxa"/>
            <w:shd w:val="clear" w:color="auto" w:fill="auto"/>
          </w:tcPr>
          <w:p w14:paraId="75E32D34" w14:textId="4935E9C5" w:rsidR="00CC420F" w:rsidRPr="00685583" w:rsidRDefault="00CC420F" w:rsidP="00CC420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762AB8">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74A0D8B" w14:textId="379C3A9A"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762AB8">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5EF64577" w14:textId="55E147D8"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762AB8">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8D3DA5F" w14:textId="30A2589E" w:rsidR="00CC420F" w:rsidRPr="00685583" w:rsidRDefault="00CC420F" w:rsidP="00CC420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762AB8">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611574C3" w14:textId="77777777" w:rsidTr="00F860F4">
        <w:trPr>
          <w:trHeight w:val="96"/>
          <w:jc w:val="center"/>
        </w:trPr>
        <w:tc>
          <w:tcPr>
            <w:tcW w:w="1672" w:type="dxa"/>
            <w:shd w:val="clear" w:color="auto" w:fill="auto"/>
          </w:tcPr>
          <w:p w14:paraId="12DCD4A2" w14:textId="336800BA"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3CD60320" w14:textId="78E51E8C"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7942A5E8" w14:textId="555E08F2"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0CE3B9D5" w14:textId="4A5AAA58" w:rsidR="00FF2E90" w:rsidRPr="00685583" w:rsidRDefault="00AD65AB" w:rsidP="00F860F4">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175CE04C" w14:textId="02F4355D" w:rsidR="00AE38ED" w:rsidRPr="00685583" w:rsidRDefault="003D6A22" w:rsidP="005904FE">
            <w:pPr>
              <w:pStyle w:val="Tableheadingrow9pt"/>
              <w:rPr>
                <w:b w:val="0"/>
                <w:color w:val="auto"/>
                <w:sz w:val="17"/>
                <w:szCs w:val="17"/>
              </w:rPr>
            </w:pPr>
            <w:r w:rsidRPr="00685583">
              <w:rPr>
                <w:b w:val="0"/>
                <w:color w:val="auto"/>
                <w:sz w:val="17"/>
                <w:szCs w:val="17"/>
              </w:rPr>
              <w:t>95.0%</w:t>
            </w:r>
          </w:p>
        </w:tc>
      </w:tr>
      <w:tr w:rsidR="00685583" w:rsidRPr="00685583" w14:paraId="1698449C" w14:textId="77777777" w:rsidTr="00BF3C2A">
        <w:trPr>
          <w:trHeight w:val="96"/>
          <w:jc w:val="center"/>
        </w:trPr>
        <w:tc>
          <w:tcPr>
            <w:tcW w:w="1672" w:type="dxa"/>
            <w:shd w:val="clear" w:color="auto" w:fill="auto"/>
            <w:tcMar>
              <w:right w:w="57" w:type="dxa"/>
            </w:tcMar>
          </w:tcPr>
          <w:p w14:paraId="0F2D3CAD" w14:textId="7C78AEED" w:rsidR="00FF2E90" w:rsidRPr="00685583" w:rsidRDefault="00762AB8" w:rsidP="00DE7CAE">
            <w:pPr>
              <w:pStyle w:val="Tableheadingrow9pt"/>
              <w:rPr>
                <w:color w:val="auto"/>
              </w:rPr>
            </w:pPr>
            <w:r>
              <w:rPr>
                <w:color w:val="auto"/>
                <w:sz w:val="17"/>
                <w:szCs w:val="17"/>
              </w:rPr>
              <w:t>2021–</w:t>
            </w:r>
            <w:r w:rsidR="001055DE">
              <w:rPr>
                <w:color w:val="auto"/>
                <w:sz w:val="17"/>
                <w:szCs w:val="17"/>
              </w:rPr>
              <w:t>22</w:t>
            </w:r>
            <w:r w:rsidR="001055DE">
              <w:rPr>
                <w:color w:val="auto"/>
                <w:sz w:val="17"/>
                <w:szCs w:val="17"/>
              </w:rPr>
              <w:br/>
              <w:t>Expected Performance Result</w:t>
            </w:r>
          </w:p>
        </w:tc>
        <w:tc>
          <w:tcPr>
            <w:tcW w:w="1502" w:type="dxa"/>
            <w:vMerge/>
            <w:shd w:val="clear" w:color="auto" w:fill="auto"/>
          </w:tcPr>
          <w:p w14:paraId="5D109361" w14:textId="77777777" w:rsidR="00FF2E90" w:rsidRPr="00685583" w:rsidRDefault="00FF2E90" w:rsidP="00F860F4">
            <w:pPr>
              <w:pStyle w:val="Tableheadingrow9pt"/>
              <w:rPr>
                <w:color w:val="auto"/>
              </w:rPr>
            </w:pPr>
          </w:p>
        </w:tc>
        <w:tc>
          <w:tcPr>
            <w:tcW w:w="1502" w:type="dxa"/>
            <w:vMerge/>
            <w:shd w:val="clear" w:color="auto" w:fill="auto"/>
          </w:tcPr>
          <w:p w14:paraId="5FF2D730" w14:textId="77777777" w:rsidR="00FF2E90" w:rsidRPr="00685583" w:rsidRDefault="00FF2E90" w:rsidP="00F860F4">
            <w:pPr>
              <w:pStyle w:val="Tableheadingrow9pt"/>
              <w:rPr>
                <w:color w:val="auto"/>
              </w:rPr>
            </w:pPr>
          </w:p>
        </w:tc>
        <w:tc>
          <w:tcPr>
            <w:tcW w:w="1502" w:type="dxa"/>
            <w:vMerge/>
            <w:shd w:val="clear" w:color="auto" w:fill="auto"/>
          </w:tcPr>
          <w:p w14:paraId="02363C4F" w14:textId="77777777" w:rsidR="00FF2E90" w:rsidRPr="00685583" w:rsidRDefault="00FF2E90" w:rsidP="00F860F4">
            <w:pPr>
              <w:pStyle w:val="Tableheadingrow9pt"/>
              <w:rPr>
                <w:color w:val="auto"/>
              </w:rPr>
            </w:pPr>
          </w:p>
        </w:tc>
        <w:tc>
          <w:tcPr>
            <w:tcW w:w="1502" w:type="dxa"/>
            <w:vMerge/>
            <w:shd w:val="clear" w:color="auto" w:fill="auto"/>
          </w:tcPr>
          <w:p w14:paraId="44414246" w14:textId="378DFC30" w:rsidR="00FF2E90" w:rsidRPr="00685583" w:rsidRDefault="00FF2E90" w:rsidP="00F860F4">
            <w:pPr>
              <w:pStyle w:val="Tableheadingrow9pt"/>
              <w:rPr>
                <w:color w:val="auto"/>
              </w:rPr>
            </w:pPr>
          </w:p>
        </w:tc>
      </w:tr>
      <w:tr w:rsidR="00685583" w:rsidRPr="00685583" w14:paraId="16E12DE2" w14:textId="77777777" w:rsidTr="00BF3C2A">
        <w:trPr>
          <w:trHeight w:val="96"/>
          <w:jc w:val="center"/>
        </w:trPr>
        <w:tc>
          <w:tcPr>
            <w:tcW w:w="1672" w:type="dxa"/>
            <w:shd w:val="clear" w:color="auto" w:fill="auto"/>
          </w:tcPr>
          <w:p w14:paraId="6A8CCB98" w14:textId="28F4124F" w:rsidR="00CA65FF" w:rsidRPr="00685583" w:rsidRDefault="003D6A22" w:rsidP="003D6A22">
            <w:pPr>
              <w:pStyle w:val="Tableheadingrow9pt"/>
              <w:rPr>
                <w:b w:val="0"/>
                <w:color w:val="auto"/>
                <w:sz w:val="17"/>
                <w:szCs w:val="17"/>
              </w:rPr>
            </w:pPr>
            <w:r w:rsidRPr="00685583">
              <w:rPr>
                <w:b w:val="0"/>
                <w:color w:val="auto"/>
                <w:sz w:val="17"/>
                <w:szCs w:val="17"/>
              </w:rPr>
              <w:t>95.0%</w:t>
            </w:r>
          </w:p>
        </w:tc>
        <w:tc>
          <w:tcPr>
            <w:tcW w:w="1502" w:type="dxa"/>
            <w:vMerge/>
            <w:shd w:val="clear" w:color="auto" w:fill="auto"/>
          </w:tcPr>
          <w:p w14:paraId="0321E39B" w14:textId="77777777" w:rsidR="00FF2E90" w:rsidRPr="00685583" w:rsidRDefault="00FF2E90" w:rsidP="00F860F4">
            <w:pPr>
              <w:pStyle w:val="Tableheadingrow9pt"/>
              <w:rPr>
                <w:color w:val="auto"/>
              </w:rPr>
            </w:pPr>
          </w:p>
        </w:tc>
        <w:tc>
          <w:tcPr>
            <w:tcW w:w="1502" w:type="dxa"/>
            <w:vMerge/>
            <w:shd w:val="clear" w:color="auto" w:fill="auto"/>
          </w:tcPr>
          <w:p w14:paraId="462558CC" w14:textId="77777777" w:rsidR="00FF2E90" w:rsidRPr="00685583" w:rsidRDefault="00FF2E90" w:rsidP="00F860F4">
            <w:pPr>
              <w:pStyle w:val="Tableheadingrow9pt"/>
              <w:rPr>
                <w:color w:val="auto"/>
              </w:rPr>
            </w:pPr>
          </w:p>
        </w:tc>
        <w:tc>
          <w:tcPr>
            <w:tcW w:w="1502" w:type="dxa"/>
            <w:vMerge/>
            <w:shd w:val="clear" w:color="auto" w:fill="auto"/>
          </w:tcPr>
          <w:p w14:paraId="21CC5963" w14:textId="77777777" w:rsidR="00FF2E90" w:rsidRPr="00685583" w:rsidRDefault="00FF2E90" w:rsidP="00F860F4">
            <w:pPr>
              <w:pStyle w:val="Tableheadingrow9pt"/>
              <w:rPr>
                <w:color w:val="auto"/>
              </w:rPr>
            </w:pPr>
          </w:p>
        </w:tc>
        <w:tc>
          <w:tcPr>
            <w:tcW w:w="1502" w:type="dxa"/>
            <w:vMerge/>
            <w:shd w:val="clear" w:color="auto" w:fill="auto"/>
          </w:tcPr>
          <w:p w14:paraId="1A71B2B3" w14:textId="6E6DBE13" w:rsidR="00FF2E90" w:rsidRPr="00685583" w:rsidRDefault="00FF2E90" w:rsidP="00F860F4">
            <w:pPr>
              <w:pStyle w:val="Tableheadingrow9pt"/>
              <w:rPr>
                <w:color w:val="auto"/>
              </w:rPr>
            </w:pPr>
          </w:p>
        </w:tc>
      </w:tr>
      <w:tr w:rsidR="00685583" w:rsidRPr="00685583" w14:paraId="3E2772B5" w14:textId="77777777" w:rsidTr="00F860F4">
        <w:trPr>
          <w:jc w:val="center"/>
        </w:trPr>
        <w:tc>
          <w:tcPr>
            <w:tcW w:w="7680" w:type="dxa"/>
            <w:gridSpan w:val="5"/>
            <w:shd w:val="clear" w:color="auto" w:fill="auto"/>
          </w:tcPr>
          <w:p w14:paraId="57A9FB0F" w14:textId="5622175E" w:rsidR="00F860F4" w:rsidRPr="00685583" w:rsidRDefault="00F860F4" w:rsidP="00FD17AB">
            <w:pPr>
              <w:pStyle w:val="Tableheadingrow9pt"/>
              <w:rPr>
                <w:color w:val="auto"/>
              </w:rPr>
            </w:pPr>
            <w:r w:rsidRPr="00685583">
              <w:rPr>
                <w:color w:val="auto"/>
              </w:rPr>
              <w:t>Material changes to Program 1.7 resulting from the following measures:</w:t>
            </w:r>
          </w:p>
          <w:p w14:paraId="69535D19" w14:textId="49D61B73" w:rsidR="00F860F4" w:rsidRPr="00685583" w:rsidRDefault="00AD65AB" w:rsidP="00AD65AB">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7</w:t>
            </w:r>
            <w:r w:rsidRPr="00473719">
              <w:rPr>
                <w:sz w:val="17"/>
                <w:szCs w:val="17"/>
              </w:rPr>
              <w:t xml:space="preserve"> resulting from measures.</w:t>
            </w:r>
          </w:p>
        </w:tc>
      </w:tr>
    </w:tbl>
    <w:p w14:paraId="5E57612D" w14:textId="78E3CE71" w:rsidR="00076265" w:rsidRPr="00685583" w:rsidRDefault="0073538B" w:rsidP="000C1B9B">
      <w:pPr>
        <w:pStyle w:val="Tablenumberandreference"/>
        <w:pageBreakBefore/>
        <w:rPr>
          <w:color w:val="auto"/>
        </w:rPr>
      </w:pPr>
      <w:r w:rsidRPr="00685583">
        <w:rPr>
          <w:color w:val="auto"/>
        </w:rPr>
        <w:lastRenderedPageBreak/>
        <w:t>Table 2.1.</w:t>
      </w:r>
      <w:r w:rsidR="00315903" w:rsidRPr="00685583">
        <w:rPr>
          <w:color w:val="auto"/>
        </w:rPr>
        <w:t>9</w:t>
      </w:r>
      <w:r w:rsidRPr="00685583">
        <w:rPr>
          <w:color w:val="auto"/>
        </w:rPr>
        <w:t xml:space="preserve">: Performance </w:t>
      </w:r>
      <w:r w:rsidR="000F7A14" w:rsidRPr="00685583">
        <w:rPr>
          <w:color w:val="auto"/>
        </w:rPr>
        <w:t>Measures</w:t>
      </w:r>
      <w:r w:rsidR="00A21B82" w:rsidRPr="00685583">
        <w:rPr>
          <w:color w:val="auto"/>
        </w:rPr>
        <w:t xml:space="preserve"> for Program 1.8</w:t>
      </w:r>
      <w:r w:rsidR="000C1B9B">
        <w:rPr>
          <w:color w:val="auto"/>
        </w:rPr>
        <w:t xml:space="preserve"> </w:t>
      </w:r>
    </w:p>
    <w:tbl>
      <w:tblPr>
        <w:tblStyle w:val="TableGrid"/>
        <w:tblW w:w="7682" w:type="dxa"/>
        <w:jc w:val="center"/>
        <w:tblLayout w:type="fixed"/>
        <w:tblLook w:val="04A0" w:firstRow="1" w:lastRow="0" w:firstColumn="1" w:lastColumn="0" w:noHBand="0" w:noVBand="1"/>
        <w:tblCaption w:val="Table 2.1.9: Performance Measures for Program 1.8"/>
        <w:tblDescription w:val="This table outlines Program 1.8's objective and the key activities for Program 1.8. It also includes a performance measure for Program 1.8, with an expected performance result for 2021-22, and planned performance results for 2022-23 and the forward estimates"/>
      </w:tblPr>
      <w:tblGrid>
        <w:gridCol w:w="1838"/>
        <w:gridCol w:w="1461"/>
        <w:gridCol w:w="1461"/>
        <w:gridCol w:w="1461"/>
        <w:gridCol w:w="1461"/>
      </w:tblGrid>
      <w:tr w:rsidR="00685583" w:rsidRPr="00685583" w14:paraId="70CCE471" w14:textId="77777777" w:rsidTr="00BF0B74">
        <w:trPr>
          <w:trHeight w:val="50"/>
          <w:jc w:val="center"/>
        </w:trPr>
        <w:tc>
          <w:tcPr>
            <w:tcW w:w="7682" w:type="dxa"/>
            <w:gridSpan w:val="5"/>
            <w:shd w:val="clear" w:color="auto" w:fill="D9D9D9" w:themeFill="background1" w:themeFillShade="D9"/>
          </w:tcPr>
          <w:p w14:paraId="416C3F80" w14:textId="00DAE56A" w:rsidR="00DE7CAE" w:rsidRPr="00685583" w:rsidRDefault="0073538B" w:rsidP="00E7155B">
            <w:pPr>
              <w:pStyle w:val="Tableheadingrow9pt"/>
              <w:keepNext/>
              <w:rPr>
                <w:color w:val="auto"/>
              </w:rPr>
            </w:pPr>
            <w:r w:rsidRPr="00685583">
              <w:rPr>
                <w:color w:val="auto"/>
              </w:rPr>
              <w:t>Program Objective – Program 1.</w:t>
            </w:r>
            <w:r w:rsidR="00A21B82" w:rsidRPr="00685583">
              <w:rPr>
                <w:color w:val="auto"/>
              </w:rPr>
              <w:t>8</w:t>
            </w:r>
            <w:r w:rsidRPr="00685583">
              <w:rPr>
                <w:color w:val="auto"/>
              </w:rPr>
              <w:t>:</w:t>
            </w:r>
            <w:r w:rsidR="00A12316" w:rsidRPr="00685583">
              <w:rPr>
                <w:color w:val="auto"/>
              </w:rPr>
              <w:t xml:space="preserve"> Health Protection, Emergency Response and Regulation</w:t>
            </w:r>
          </w:p>
        </w:tc>
      </w:tr>
      <w:tr w:rsidR="00685583" w:rsidRPr="00685583" w14:paraId="58138164" w14:textId="77777777" w:rsidTr="00BF0B74">
        <w:trPr>
          <w:jc w:val="center"/>
        </w:trPr>
        <w:tc>
          <w:tcPr>
            <w:tcW w:w="7682" w:type="dxa"/>
            <w:gridSpan w:val="5"/>
            <w:vAlign w:val="center"/>
          </w:tcPr>
          <w:p w14:paraId="7F64C62C" w14:textId="7CB7A520" w:rsidR="008663B7" w:rsidRPr="00685583" w:rsidRDefault="008663B7" w:rsidP="00504F68">
            <w:pPr>
              <w:pStyle w:val="Heading2"/>
              <w:keepNext/>
              <w:outlineLvl w:val="1"/>
              <w:rPr>
                <w:b/>
                <w:color w:val="auto"/>
              </w:rPr>
            </w:pPr>
            <w:r w:rsidRPr="00685583">
              <w:rPr>
                <w:rFonts w:eastAsiaTheme="minorEastAsia"/>
                <w:color w:val="auto"/>
                <w:szCs w:val="20"/>
              </w:rP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w:t>
            </w:r>
            <w:r w:rsidRPr="00685583">
              <w:rPr>
                <w:color w:val="auto"/>
                <w:szCs w:val="20"/>
              </w:rPr>
              <w:t xml:space="preserve"> </w:t>
            </w:r>
            <w:r w:rsidRPr="00685583">
              <w:rPr>
                <w:rFonts w:eastAsiaTheme="minorEastAsia"/>
                <w:color w:val="auto"/>
                <w:szCs w:val="20"/>
              </w:rPr>
              <w:t>therapeutic goods</w:t>
            </w:r>
            <w:r w:rsidR="009A38B0">
              <w:rPr>
                <w:rFonts w:eastAsiaTheme="minorEastAsia"/>
                <w:color w:val="auto"/>
                <w:szCs w:val="20"/>
              </w:rPr>
              <w:t>,</w:t>
            </w:r>
            <w:r w:rsidRPr="00685583">
              <w:rPr>
                <w:rFonts w:eastAsiaTheme="minorEastAsia"/>
                <w:color w:val="auto"/>
                <w:szCs w:val="20"/>
              </w:rPr>
              <w:t xml:space="preserve"> controlled drugs</w:t>
            </w:r>
            <w:r w:rsidR="009A38B0">
              <w:rPr>
                <w:rFonts w:eastAsiaTheme="minorEastAsia"/>
                <w:color w:val="auto"/>
                <w:szCs w:val="20"/>
              </w:rPr>
              <w:t>,</w:t>
            </w:r>
            <w:r w:rsidRPr="00685583">
              <w:rPr>
                <w:rFonts w:eastAsiaTheme="minorEastAsia"/>
                <w:color w:val="auto"/>
                <w:szCs w:val="20"/>
              </w:rPr>
              <w:t xml:space="preserve"> genetically modified organisms</w:t>
            </w:r>
            <w:r w:rsidR="00864DCD" w:rsidRPr="00685583">
              <w:rPr>
                <w:rFonts w:eastAsiaTheme="minorEastAsia"/>
                <w:color w:val="auto"/>
                <w:szCs w:val="20"/>
              </w:rPr>
              <w:t xml:space="preserve"> (GMOs)</w:t>
            </w:r>
            <w:r w:rsidR="009A38B0">
              <w:rPr>
                <w:rFonts w:eastAsiaTheme="minorEastAsia"/>
                <w:color w:val="auto"/>
                <w:szCs w:val="20"/>
              </w:rPr>
              <w:t>,</w:t>
            </w:r>
            <w:r w:rsidRPr="00685583">
              <w:rPr>
                <w:rFonts w:eastAsiaTheme="minorEastAsia"/>
                <w:color w:val="auto"/>
                <w:szCs w:val="20"/>
              </w:rPr>
              <w:t xml:space="preserve"> and industrial chemicals.</w:t>
            </w:r>
          </w:p>
        </w:tc>
      </w:tr>
      <w:tr w:rsidR="00685583" w:rsidRPr="00685583" w14:paraId="6372BF6E" w14:textId="77777777" w:rsidTr="00BF0B74">
        <w:trPr>
          <w:jc w:val="center"/>
        </w:trPr>
        <w:tc>
          <w:tcPr>
            <w:tcW w:w="7682" w:type="dxa"/>
            <w:gridSpan w:val="5"/>
            <w:shd w:val="clear" w:color="auto" w:fill="D9D9D9" w:themeFill="background1" w:themeFillShade="D9"/>
          </w:tcPr>
          <w:p w14:paraId="7F57B975" w14:textId="4EBB69A1" w:rsidR="00DE7CAE" w:rsidRPr="00685583" w:rsidRDefault="00F21C80" w:rsidP="00C96A80">
            <w:pPr>
              <w:pStyle w:val="Tableheadingrow9pt"/>
              <w:rPr>
                <w:color w:val="auto"/>
              </w:rPr>
            </w:pPr>
            <w:r>
              <w:rPr>
                <w:color w:val="auto"/>
              </w:rPr>
              <w:t>Key Activities</w:t>
            </w:r>
          </w:p>
        </w:tc>
      </w:tr>
      <w:tr w:rsidR="00685583" w:rsidRPr="00685583" w14:paraId="4ED8F8C3" w14:textId="77777777" w:rsidTr="00BF0B74">
        <w:trPr>
          <w:jc w:val="center"/>
        </w:trPr>
        <w:tc>
          <w:tcPr>
            <w:tcW w:w="7682" w:type="dxa"/>
            <w:gridSpan w:val="5"/>
          </w:tcPr>
          <w:p w14:paraId="58E09A34" w14:textId="7A0BAB79" w:rsid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Strengthening preparedness to respond to public health threats and emergencies.</w:t>
            </w:r>
          </w:p>
          <w:p w14:paraId="2CBE426F" w14:textId="7C0C2120" w:rsidR="00A57180" w:rsidRPr="00F21C80" w:rsidRDefault="00A571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Coordinating the surveillance of nationally notified diseases.</w:t>
            </w:r>
            <w:r>
              <w:rPr>
                <w:rStyle w:val="FootnoteReference"/>
                <w:rFonts w:ascii="Arial" w:hAnsi="Arial" w:cs="Arial"/>
                <w:bCs/>
                <w:sz w:val="18"/>
                <w:szCs w:val="18"/>
              </w:rPr>
              <w:footnoteReference w:id="46"/>
            </w:r>
          </w:p>
          <w:p w14:paraId="3B888F76" w14:textId="5F2C86E0"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Through the National Incident Centre, engaging with states and territories</w:t>
            </w:r>
            <w:r w:rsidR="0035436D">
              <w:rPr>
                <w:rFonts w:ascii="Arial" w:hAnsi="Arial" w:cs="Arial"/>
                <w:bCs/>
                <w:sz w:val="18"/>
                <w:szCs w:val="18"/>
              </w:rPr>
              <w:t>,</w:t>
            </w:r>
            <w:r w:rsidRPr="00F21C80">
              <w:rPr>
                <w:rFonts w:ascii="Arial" w:hAnsi="Arial" w:cs="Arial"/>
                <w:bCs/>
                <w:sz w:val="18"/>
                <w:szCs w:val="18"/>
              </w:rPr>
              <w:t xml:space="preserve"> and international partners</w:t>
            </w:r>
            <w:r w:rsidR="0035436D">
              <w:rPr>
                <w:rFonts w:ascii="Arial" w:hAnsi="Arial" w:cs="Arial"/>
                <w:bCs/>
                <w:sz w:val="18"/>
                <w:szCs w:val="18"/>
              </w:rPr>
              <w:t>,</w:t>
            </w:r>
            <w:r w:rsidRPr="00F21C80">
              <w:rPr>
                <w:rFonts w:ascii="Arial" w:hAnsi="Arial" w:cs="Arial"/>
                <w:bCs/>
                <w:sz w:val="18"/>
                <w:szCs w:val="18"/>
              </w:rPr>
              <w:t xml:space="preserve"> to refine coordination arrangements to ensure Australia maintains its capacity and capability to prepare for, and respond to, health emergencies.</w:t>
            </w:r>
          </w:p>
          <w:p w14:paraId="00F48227" w14:textId="4EE25AD8"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Leading</w:t>
            </w:r>
            <w:r w:rsidR="00834082">
              <w:rPr>
                <w:rFonts w:ascii="Arial" w:hAnsi="Arial" w:cs="Arial"/>
                <w:bCs/>
                <w:sz w:val="18"/>
                <w:szCs w:val="18"/>
              </w:rPr>
              <w:t xml:space="preserve"> the Australian Government and n</w:t>
            </w:r>
            <w:r w:rsidRPr="00F21C80">
              <w:rPr>
                <w:rFonts w:ascii="Arial" w:hAnsi="Arial" w:cs="Arial"/>
                <w:bCs/>
                <w:sz w:val="18"/>
                <w:szCs w:val="18"/>
              </w:rPr>
              <w:t>ational health sector re</w:t>
            </w:r>
            <w:r w:rsidR="00A57180">
              <w:rPr>
                <w:rFonts w:ascii="Arial" w:hAnsi="Arial" w:cs="Arial"/>
                <w:bCs/>
                <w:sz w:val="18"/>
                <w:szCs w:val="18"/>
              </w:rPr>
              <w:t>sponse to</w:t>
            </w:r>
            <w:r w:rsidR="00F078CB">
              <w:rPr>
                <w:rFonts w:ascii="Arial" w:hAnsi="Arial" w:cs="Arial"/>
                <w:bCs/>
                <w:sz w:val="18"/>
                <w:szCs w:val="18"/>
              </w:rPr>
              <w:t xml:space="preserve"> health emergencies, including</w:t>
            </w:r>
            <w:r w:rsidR="00A57180">
              <w:rPr>
                <w:rFonts w:ascii="Arial" w:hAnsi="Arial" w:cs="Arial"/>
                <w:bCs/>
                <w:sz w:val="18"/>
                <w:szCs w:val="18"/>
              </w:rPr>
              <w:t xml:space="preserve"> the COVID-19 pandemic</w:t>
            </w:r>
            <w:r w:rsidR="00F078CB">
              <w:rPr>
                <w:rFonts w:ascii="Arial" w:hAnsi="Arial" w:cs="Arial"/>
                <w:bCs/>
                <w:sz w:val="18"/>
                <w:szCs w:val="18"/>
              </w:rPr>
              <w:t xml:space="preserve"> and Japanese encephalitis outbreak</w:t>
            </w:r>
            <w:r w:rsidR="00A57180">
              <w:rPr>
                <w:rFonts w:ascii="Arial" w:hAnsi="Arial" w:cs="Arial"/>
                <w:bCs/>
                <w:sz w:val="18"/>
                <w:szCs w:val="18"/>
              </w:rPr>
              <w:t>.</w:t>
            </w:r>
            <w:r w:rsidR="00A57180">
              <w:rPr>
                <w:rStyle w:val="FootnoteReference"/>
                <w:rFonts w:ascii="Arial" w:hAnsi="Arial" w:cs="Arial"/>
                <w:bCs/>
                <w:sz w:val="18"/>
                <w:szCs w:val="18"/>
              </w:rPr>
              <w:footnoteReference w:id="47"/>
            </w:r>
          </w:p>
          <w:p w14:paraId="3F31D54E" w14:textId="2B6D0444"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Regulating therapeutic goods, including vaccines, to ensure safety, efficacy, performance and quality. Promote best practice, monitor compliance, and take appropriate action to address non-compliance.</w:t>
            </w:r>
          </w:p>
          <w:p w14:paraId="13E5AF24" w14:textId="4A3F1A56" w:rsidR="000140B5" w:rsidRPr="006D0367" w:rsidRDefault="000140B5" w:rsidP="000140B5">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Improving access to therapeutic goods for consumers and streamlin</w:t>
            </w:r>
            <w:r w:rsidR="00FB3E64">
              <w:rPr>
                <w:rFonts w:ascii="Arial" w:hAnsi="Arial" w:cs="Arial"/>
                <w:bCs/>
                <w:sz w:val="18"/>
                <w:szCs w:val="18"/>
              </w:rPr>
              <w:t>ing</w:t>
            </w:r>
            <w:r w:rsidRPr="00F21C80">
              <w:rPr>
                <w:rFonts w:ascii="Arial" w:hAnsi="Arial" w:cs="Arial"/>
                <w:bCs/>
                <w:sz w:val="18"/>
                <w:szCs w:val="18"/>
              </w:rPr>
              <w:t xml:space="preserve"> regulatory processes for industry</w:t>
            </w:r>
            <w:r>
              <w:rPr>
                <w:rFonts w:ascii="Arial" w:hAnsi="Arial" w:cs="Arial"/>
                <w:bCs/>
                <w:sz w:val="18"/>
                <w:szCs w:val="18"/>
              </w:rPr>
              <w:t xml:space="preserve">, including via actioning relevant recommendations from the </w:t>
            </w:r>
            <w:r w:rsidRPr="006D0367">
              <w:rPr>
                <w:rFonts w:ascii="Arial" w:hAnsi="Arial" w:cs="Arial"/>
                <w:bCs/>
                <w:sz w:val="18"/>
                <w:szCs w:val="18"/>
              </w:rPr>
              <w:t>Inquiry by the House of Representatives Standing Committee on Health, Aged Car</w:t>
            </w:r>
            <w:r>
              <w:rPr>
                <w:rFonts w:ascii="Arial" w:hAnsi="Arial" w:cs="Arial"/>
                <w:bCs/>
                <w:sz w:val="18"/>
                <w:szCs w:val="18"/>
              </w:rPr>
              <w:t>e and Sport into</w:t>
            </w:r>
            <w:r w:rsidRPr="006D0367">
              <w:rPr>
                <w:rFonts w:ascii="Arial" w:hAnsi="Arial" w:cs="Arial"/>
                <w:bCs/>
                <w:sz w:val="18"/>
                <w:szCs w:val="18"/>
              </w:rPr>
              <w:t xml:space="preserve"> approval processes for new drugs and novel medical technologies in Australia.</w:t>
            </w:r>
            <w:r w:rsidR="00FB3E64">
              <w:rPr>
                <w:rStyle w:val="FootnoteReference"/>
                <w:rFonts w:ascii="Arial" w:hAnsi="Arial" w:cs="Arial"/>
                <w:bCs/>
                <w:sz w:val="18"/>
                <w:szCs w:val="18"/>
              </w:rPr>
              <w:footnoteReference w:id="48"/>
            </w:r>
          </w:p>
          <w:p w14:paraId="696B0B09" w14:textId="3E7DF473"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 xml:space="preserve">Delivering efficient, best practice therapeutic goods regulatory outcomes through regulatory science excellence, international collaboration and reform in accordance with the </w:t>
            </w:r>
            <w:r w:rsidRPr="009A38B0">
              <w:rPr>
                <w:rFonts w:ascii="Arial" w:hAnsi="Arial" w:cs="Arial"/>
                <w:bCs/>
                <w:sz w:val="18"/>
                <w:szCs w:val="18"/>
              </w:rPr>
              <w:t>Regulatory Science Strategy 2020–2025</w:t>
            </w:r>
            <w:r w:rsidRPr="00F21C80">
              <w:rPr>
                <w:rFonts w:ascii="Arial" w:hAnsi="Arial" w:cs="Arial"/>
                <w:bCs/>
                <w:sz w:val="18"/>
                <w:szCs w:val="18"/>
              </w:rPr>
              <w:t>.</w:t>
            </w:r>
          </w:p>
          <w:p w14:paraId="6EA8309E" w14:textId="25656634" w:rsidR="000140B5" w:rsidRDefault="000140B5" w:rsidP="000140B5">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Undertaking a range of education activities to inform the public and health professionals on reforms to the regulation of prescription opioid medicines.</w:t>
            </w:r>
            <w:r w:rsidR="00FB3E64">
              <w:rPr>
                <w:rStyle w:val="FootnoteReference"/>
                <w:rFonts w:ascii="Arial" w:hAnsi="Arial" w:cs="Arial"/>
                <w:bCs/>
                <w:sz w:val="18"/>
                <w:szCs w:val="18"/>
              </w:rPr>
              <w:footnoteReference w:id="49"/>
            </w:r>
          </w:p>
          <w:p w14:paraId="0563635E" w14:textId="0A6928A2" w:rsidR="006D2CA0" w:rsidRPr="004764EE" w:rsidRDefault="000140B5" w:rsidP="006D2CA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R</w:t>
            </w:r>
            <w:r w:rsidRPr="00497B13">
              <w:rPr>
                <w:rFonts w:ascii="Arial" w:hAnsi="Arial" w:cs="Arial"/>
                <w:bCs/>
                <w:sz w:val="18"/>
                <w:szCs w:val="18"/>
              </w:rPr>
              <w:t>egulati</w:t>
            </w:r>
            <w:r w:rsidR="0035436D">
              <w:rPr>
                <w:rFonts w:ascii="Arial" w:hAnsi="Arial" w:cs="Arial"/>
                <w:bCs/>
                <w:sz w:val="18"/>
                <w:szCs w:val="18"/>
              </w:rPr>
              <w:t>ng</w:t>
            </w:r>
            <w:r w:rsidRPr="00497B13">
              <w:rPr>
                <w:rFonts w:ascii="Arial" w:hAnsi="Arial" w:cs="Arial"/>
                <w:bCs/>
                <w:sz w:val="18"/>
                <w:szCs w:val="18"/>
              </w:rPr>
              <w:t xml:space="preserve"> nicotine liquid (vaping)</w:t>
            </w:r>
            <w:r>
              <w:rPr>
                <w:rFonts w:ascii="Arial" w:hAnsi="Arial" w:cs="Arial"/>
                <w:bCs/>
                <w:sz w:val="18"/>
                <w:szCs w:val="18"/>
              </w:rPr>
              <w:t xml:space="preserve"> products</w:t>
            </w:r>
            <w:r w:rsidRPr="00497B13">
              <w:rPr>
                <w:rFonts w:ascii="Arial" w:hAnsi="Arial" w:cs="Arial"/>
                <w:bCs/>
                <w:sz w:val="18"/>
                <w:szCs w:val="18"/>
              </w:rPr>
              <w:t xml:space="preserve">, including education, compliance, </w:t>
            </w:r>
            <w:r w:rsidR="00E01026">
              <w:rPr>
                <w:rFonts w:ascii="Arial" w:hAnsi="Arial" w:cs="Arial"/>
                <w:bCs/>
                <w:sz w:val="18"/>
                <w:szCs w:val="18"/>
              </w:rPr>
              <w:t xml:space="preserve">and </w:t>
            </w:r>
            <w:r w:rsidR="0035436D">
              <w:rPr>
                <w:rFonts w:ascii="Arial" w:hAnsi="Arial" w:cs="Arial"/>
                <w:bCs/>
                <w:sz w:val="18"/>
                <w:szCs w:val="18"/>
              </w:rPr>
              <w:t xml:space="preserve">a </w:t>
            </w:r>
            <w:r w:rsidRPr="00497B13">
              <w:rPr>
                <w:rFonts w:ascii="Arial" w:hAnsi="Arial" w:cs="Arial"/>
                <w:bCs/>
                <w:sz w:val="18"/>
                <w:szCs w:val="18"/>
              </w:rPr>
              <w:t xml:space="preserve">2022 review of </w:t>
            </w:r>
            <w:r>
              <w:rPr>
                <w:rFonts w:ascii="Arial" w:hAnsi="Arial" w:cs="Arial"/>
                <w:bCs/>
                <w:sz w:val="18"/>
                <w:szCs w:val="18"/>
              </w:rPr>
              <w:t xml:space="preserve">this </w:t>
            </w:r>
            <w:r w:rsidRPr="00497B13">
              <w:rPr>
                <w:rFonts w:ascii="Arial" w:hAnsi="Arial" w:cs="Arial"/>
                <w:bCs/>
                <w:sz w:val="18"/>
                <w:szCs w:val="18"/>
              </w:rPr>
              <w:t>regulation</w:t>
            </w:r>
            <w:r>
              <w:rPr>
                <w:rFonts w:ascii="Arial" w:hAnsi="Arial" w:cs="Arial"/>
                <w:bCs/>
                <w:sz w:val="18"/>
                <w:szCs w:val="18"/>
              </w:rPr>
              <w:t>.</w:t>
            </w:r>
            <w:r w:rsidR="00FB3E64">
              <w:rPr>
                <w:rStyle w:val="FootnoteReference"/>
                <w:rFonts w:ascii="Arial" w:hAnsi="Arial" w:cs="Arial"/>
                <w:bCs/>
                <w:sz w:val="18"/>
                <w:szCs w:val="18"/>
              </w:rPr>
              <w:footnoteReference w:id="50"/>
            </w:r>
          </w:p>
          <w:p w14:paraId="0F040AAC"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Regulating and providing advice on the import, export, cultivation, production and manufacture of controlled drugs to support Australia’s obligations under the International Narcotic Drugs Conventions.</w:t>
            </w:r>
          </w:p>
          <w:p w14:paraId="7121E30F" w14:textId="0E3A834A" w:rsidR="00AF446F" w:rsidRPr="00F21C80" w:rsidRDefault="00AF446F" w:rsidP="00AF446F">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Regulating the medicinal cannabis industry by issuing licences and permits</w:t>
            </w:r>
            <w:r>
              <w:rPr>
                <w:rFonts w:ascii="Arial" w:hAnsi="Arial" w:cs="Arial"/>
                <w:bCs/>
                <w:sz w:val="18"/>
                <w:szCs w:val="18"/>
              </w:rPr>
              <w:t>,</w:t>
            </w:r>
            <w:r w:rsidRPr="00F21C80">
              <w:rPr>
                <w:rFonts w:ascii="Arial" w:hAnsi="Arial" w:cs="Arial"/>
                <w:bCs/>
                <w:sz w:val="18"/>
                <w:szCs w:val="18"/>
              </w:rPr>
              <w:t xml:space="preserve"> support</w:t>
            </w:r>
            <w:r>
              <w:rPr>
                <w:rFonts w:ascii="Arial" w:hAnsi="Arial" w:cs="Arial"/>
                <w:bCs/>
                <w:sz w:val="18"/>
                <w:szCs w:val="18"/>
              </w:rPr>
              <w:t xml:space="preserve">ing </w:t>
            </w:r>
            <w:r w:rsidRPr="00F21C80">
              <w:rPr>
                <w:rFonts w:ascii="Arial" w:hAnsi="Arial" w:cs="Arial"/>
                <w:bCs/>
                <w:sz w:val="18"/>
                <w:szCs w:val="18"/>
              </w:rPr>
              <w:t>domestic patient and international export requirements, and liaising with law enforcement and state and territory regulatory authorities.</w:t>
            </w:r>
          </w:p>
          <w:p w14:paraId="685C4D4C"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Supporting Australian and state and territory law enforcement by regulating the import of chemicals which could be diverted into illicit drug manufacture.</w:t>
            </w:r>
          </w:p>
          <w:p w14:paraId="380E4FED" w14:textId="6C559349"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Completing industrial chemical risk assessments and evaluations within statutory timeframes under the Australian Industrial Chemicals Introduction Scheme</w:t>
            </w:r>
            <w:r w:rsidR="009A38B0">
              <w:rPr>
                <w:rFonts w:ascii="Arial" w:hAnsi="Arial" w:cs="Arial"/>
                <w:bCs/>
                <w:sz w:val="18"/>
                <w:szCs w:val="18"/>
              </w:rPr>
              <w:t>,</w:t>
            </w:r>
            <w:r w:rsidRPr="00F21C80">
              <w:rPr>
                <w:rFonts w:ascii="Arial" w:hAnsi="Arial" w:cs="Arial"/>
                <w:bCs/>
                <w:sz w:val="18"/>
                <w:szCs w:val="18"/>
              </w:rPr>
              <w:t xml:space="preserve"> to provide the Australian community with access to information about the safe use of industrial chemicals, and support innovation by Australian businesses.</w:t>
            </w:r>
          </w:p>
          <w:p w14:paraId="181CFF7B" w14:textId="60CEBEEB"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Raising awareness of regulatory obligations and monitor</w:t>
            </w:r>
            <w:r w:rsidR="0035436D">
              <w:rPr>
                <w:rFonts w:ascii="Arial" w:hAnsi="Arial" w:cs="Arial"/>
                <w:bCs/>
                <w:sz w:val="18"/>
                <w:szCs w:val="18"/>
              </w:rPr>
              <w:t>ing</w:t>
            </w:r>
            <w:r w:rsidRPr="00F21C80">
              <w:rPr>
                <w:rFonts w:ascii="Arial" w:hAnsi="Arial" w:cs="Arial"/>
                <w:bCs/>
                <w:sz w:val="18"/>
                <w:szCs w:val="18"/>
              </w:rPr>
              <w:t xml:space="preserve"> compliance among industrial chemical introducers.</w:t>
            </w:r>
          </w:p>
          <w:p w14:paraId="2B81D6FE"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lastRenderedPageBreak/>
              <w:t xml:space="preserve">Limiting the use of animal test data while maintaining human health and environment protections in accordance with the </w:t>
            </w:r>
            <w:r w:rsidRPr="00F21C80">
              <w:rPr>
                <w:rFonts w:ascii="Arial" w:hAnsi="Arial" w:cs="Arial"/>
                <w:bCs/>
                <w:i/>
                <w:sz w:val="18"/>
                <w:szCs w:val="18"/>
              </w:rPr>
              <w:t>Industrial Chemicals Act 2019</w:t>
            </w:r>
            <w:r w:rsidRPr="00F21C80">
              <w:rPr>
                <w:rFonts w:ascii="Arial" w:hAnsi="Arial" w:cs="Arial"/>
                <w:bCs/>
                <w:sz w:val="18"/>
                <w:szCs w:val="18"/>
              </w:rPr>
              <w:t>.</w:t>
            </w:r>
          </w:p>
          <w:p w14:paraId="2F21A8CA" w14:textId="54437102"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 xml:space="preserve">Administering the National Gene Technology Scheme by assessing applications and issuing approvals, and by conducting routine inspections of certified facilities and licensed activities with </w:t>
            </w:r>
            <w:r w:rsidR="006D2CA0">
              <w:rPr>
                <w:rFonts w:ascii="Arial" w:hAnsi="Arial" w:cs="Arial"/>
                <w:bCs/>
                <w:sz w:val="18"/>
                <w:szCs w:val="18"/>
              </w:rPr>
              <w:t>genetically modified organisms (GMOs)</w:t>
            </w:r>
            <w:r w:rsidRPr="00F21C80">
              <w:rPr>
                <w:rFonts w:ascii="Arial" w:hAnsi="Arial" w:cs="Arial"/>
                <w:bCs/>
                <w:sz w:val="18"/>
                <w:szCs w:val="18"/>
              </w:rPr>
              <w:t>.</w:t>
            </w:r>
          </w:p>
          <w:p w14:paraId="3955110B"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Supporting a modern, flexible and innovative National Gene Technology Scheme.</w:t>
            </w:r>
          </w:p>
          <w:p w14:paraId="0F7BADAA" w14:textId="2A003D33"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 xml:space="preserve">Working with </w:t>
            </w:r>
            <w:r w:rsidR="009A38B0">
              <w:rPr>
                <w:rFonts w:ascii="Arial" w:hAnsi="Arial" w:cs="Arial"/>
                <w:bCs/>
                <w:sz w:val="18"/>
                <w:szCs w:val="18"/>
              </w:rPr>
              <w:t xml:space="preserve">the </w:t>
            </w:r>
            <w:r w:rsidRPr="00F21C80">
              <w:rPr>
                <w:rFonts w:ascii="Arial" w:hAnsi="Arial" w:cs="Arial"/>
                <w:bCs/>
                <w:sz w:val="18"/>
                <w:szCs w:val="18"/>
              </w:rPr>
              <w:t>Australian and state and territory governments to implement recommendations outlined in the Third Review of the National Gene Technology Scheme.</w:t>
            </w:r>
          </w:p>
          <w:p w14:paraId="16C1FDFF" w14:textId="5FE69FDA"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Operationalising legislative changes resulting from the Third Review of the National Gene Technology Scheme</w:t>
            </w:r>
            <w:r w:rsidR="0035436D">
              <w:rPr>
                <w:rFonts w:ascii="Arial" w:hAnsi="Arial" w:cs="Arial"/>
                <w:bCs/>
                <w:sz w:val="18"/>
                <w:szCs w:val="18"/>
              </w:rPr>
              <w:t>.</w:t>
            </w:r>
          </w:p>
          <w:p w14:paraId="2B39CBB2" w14:textId="5EDE63D5"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Implementing the National Strategies for Blood Borne Viruses (BBV) and Sexually Transmissible Infections (STI) 2018–2022, and support</w:t>
            </w:r>
            <w:r w:rsidR="00812A19">
              <w:rPr>
                <w:rFonts w:ascii="Arial" w:hAnsi="Arial" w:cs="Arial"/>
                <w:bCs/>
                <w:sz w:val="18"/>
                <w:szCs w:val="18"/>
              </w:rPr>
              <w:t>ing</w:t>
            </w:r>
            <w:r w:rsidRPr="00F21C80">
              <w:rPr>
                <w:rFonts w:ascii="Arial" w:hAnsi="Arial" w:cs="Arial"/>
                <w:bCs/>
                <w:sz w:val="18"/>
                <w:szCs w:val="18"/>
              </w:rPr>
              <w:t xml:space="preserve"> a coordinated response to reducing the spread of BBV and STI.</w:t>
            </w:r>
          </w:p>
          <w:p w14:paraId="63483E02" w14:textId="663893BC"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Continu</w:t>
            </w:r>
            <w:r w:rsidR="009A38B0">
              <w:rPr>
                <w:rFonts w:ascii="Arial" w:hAnsi="Arial" w:cs="Arial"/>
                <w:bCs/>
                <w:sz w:val="18"/>
                <w:szCs w:val="18"/>
              </w:rPr>
              <w:t>ing</w:t>
            </w:r>
            <w:r w:rsidRPr="00F21C80">
              <w:rPr>
                <w:rFonts w:ascii="Arial" w:hAnsi="Arial" w:cs="Arial"/>
                <w:bCs/>
                <w:sz w:val="18"/>
                <w:szCs w:val="18"/>
              </w:rPr>
              <w:t xml:space="preserve"> compliance with the World Health Organization’s (WHO) International Health Regulations (2005) core capacities.</w:t>
            </w:r>
          </w:p>
          <w:p w14:paraId="657FC477"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Maintaining a strategic reserve of essential pharmaceuticals and personal protective equipment through the National Medical Stockpile.</w:t>
            </w:r>
          </w:p>
          <w:p w14:paraId="71A0FF17" w14:textId="77777777"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 xml:space="preserve">Ensuring Australia has a readily available supply of </w:t>
            </w:r>
            <w:proofErr w:type="spellStart"/>
            <w:r w:rsidRPr="00F21C80">
              <w:rPr>
                <w:rFonts w:ascii="Arial" w:hAnsi="Arial" w:cs="Arial"/>
                <w:bCs/>
                <w:sz w:val="18"/>
                <w:szCs w:val="18"/>
              </w:rPr>
              <w:t>antivenoms</w:t>
            </w:r>
            <w:proofErr w:type="spellEnd"/>
            <w:r w:rsidRPr="00F21C80">
              <w:rPr>
                <w:rFonts w:ascii="Arial" w:hAnsi="Arial" w:cs="Arial"/>
                <w:bCs/>
                <w:sz w:val="18"/>
                <w:szCs w:val="18"/>
              </w:rPr>
              <w:t>, Q fever and pandemic influenza vaccines.</w:t>
            </w:r>
          </w:p>
          <w:p w14:paraId="48670AD8" w14:textId="35DC4C1E" w:rsidR="00F21C80" w:rsidRPr="00F21C80"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Providing a One Health response to detect, address and respond to the threat of antimicrobial resistance (AMR).</w:t>
            </w:r>
          </w:p>
          <w:p w14:paraId="6C8BB4C4" w14:textId="77777777" w:rsidR="00661C22" w:rsidRDefault="00F21C8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F21C80">
              <w:rPr>
                <w:rFonts w:ascii="Arial" w:hAnsi="Arial" w:cs="Arial"/>
                <w:bCs/>
                <w:sz w:val="18"/>
                <w:szCs w:val="18"/>
              </w:rPr>
              <w:t xml:space="preserve">Providing national direction to minimise the spread of antimicrobial resistance and implement </w:t>
            </w:r>
            <w:r w:rsidRPr="00F21C80">
              <w:rPr>
                <w:rFonts w:ascii="Arial" w:hAnsi="Arial" w:cs="Arial"/>
                <w:bCs/>
                <w:i/>
                <w:sz w:val="18"/>
                <w:szCs w:val="18"/>
              </w:rPr>
              <w:t>Australia’s National AMR Strategy – 2020</w:t>
            </w:r>
            <w:r w:rsidRPr="00F21C80">
              <w:rPr>
                <w:rFonts w:ascii="Arial" w:hAnsi="Arial" w:cs="Arial"/>
                <w:bCs/>
                <w:sz w:val="18"/>
                <w:szCs w:val="18"/>
              </w:rPr>
              <w:t xml:space="preserve"> </w:t>
            </w:r>
            <w:r w:rsidRPr="00834082">
              <w:rPr>
                <w:rFonts w:ascii="Arial" w:hAnsi="Arial" w:cs="Arial"/>
                <w:bCs/>
                <w:i/>
                <w:sz w:val="18"/>
                <w:szCs w:val="18"/>
              </w:rPr>
              <w:t>and beyond</w:t>
            </w:r>
            <w:r w:rsidRPr="00F21C80">
              <w:rPr>
                <w:rFonts w:ascii="Arial" w:hAnsi="Arial" w:cs="Arial"/>
                <w:bCs/>
                <w:sz w:val="18"/>
                <w:szCs w:val="18"/>
              </w:rPr>
              <w:t>, including the development of supporting action plans.</w:t>
            </w:r>
          </w:p>
          <w:p w14:paraId="764EF9FB" w14:textId="1384A364" w:rsidR="00B44DD0" w:rsidRPr="00F21C80" w:rsidRDefault="00B44DD0" w:rsidP="00F21C80">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 xml:space="preserve">Delivering </w:t>
            </w:r>
            <w:r w:rsidRPr="00B70362">
              <w:rPr>
                <w:rFonts w:ascii="Arial" w:hAnsi="Arial" w:cs="Arial"/>
                <w:bCs/>
                <w:sz w:val="18"/>
                <w:szCs w:val="18"/>
              </w:rPr>
              <w:t xml:space="preserve">a national </w:t>
            </w:r>
            <w:r>
              <w:rPr>
                <w:rFonts w:ascii="Arial" w:hAnsi="Arial" w:cs="Arial"/>
                <w:bCs/>
                <w:sz w:val="18"/>
                <w:szCs w:val="18"/>
              </w:rPr>
              <w:t>response</w:t>
            </w:r>
            <w:r w:rsidRPr="00B70362">
              <w:rPr>
                <w:rFonts w:ascii="Arial" w:hAnsi="Arial" w:cs="Arial"/>
                <w:bCs/>
                <w:sz w:val="18"/>
                <w:szCs w:val="18"/>
              </w:rPr>
              <w:t xml:space="preserve"> </w:t>
            </w:r>
            <w:r>
              <w:rPr>
                <w:rFonts w:ascii="Arial" w:hAnsi="Arial" w:cs="Arial"/>
                <w:bCs/>
                <w:sz w:val="18"/>
                <w:szCs w:val="18"/>
              </w:rPr>
              <w:t>for</w:t>
            </w:r>
            <w:r w:rsidRPr="00B70362">
              <w:rPr>
                <w:rFonts w:ascii="Arial" w:hAnsi="Arial" w:cs="Arial"/>
                <w:bCs/>
                <w:sz w:val="18"/>
                <w:szCs w:val="18"/>
              </w:rPr>
              <w:t xml:space="preserve"> the prevention, early identification, control and management of accelerated silicosis caused by engineered</w:t>
            </w:r>
            <w:r>
              <w:rPr>
                <w:rFonts w:ascii="Arial" w:hAnsi="Arial" w:cs="Arial"/>
                <w:bCs/>
                <w:sz w:val="18"/>
                <w:szCs w:val="18"/>
              </w:rPr>
              <w:t xml:space="preserve"> stone, and other dust diseases.</w:t>
            </w:r>
            <w:r>
              <w:rPr>
                <w:rStyle w:val="FootnoteReference"/>
                <w:rFonts w:ascii="Arial" w:hAnsi="Arial" w:cs="Arial"/>
                <w:bCs/>
                <w:sz w:val="18"/>
                <w:szCs w:val="18"/>
              </w:rPr>
              <w:footnoteReference w:id="51"/>
            </w:r>
          </w:p>
        </w:tc>
      </w:tr>
      <w:tr w:rsidR="00685583" w:rsidRPr="00685583" w14:paraId="55A57CDE" w14:textId="77777777" w:rsidTr="00BF0B74">
        <w:trPr>
          <w:jc w:val="center"/>
        </w:trPr>
        <w:tc>
          <w:tcPr>
            <w:tcW w:w="7682" w:type="dxa"/>
            <w:gridSpan w:val="5"/>
            <w:shd w:val="clear" w:color="auto" w:fill="D9D9D9" w:themeFill="background1" w:themeFillShade="D9"/>
          </w:tcPr>
          <w:p w14:paraId="74CC1DF0" w14:textId="7E7418F4" w:rsidR="00DE7CAE" w:rsidRPr="00685583" w:rsidRDefault="008663B7" w:rsidP="003B0A69">
            <w:pPr>
              <w:pStyle w:val="Tableheadingrow9pt"/>
              <w:rPr>
                <w:color w:val="auto"/>
              </w:rPr>
            </w:pPr>
            <w:r w:rsidRPr="00685583">
              <w:rPr>
                <w:color w:val="auto"/>
              </w:rPr>
              <w:lastRenderedPageBreak/>
              <w:t>Performance Measures</w:t>
            </w:r>
          </w:p>
        </w:tc>
      </w:tr>
      <w:tr w:rsidR="00685583" w:rsidRPr="00685583" w14:paraId="443EBE87" w14:textId="77777777" w:rsidTr="00BF0B74">
        <w:trPr>
          <w:jc w:val="center"/>
        </w:trPr>
        <w:tc>
          <w:tcPr>
            <w:tcW w:w="7682" w:type="dxa"/>
            <w:gridSpan w:val="5"/>
            <w:shd w:val="clear" w:color="auto" w:fill="D9D9D9" w:themeFill="background1" w:themeFillShade="D9"/>
          </w:tcPr>
          <w:p w14:paraId="48B43414" w14:textId="766E6DB5" w:rsidR="003B0A69" w:rsidRPr="00685583" w:rsidRDefault="008663B7" w:rsidP="003B0A69">
            <w:pPr>
              <w:pStyle w:val="Tableheadingrow9pt"/>
              <w:rPr>
                <w:color w:val="auto"/>
                <w:sz w:val="17"/>
                <w:szCs w:val="17"/>
              </w:rPr>
            </w:pPr>
            <w:r w:rsidRPr="00685583">
              <w:rPr>
                <w:color w:val="auto"/>
                <w:sz w:val="17"/>
                <w:szCs w:val="17"/>
              </w:rPr>
              <w:t>Percentage of therapeutic goods evaluations that meet statutory timeframes.</w:t>
            </w:r>
          </w:p>
        </w:tc>
      </w:tr>
      <w:tr w:rsidR="00CC420F" w:rsidRPr="00685583" w14:paraId="4C728AC0" w14:textId="77777777" w:rsidTr="006C50E3">
        <w:trPr>
          <w:jc w:val="center"/>
        </w:trPr>
        <w:tc>
          <w:tcPr>
            <w:tcW w:w="1838" w:type="dxa"/>
            <w:shd w:val="clear" w:color="auto" w:fill="auto"/>
          </w:tcPr>
          <w:p w14:paraId="36202406" w14:textId="3D895638" w:rsidR="00CC420F" w:rsidRPr="00685583" w:rsidRDefault="00CC420F" w:rsidP="00CC420F">
            <w:pPr>
              <w:pStyle w:val="Tableheadingrowmeasures85pt"/>
              <w:rPr>
                <w:color w:val="auto"/>
              </w:rPr>
            </w:pPr>
            <w:r>
              <w:rPr>
                <w:color w:val="auto"/>
              </w:rPr>
              <w:t>Current Year</w:t>
            </w:r>
            <w:r>
              <w:rPr>
                <w:color w:val="auto"/>
              </w:rPr>
              <w:br/>
            </w:r>
            <w:r w:rsidRPr="005D0368">
              <w:rPr>
                <w:color w:val="auto"/>
              </w:rPr>
              <w:t>202</w:t>
            </w:r>
            <w:r>
              <w:rPr>
                <w:color w:val="auto"/>
              </w:rPr>
              <w:t>1</w:t>
            </w:r>
            <w:r w:rsidR="00762AB8">
              <w:rPr>
                <w:color w:val="auto"/>
              </w:rPr>
              <w:t>–</w:t>
            </w:r>
            <w:r w:rsidRPr="005D0368">
              <w:rPr>
                <w:color w:val="auto"/>
              </w:rPr>
              <w:t>2</w:t>
            </w:r>
            <w:r>
              <w:rPr>
                <w:color w:val="auto"/>
              </w:rPr>
              <w:t>2</w:t>
            </w:r>
            <w:r>
              <w:rPr>
                <w:color w:val="auto"/>
              </w:rPr>
              <w:br/>
              <w:t>Planned Performance Result</w:t>
            </w:r>
          </w:p>
        </w:tc>
        <w:tc>
          <w:tcPr>
            <w:tcW w:w="1461" w:type="dxa"/>
            <w:shd w:val="clear" w:color="auto" w:fill="auto"/>
          </w:tcPr>
          <w:p w14:paraId="574F16E9" w14:textId="3953BD41" w:rsidR="00CC420F" w:rsidRPr="00685583" w:rsidRDefault="00CC420F" w:rsidP="00CC420F">
            <w:pPr>
              <w:pStyle w:val="Tableheadingrowmeasures85pt"/>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461" w:type="dxa"/>
            <w:shd w:val="clear" w:color="auto" w:fill="auto"/>
          </w:tcPr>
          <w:p w14:paraId="0A12D200" w14:textId="557E3048"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461" w:type="dxa"/>
            <w:shd w:val="clear" w:color="auto" w:fill="auto"/>
          </w:tcPr>
          <w:p w14:paraId="0DDD41B4" w14:textId="7DB22BAF"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461" w:type="dxa"/>
            <w:shd w:val="clear" w:color="auto" w:fill="auto"/>
          </w:tcPr>
          <w:p w14:paraId="0F0EF8FC" w14:textId="7470F7E5" w:rsidR="00CC420F" w:rsidRPr="00685583" w:rsidRDefault="00CC420F" w:rsidP="00CC420F">
            <w:pPr>
              <w:pStyle w:val="Tableheadingrowmeasures85pt"/>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685583" w:rsidRPr="00685583" w14:paraId="1B568891" w14:textId="77777777" w:rsidTr="006C50E3">
        <w:trPr>
          <w:trHeight w:val="227"/>
          <w:jc w:val="center"/>
        </w:trPr>
        <w:tc>
          <w:tcPr>
            <w:tcW w:w="1838" w:type="dxa"/>
            <w:shd w:val="clear" w:color="auto" w:fill="auto"/>
          </w:tcPr>
          <w:p w14:paraId="6141D239" w14:textId="4CB2AD23" w:rsidR="00A50579" w:rsidRPr="00685583" w:rsidRDefault="00DE7CAE" w:rsidP="009648C4">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5BC1D8C5" w14:textId="329328A1" w:rsidR="00A50579" w:rsidRPr="00685583" w:rsidRDefault="00DE7CAE" w:rsidP="008E0921">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352AB2D1" w14:textId="7F54087A" w:rsidR="00A50579" w:rsidRPr="00685583" w:rsidRDefault="00DE7CAE" w:rsidP="009B28AA">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41292E5B" w14:textId="0DCE6922" w:rsidR="00A50579" w:rsidRPr="00685583" w:rsidRDefault="00DE7CAE" w:rsidP="00240D96">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421ADB29" w14:textId="7F73E8B7" w:rsidR="00A50579" w:rsidRPr="00685583" w:rsidRDefault="00C96A80" w:rsidP="009B28AA">
            <w:pPr>
              <w:pStyle w:val="Tableheadingrow9pt"/>
              <w:rPr>
                <w:b w:val="0"/>
                <w:color w:val="auto"/>
                <w:sz w:val="17"/>
                <w:szCs w:val="17"/>
              </w:rPr>
            </w:pPr>
            <w:r w:rsidRPr="00C96A80">
              <w:rPr>
                <w:b w:val="0"/>
                <w:color w:val="auto"/>
                <w:sz w:val="17"/>
                <w:szCs w:val="17"/>
              </w:rPr>
              <w:t>100%</w:t>
            </w:r>
          </w:p>
        </w:tc>
      </w:tr>
      <w:tr w:rsidR="00685583" w:rsidRPr="00685583" w14:paraId="69628CF0" w14:textId="77777777" w:rsidTr="006C50E3">
        <w:trPr>
          <w:jc w:val="center"/>
        </w:trPr>
        <w:tc>
          <w:tcPr>
            <w:tcW w:w="1838" w:type="dxa"/>
            <w:tcBorders>
              <w:top w:val="single" w:sz="4" w:space="0" w:color="auto"/>
            </w:tcBorders>
            <w:shd w:val="clear" w:color="auto" w:fill="auto"/>
          </w:tcPr>
          <w:p w14:paraId="33D7719D" w14:textId="752B260A" w:rsidR="00A50579" w:rsidRPr="00685583" w:rsidRDefault="00762AB8" w:rsidP="00DE7CAE">
            <w:pPr>
              <w:pStyle w:val="Tableheadingrow9pt"/>
              <w:rPr>
                <w:b w:val="0"/>
                <w:color w:val="auto"/>
                <w:sz w:val="17"/>
                <w:szCs w:val="17"/>
              </w:rPr>
            </w:pPr>
            <w:r>
              <w:rPr>
                <w:color w:val="auto"/>
                <w:sz w:val="17"/>
                <w:szCs w:val="17"/>
              </w:rPr>
              <w:t>2021–</w:t>
            </w:r>
            <w:r w:rsidR="001055DE">
              <w:rPr>
                <w:color w:val="auto"/>
                <w:sz w:val="17"/>
                <w:szCs w:val="17"/>
              </w:rPr>
              <w:t>22</w:t>
            </w:r>
            <w:r w:rsidR="001055DE">
              <w:rPr>
                <w:color w:val="auto"/>
                <w:sz w:val="17"/>
                <w:szCs w:val="17"/>
              </w:rPr>
              <w:br/>
              <w:t>Expected Performance Result</w:t>
            </w:r>
          </w:p>
        </w:tc>
        <w:tc>
          <w:tcPr>
            <w:tcW w:w="1461" w:type="dxa"/>
            <w:vMerge/>
            <w:shd w:val="clear" w:color="auto" w:fill="auto"/>
          </w:tcPr>
          <w:p w14:paraId="281C78E2" w14:textId="77777777" w:rsidR="00A50579" w:rsidRPr="00685583" w:rsidRDefault="00A50579" w:rsidP="009B28AA">
            <w:pPr>
              <w:pStyle w:val="Tableheadingrow9pt"/>
              <w:rPr>
                <w:b w:val="0"/>
                <w:color w:val="auto"/>
                <w:sz w:val="17"/>
                <w:szCs w:val="17"/>
              </w:rPr>
            </w:pPr>
          </w:p>
        </w:tc>
        <w:tc>
          <w:tcPr>
            <w:tcW w:w="1461" w:type="dxa"/>
            <w:vMerge/>
            <w:shd w:val="clear" w:color="auto" w:fill="auto"/>
          </w:tcPr>
          <w:p w14:paraId="234BA598" w14:textId="77777777" w:rsidR="00A50579" w:rsidRPr="00685583" w:rsidRDefault="00A50579" w:rsidP="009B28AA">
            <w:pPr>
              <w:pStyle w:val="Tableheadingrow9pt"/>
              <w:rPr>
                <w:b w:val="0"/>
                <w:color w:val="auto"/>
                <w:sz w:val="17"/>
                <w:szCs w:val="17"/>
              </w:rPr>
            </w:pPr>
          </w:p>
        </w:tc>
        <w:tc>
          <w:tcPr>
            <w:tcW w:w="1461" w:type="dxa"/>
            <w:vMerge/>
            <w:shd w:val="clear" w:color="auto" w:fill="auto"/>
          </w:tcPr>
          <w:p w14:paraId="704507DD" w14:textId="77777777" w:rsidR="00A50579" w:rsidRPr="00685583" w:rsidRDefault="00A50579" w:rsidP="001F7D91">
            <w:pPr>
              <w:pStyle w:val="Tableheadingrow9pt"/>
              <w:rPr>
                <w:b w:val="0"/>
                <w:color w:val="auto"/>
                <w:sz w:val="17"/>
                <w:szCs w:val="17"/>
              </w:rPr>
            </w:pPr>
          </w:p>
        </w:tc>
        <w:tc>
          <w:tcPr>
            <w:tcW w:w="1461" w:type="dxa"/>
            <w:vMerge/>
            <w:shd w:val="clear" w:color="auto" w:fill="auto"/>
          </w:tcPr>
          <w:p w14:paraId="4CD6D97E" w14:textId="78D3CBF9" w:rsidR="00A50579" w:rsidRPr="00685583" w:rsidRDefault="00A50579" w:rsidP="001F7D91">
            <w:pPr>
              <w:pStyle w:val="Tableheadingrow9pt"/>
              <w:rPr>
                <w:b w:val="0"/>
                <w:color w:val="auto"/>
                <w:sz w:val="17"/>
                <w:szCs w:val="17"/>
              </w:rPr>
            </w:pPr>
          </w:p>
        </w:tc>
      </w:tr>
      <w:tr w:rsidR="00685583" w:rsidRPr="00685583" w14:paraId="73A6D4C4" w14:textId="77777777" w:rsidTr="006C50E3">
        <w:trPr>
          <w:trHeight w:val="227"/>
          <w:jc w:val="center"/>
        </w:trPr>
        <w:tc>
          <w:tcPr>
            <w:tcW w:w="1838" w:type="dxa"/>
            <w:shd w:val="clear" w:color="auto" w:fill="auto"/>
          </w:tcPr>
          <w:p w14:paraId="36B39A0C" w14:textId="7E09C29C" w:rsidR="00A11199" w:rsidRPr="00685583" w:rsidRDefault="00C96A80" w:rsidP="009648C4">
            <w:pPr>
              <w:pStyle w:val="Tableheadingrow9pt"/>
              <w:rPr>
                <w:b w:val="0"/>
                <w:color w:val="auto"/>
                <w:sz w:val="17"/>
                <w:szCs w:val="17"/>
              </w:rPr>
            </w:pPr>
            <w:r>
              <w:rPr>
                <w:b w:val="0"/>
                <w:color w:val="auto"/>
                <w:sz w:val="17"/>
                <w:szCs w:val="17"/>
              </w:rPr>
              <w:t>100%</w:t>
            </w:r>
          </w:p>
        </w:tc>
        <w:tc>
          <w:tcPr>
            <w:tcW w:w="1461" w:type="dxa"/>
            <w:vMerge/>
            <w:shd w:val="clear" w:color="auto" w:fill="auto"/>
          </w:tcPr>
          <w:p w14:paraId="406DE729"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349F9D8"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802A72A"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63613EA" w14:textId="5A8877EF" w:rsidR="00A11199" w:rsidRPr="00685583" w:rsidRDefault="00A11199" w:rsidP="009B28AA">
            <w:pPr>
              <w:pStyle w:val="Tableheadingrow9pt"/>
              <w:rPr>
                <w:b w:val="0"/>
                <w:color w:val="auto"/>
                <w:sz w:val="17"/>
                <w:szCs w:val="17"/>
              </w:rPr>
            </w:pPr>
          </w:p>
        </w:tc>
      </w:tr>
    </w:tbl>
    <w:p w14:paraId="7EEACAD3" w14:textId="77777777" w:rsidR="00B44DD0" w:rsidRDefault="00B44DD0">
      <w:r>
        <w:rPr>
          <w:b/>
        </w:rPr>
        <w:br w:type="page"/>
      </w:r>
    </w:p>
    <w:tbl>
      <w:tblPr>
        <w:tblStyle w:val="TableGrid"/>
        <w:tblW w:w="7682" w:type="dxa"/>
        <w:jc w:val="center"/>
        <w:tblLayout w:type="fixed"/>
        <w:tblLook w:val="04A0" w:firstRow="1" w:lastRow="0" w:firstColumn="1" w:lastColumn="0" w:noHBand="0" w:noVBand="1"/>
        <w:tblCaption w:val="Table 2.1.9: Performance Measures for Program 1.8 (continued)"/>
        <w:tblDescription w:val="This table includes 3 performance measures for Program 1.8, with expected performance results for 2021-22, and planned performance results for 2022-23 and the forward estimates "/>
      </w:tblPr>
      <w:tblGrid>
        <w:gridCol w:w="1669"/>
        <w:gridCol w:w="27"/>
        <w:gridCol w:w="1418"/>
        <w:gridCol w:w="57"/>
        <w:gridCol w:w="1502"/>
        <w:gridCol w:w="1502"/>
        <w:gridCol w:w="46"/>
        <w:gridCol w:w="1461"/>
      </w:tblGrid>
      <w:tr w:rsidR="00685583" w:rsidRPr="00685583" w14:paraId="0588B77B" w14:textId="77777777" w:rsidTr="00BF0B74">
        <w:trPr>
          <w:trHeight w:val="227"/>
          <w:jc w:val="center"/>
        </w:trPr>
        <w:tc>
          <w:tcPr>
            <w:tcW w:w="7682" w:type="dxa"/>
            <w:gridSpan w:val="8"/>
            <w:shd w:val="clear" w:color="auto" w:fill="D0CECE" w:themeFill="background2" w:themeFillShade="E6"/>
          </w:tcPr>
          <w:p w14:paraId="7BDDC2D7" w14:textId="32E4645B" w:rsidR="003B0A69" w:rsidRPr="00E7155B" w:rsidRDefault="009648C4" w:rsidP="003B0A69">
            <w:pPr>
              <w:pStyle w:val="Tableheadingrow9pt"/>
              <w:rPr>
                <w:color w:val="auto"/>
                <w:sz w:val="17"/>
                <w:szCs w:val="17"/>
              </w:rPr>
            </w:pPr>
            <w:r w:rsidRPr="00685583">
              <w:rPr>
                <w:color w:val="auto"/>
                <w:sz w:val="17"/>
                <w:szCs w:val="17"/>
              </w:rPr>
              <w:lastRenderedPageBreak/>
              <w:t>Number of completed medicinal cannabis inspections.</w:t>
            </w:r>
          </w:p>
        </w:tc>
      </w:tr>
      <w:tr w:rsidR="00CC420F" w:rsidRPr="00685583" w14:paraId="5DC5FD49" w14:textId="77777777" w:rsidTr="00CC420F">
        <w:trPr>
          <w:trHeight w:val="227"/>
          <w:jc w:val="center"/>
        </w:trPr>
        <w:tc>
          <w:tcPr>
            <w:tcW w:w="1696" w:type="dxa"/>
            <w:gridSpan w:val="2"/>
            <w:shd w:val="clear" w:color="auto" w:fill="auto"/>
          </w:tcPr>
          <w:p w14:paraId="5454EF4D" w14:textId="19F374D6" w:rsidR="00CC420F" w:rsidRPr="00685583" w:rsidRDefault="00CC420F" w:rsidP="00CC420F">
            <w:pPr>
              <w:pStyle w:val="Tableheadingrow9pt"/>
              <w:rPr>
                <w:b w:val="0"/>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762AB8">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418" w:type="dxa"/>
            <w:shd w:val="clear" w:color="auto" w:fill="auto"/>
          </w:tcPr>
          <w:p w14:paraId="596D34EE" w14:textId="286E412E" w:rsidR="00CC420F" w:rsidRPr="00685583" w:rsidRDefault="00CC420F" w:rsidP="00CC420F">
            <w:pPr>
              <w:pStyle w:val="Tableheadingrow9pt"/>
              <w:rPr>
                <w:b w:val="0"/>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762AB8">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59" w:type="dxa"/>
            <w:gridSpan w:val="2"/>
            <w:shd w:val="clear" w:color="auto" w:fill="auto"/>
          </w:tcPr>
          <w:p w14:paraId="4D946274" w14:textId="1A48F57C" w:rsidR="00CC420F" w:rsidRPr="00685583" w:rsidRDefault="00CC420F" w:rsidP="00CC420F">
            <w:pPr>
              <w:pStyle w:val="Tableheadingrow9pt"/>
              <w:rPr>
                <w:b w:val="0"/>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762AB8">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48" w:type="dxa"/>
            <w:gridSpan w:val="2"/>
            <w:shd w:val="clear" w:color="auto" w:fill="auto"/>
          </w:tcPr>
          <w:p w14:paraId="5091EDBB" w14:textId="6DEAD551" w:rsidR="00CC420F" w:rsidRPr="00685583" w:rsidRDefault="00CC420F" w:rsidP="00CC420F">
            <w:pPr>
              <w:pStyle w:val="Tableheadingrow9pt"/>
              <w:rPr>
                <w:b w:val="0"/>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762AB8">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461" w:type="dxa"/>
            <w:shd w:val="clear" w:color="auto" w:fill="auto"/>
          </w:tcPr>
          <w:p w14:paraId="095A06DD" w14:textId="16B0AFCC" w:rsidR="00CC420F" w:rsidRPr="00685583" w:rsidRDefault="00CC420F" w:rsidP="00CC420F">
            <w:pPr>
              <w:pStyle w:val="Tableheadingrow9pt"/>
              <w:rPr>
                <w:b w:val="0"/>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762AB8">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685583" w:rsidRPr="00685583" w14:paraId="01D2A13D" w14:textId="77777777" w:rsidTr="00CC420F">
        <w:trPr>
          <w:trHeight w:val="227"/>
          <w:jc w:val="center"/>
        </w:trPr>
        <w:tc>
          <w:tcPr>
            <w:tcW w:w="1696" w:type="dxa"/>
            <w:gridSpan w:val="2"/>
            <w:shd w:val="clear" w:color="auto" w:fill="auto"/>
          </w:tcPr>
          <w:p w14:paraId="7D9081B5" w14:textId="7537D58A" w:rsidR="009648C4" w:rsidRPr="00685583" w:rsidRDefault="00DE7CAE" w:rsidP="009648C4">
            <w:pPr>
              <w:pStyle w:val="Tableheadingrow9pt"/>
              <w:rPr>
                <w:b w:val="0"/>
                <w:color w:val="auto"/>
                <w:sz w:val="17"/>
                <w:szCs w:val="17"/>
              </w:rPr>
            </w:pPr>
            <w:r w:rsidRPr="00685583">
              <w:rPr>
                <w:b w:val="0"/>
                <w:color w:val="auto"/>
                <w:sz w:val="17"/>
                <w:szCs w:val="17"/>
              </w:rPr>
              <w:t>15</w:t>
            </w:r>
          </w:p>
        </w:tc>
        <w:tc>
          <w:tcPr>
            <w:tcW w:w="1418" w:type="dxa"/>
            <w:vMerge w:val="restart"/>
            <w:shd w:val="clear" w:color="auto" w:fill="auto"/>
          </w:tcPr>
          <w:p w14:paraId="2BCCF5EA" w14:textId="09229FEE" w:rsidR="009648C4" w:rsidRPr="00685583" w:rsidRDefault="00DE7CAE" w:rsidP="009648C4">
            <w:pPr>
              <w:pStyle w:val="Tableheadingrow9pt"/>
              <w:rPr>
                <w:b w:val="0"/>
                <w:color w:val="auto"/>
                <w:sz w:val="17"/>
                <w:szCs w:val="17"/>
              </w:rPr>
            </w:pPr>
            <w:r w:rsidRPr="00685583">
              <w:rPr>
                <w:b w:val="0"/>
                <w:color w:val="auto"/>
                <w:sz w:val="17"/>
                <w:szCs w:val="17"/>
              </w:rPr>
              <w:t>25</w:t>
            </w:r>
          </w:p>
        </w:tc>
        <w:tc>
          <w:tcPr>
            <w:tcW w:w="1559" w:type="dxa"/>
            <w:gridSpan w:val="2"/>
            <w:vMerge w:val="restart"/>
            <w:shd w:val="clear" w:color="auto" w:fill="auto"/>
          </w:tcPr>
          <w:p w14:paraId="7102E0E8" w14:textId="4817A36E" w:rsidR="009648C4" w:rsidRPr="00685583" w:rsidRDefault="00DE7CAE" w:rsidP="009648C4">
            <w:pPr>
              <w:pStyle w:val="Tableheadingrow9pt"/>
              <w:rPr>
                <w:b w:val="0"/>
                <w:color w:val="auto"/>
                <w:sz w:val="17"/>
                <w:szCs w:val="17"/>
              </w:rPr>
            </w:pPr>
            <w:r w:rsidRPr="00685583">
              <w:rPr>
                <w:b w:val="0"/>
                <w:color w:val="auto"/>
                <w:sz w:val="17"/>
                <w:szCs w:val="17"/>
              </w:rPr>
              <w:t>25</w:t>
            </w:r>
          </w:p>
        </w:tc>
        <w:tc>
          <w:tcPr>
            <w:tcW w:w="1548" w:type="dxa"/>
            <w:gridSpan w:val="2"/>
            <w:vMerge w:val="restart"/>
            <w:shd w:val="clear" w:color="auto" w:fill="auto"/>
          </w:tcPr>
          <w:p w14:paraId="167B0863" w14:textId="1EC10F08" w:rsidR="009648C4" w:rsidRPr="00685583" w:rsidRDefault="00DE7CAE" w:rsidP="009648C4">
            <w:pPr>
              <w:pStyle w:val="Tableheadingrow9pt"/>
              <w:rPr>
                <w:b w:val="0"/>
                <w:color w:val="auto"/>
                <w:sz w:val="17"/>
                <w:szCs w:val="17"/>
              </w:rPr>
            </w:pPr>
            <w:r w:rsidRPr="00685583">
              <w:rPr>
                <w:b w:val="0"/>
                <w:color w:val="auto"/>
                <w:sz w:val="17"/>
                <w:szCs w:val="17"/>
              </w:rPr>
              <w:t>25</w:t>
            </w:r>
          </w:p>
        </w:tc>
        <w:tc>
          <w:tcPr>
            <w:tcW w:w="1461" w:type="dxa"/>
            <w:vMerge w:val="restart"/>
            <w:shd w:val="clear" w:color="auto" w:fill="auto"/>
          </w:tcPr>
          <w:p w14:paraId="08FD8B38" w14:textId="30DE6FF0" w:rsidR="009648C4" w:rsidRPr="00685583" w:rsidRDefault="00C96A80" w:rsidP="009648C4">
            <w:pPr>
              <w:pStyle w:val="Tableheadingrow9pt"/>
              <w:rPr>
                <w:b w:val="0"/>
                <w:color w:val="auto"/>
                <w:sz w:val="17"/>
                <w:szCs w:val="17"/>
              </w:rPr>
            </w:pPr>
            <w:r w:rsidRPr="00685583">
              <w:rPr>
                <w:b w:val="0"/>
                <w:color w:val="auto"/>
                <w:sz w:val="17"/>
                <w:szCs w:val="17"/>
              </w:rPr>
              <w:t>25</w:t>
            </w:r>
          </w:p>
        </w:tc>
      </w:tr>
      <w:tr w:rsidR="00685583" w:rsidRPr="00685583" w14:paraId="0AEEA341" w14:textId="77777777" w:rsidTr="00CC420F">
        <w:trPr>
          <w:trHeight w:val="227"/>
          <w:jc w:val="center"/>
        </w:trPr>
        <w:tc>
          <w:tcPr>
            <w:tcW w:w="1696" w:type="dxa"/>
            <w:gridSpan w:val="2"/>
            <w:shd w:val="clear" w:color="auto" w:fill="auto"/>
          </w:tcPr>
          <w:p w14:paraId="3EF0CE86" w14:textId="3AB6C53D" w:rsidR="009648C4" w:rsidRPr="00685583" w:rsidRDefault="00762AB8" w:rsidP="00DE7CAE">
            <w:pPr>
              <w:pStyle w:val="Tableheadingrow9pt"/>
              <w:rPr>
                <w:b w:val="0"/>
                <w:color w:val="auto"/>
                <w:sz w:val="17"/>
                <w:szCs w:val="17"/>
              </w:rPr>
            </w:pPr>
            <w:r>
              <w:rPr>
                <w:color w:val="auto"/>
                <w:sz w:val="17"/>
                <w:szCs w:val="17"/>
              </w:rPr>
              <w:t>2021–</w:t>
            </w:r>
            <w:r w:rsidR="001055DE">
              <w:rPr>
                <w:color w:val="auto"/>
                <w:sz w:val="17"/>
                <w:szCs w:val="17"/>
              </w:rPr>
              <w:t>22</w:t>
            </w:r>
            <w:r w:rsidR="001055DE">
              <w:rPr>
                <w:color w:val="auto"/>
                <w:sz w:val="17"/>
                <w:szCs w:val="17"/>
              </w:rPr>
              <w:br/>
              <w:t>Expected Performance Result</w:t>
            </w:r>
          </w:p>
        </w:tc>
        <w:tc>
          <w:tcPr>
            <w:tcW w:w="1418" w:type="dxa"/>
            <w:vMerge/>
            <w:shd w:val="clear" w:color="auto" w:fill="auto"/>
          </w:tcPr>
          <w:p w14:paraId="372FB9F4" w14:textId="77777777" w:rsidR="009648C4" w:rsidRPr="00685583" w:rsidRDefault="009648C4" w:rsidP="009648C4">
            <w:pPr>
              <w:pStyle w:val="Tableheadingrow9pt"/>
              <w:rPr>
                <w:b w:val="0"/>
                <w:color w:val="auto"/>
                <w:sz w:val="17"/>
                <w:szCs w:val="17"/>
              </w:rPr>
            </w:pPr>
          </w:p>
        </w:tc>
        <w:tc>
          <w:tcPr>
            <w:tcW w:w="1559" w:type="dxa"/>
            <w:gridSpan w:val="2"/>
            <w:vMerge/>
            <w:shd w:val="clear" w:color="auto" w:fill="auto"/>
          </w:tcPr>
          <w:p w14:paraId="3CFDA639" w14:textId="77777777" w:rsidR="009648C4" w:rsidRPr="00685583" w:rsidRDefault="009648C4" w:rsidP="009648C4">
            <w:pPr>
              <w:pStyle w:val="Tableheadingrow9pt"/>
              <w:rPr>
                <w:b w:val="0"/>
                <w:color w:val="auto"/>
                <w:sz w:val="17"/>
                <w:szCs w:val="17"/>
              </w:rPr>
            </w:pPr>
          </w:p>
        </w:tc>
        <w:tc>
          <w:tcPr>
            <w:tcW w:w="1548" w:type="dxa"/>
            <w:gridSpan w:val="2"/>
            <w:vMerge/>
            <w:shd w:val="clear" w:color="auto" w:fill="auto"/>
          </w:tcPr>
          <w:p w14:paraId="69DEB7B7" w14:textId="77777777" w:rsidR="009648C4" w:rsidRPr="00685583" w:rsidRDefault="009648C4" w:rsidP="009648C4">
            <w:pPr>
              <w:pStyle w:val="Tableheadingrow9pt"/>
              <w:rPr>
                <w:b w:val="0"/>
                <w:color w:val="auto"/>
                <w:sz w:val="17"/>
                <w:szCs w:val="17"/>
              </w:rPr>
            </w:pPr>
          </w:p>
        </w:tc>
        <w:tc>
          <w:tcPr>
            <w:tcW w:w="1461" w:type="dxa"/>
            <w:vMerge/>
            <w:shd w:val="clear" w:color="auto" w:fill="auto"/>
          </w:tcPr>
          <w:p w14:paraId="203ACD9C" w14:textId="77777777" w:rsidR="009648C4" w:rsidRPr="00685583" w:rsidRDefault="009648C4" w:rsidP="009648C4">
            <w:pPr>
              <w:pStyle w:val="Tableheadingrow9pt"/>
              <w:rPr>
                <w:b w:val="0"/>
                <w:color w:val="auto"/>
                <w:sz w:val="17"/>
                <w:szCs w:val="17"/>
              </w:rPr>
            </w:pPr>
          </w:p>
        </w:tc>
      </w:tr>
      <w:tr w:rsidR="00685583" w:rsidRPr="00685583" w14:paraId="14F93956" w14:textId="77777777" w:rsidTr="00CC420F">
        <w:trPr>
          <w:trHeight w:val="227"/>
          <w:jc w:val="center"/>
        </w:trPr>
        <w:tc>
          <w:tcPr>
            <w:tcW w:w="1696" w:type="dxa"/>
            <w:gridSpan w:val="2"/>
            <w:shd w:val="clear" w:color="auto" w:fill="auto"/>
          </w:tcPr>
          <w:p w14:paraId="568322FE" w14:textId="219BDDCC" w:rsidR="009648C4" w:rsidRPr="00685583" w:rsidRDefault="005227B0" w:rsidP="009648C4">
            <w:pPr>
              <w:pStyle w:val="Tableheadingrow9pt"/>
              <w:rPr>
                <w:color w:val="auto"/>
                <w:sz w:val="17"/>
                <w:szCs w:val="17"/>
              </w:rPr>
            </w:pPr>
            <w:r>
              <w:rPr>
                <w:b w:val="0"/>
                <w:color w:val="auto"/>
                <w:sz w:val="17"/>
                <w:szCs w:val="17"/>
              </w:rPr>
              <w:t>18</w:t>
            </w:r>
          </w:p>
        </w:tc>
        <w:tc>
          <w:tcPr>
            <w:tcW w:w="1418" w:type="dxa"/>
            <w:vMerge/>
            <w:shd w:val="clear" w:color="auto" w:fill="auto"/>
          </w:tcPr>
          <w:p w14:paraId="7FE25AAA" w14:textId="77777777" w:rsidR="009648C4" w:rsidRPr="00685583" w:rsidRDefault="009648C4" w:rsidP="009648C4">
            <w:pPr>
              <w:pStyle w:val="Tableheadingrow9pt"/>
              <w:rPr>
                <w:b w:val="0"/>
                <w:color w:val="auto"/>
                <w:sz w:val="17"/>
                <w:szCs w:val="17"/>
              </w:rPr>
            </w:pPr>
          </w:p>
        </w:tc>
        <w:tc>
          <w:tcPr>
            <w:tcW w:w="1559" w:type="dxa"/>
            <w:gridSpan w:val="2"/>
            <w:vMerge/>
            <w:shd w:val="clear" w:color="auto" w:fill="auto"/>
          </w:tcPr>
          <w:p w14:paraId="29BD1748" w14:textId="77777777" w:rsidR="009648C4" w:rsidRPr="00685583" w:rsidRDefault="009648C4" w:rsidP="009648C4">
            <w:pPr>
              <w:pStyle w:val="Tableheadingrow9pt"/>
              <w:rPr>
                <w:b w:val="0"/>
                <w:color w:val="auto"/>
                <w:sz w:val="17"/>
                <w:szCs w:val="17"/>
              </w:rPr>
            </w:pPr>
          </w:p>
        </w:tc>
        <w:tc>
          <w:tcPr>
            <w:tcW w:w="1548" w:type="dxa"/>
            <w:gridSpan w:val="2"/>
            <w:vMerge/>
            <w:shd w:val="clear" w:color="auto" w:fill="auto"/>
          </w:tcPr>
          <w:p w14:paraId="5632F1CF" w14:textId="77777777" w:rsidR="009648C4" w:rsidRPr="00685583" w:rsidRDefault="009648C4" w:rsidP="009648C4">
            <w:pPr>
              <w:pStyle w:val="Tableheadingrow9pt"/>
              <w:rPr>
                <w:b w:val="0"/>
                <w:color w:val="auto"/>
                <w:sz w:val="17"/>
                <w:szCs w:val="17"/>
              </w:rPr>
            </w:pPr>
          </w:p>
        </w:tc>
        <w:tc>
          <w:tcPr>
            <w:tcW w:w="1461" w:type="dxa"/>
            <w:vMerge/>
            <w:shd w:val="clear" w:color="auto" w:fill="auto"/>
          </w:tcPr>
          <w:p w14:paraId="7B736511" w14:textId="77777777" w:rsidR="009648C4" w:rsidRPr="00685583" w:rsidRDefault="009648C4" w:rsidP="009648C4">
            <w:pPr>
              <w:pStyle w:val="Tableheadingrow9pt"/>
              <w:rPr>
                <w:b w:val="0"/>
                <w:color w:val="auto"/>
                <w:sz w:val="17"/>
                <w:szCs w:val="17"/>
              </w:rPr>
            </w:pPr>
          </w:p>
        </w:tc>
      </w:tr>
      <w:tr w:rsidR="00685583" w:rsidRPr="00685583" w14:paraId="65B71707" w14:textId="77777777" w:rsidTr="00544AB1">
        <w:trPr>
          <w:jc w:val="center"/>
        </w:trPr>
        <w:tc>
          <w:tcPr>
            <w:tcW w:w="7682" w:type="dxa"/>
            <w:gridSpan w:val="8"/>
            <w:shd w:val="clear" w:color="auto" w:fill="D9D9D9" w:themeFill="background1" w:themeFillShade="D9"/>
          </w:tcPr>
          <w:p w14:paraId="7BFC43FC" w14:textId="4E099238" w:rsidR="009648C4" w:rsidRPr="00685583" w:rsidRDefault="009648C4" w:rsidP="00093AD3">
            <w:pPr>
              <w:pStyle w:val="Tableheadingrow9pt"/>
              <w:keepNext/>
              <w:keepLines/>
              <w:numPr>
                <w:ilvl w:val="0"/>
                <w:numId w:val="9"/>
              </w:numPr>
              <w:ind w:left="284" w:hanging="284"/>
              <w:rPr>
                <w:color w:val="auto"/>
                <w:sz w:val="17"/>
                <w:szCs w:val="17"/>
              </w:rPr>
            </w:pPr>
            <w:r w:rsidRPr="00685583">
              <w:rPr>
                <w:color w:val="auto"/>
                <w:sz w:val="17"/>
                <w:szCs w:val="17"/>
              </w:rPr>
              <w:t>Percentage of GMO licence decisions made within statutory timeframes.</w:t>
            </w:r>
          </w:p>
          <w:p w14:paraId="61C1DFE4" w14:textId="754F8D30" w:rsidR="003B0A69" w:rsidRPr="00666686" w:rsidRDefault="009648C4" w:rsidP="003B0A69">
            <w:pPr>
              <w:pStyle w:val="Tableheadingrow9pt"/>
              <w:keepNext/>
              <w:keepLines/>
              <w:numPr>
                <w:ilvl w:val="0"/>
                <w:numId w:val="9"/>
              </w:numPr>
              <w:ind w:left="284" w:hanging="284"/>
              <w:rPr>
                <w:b w:val="0"/>
                <w:color w:val="auto"/>
                <w:sz w:val="17"/>
                <w:szCs w:val="17"/>
              </w:rPr>
            </w:pPr>
            <w:r w:rsidRPr="00685583">
              <w:rPr>
                <w:color w:val="auto"/>
                <w:sz w:val="17"/>
                <w:szCs w:val="17"/>
              </w:rPr>
              <w:t>Percentage of reported non-compliance</w:t>
            </w:r>
            <w:r w:rsidR="009057D9" w:rsidRPr="00685583">
              <w:rPr>
                <w:color w:val="auto"/>
                <w:sz w:val="17"/>
                <w:szCs w:val="17"/>
              </w:rPr>
              <w:t xml:space="preserve"> with the conditions of GMO approvals assessed.</w:t>
            </w:r>
          </w:p>
        </w:tc>
      </w:tr>
      <w:tr w:rsidR="00CC420F" w:rsidRPr="00685583" w14:paraId="06673525" w14:textId="77777777" w:rsidTr="00544AB1">
        <w:trPr>
          <w:jc w:val="center"/>
        </w:trPr>
        <w:tc>
          <w:tcPr>
            <w:tcW w:w="1669" w:type="dxa"/>
            <w:shd w:val="clear" w:color="auto" w:fill="FFFFFF" w:themeFill="background1"/>
          </w:tcPr>
          <w:p w14:paraId="5FB22700" w14:textId="65044E45" w:rsidR="00CC420F" w:rsidRPr="00CC420F" w:rsidRDefault="00762AB8" w:rsidP="00CC420F">
            <w:pPr>
              <w:rPr>
                <w:b/>
                <w:color w:val="auto"/>
                <w:sz w:val="17"/>
                <w:szCs w:val="17"/>
              </w:rPr>
            </w:pPr>
            <w:r>
              <w:rPr>
                <w:b/>
                <w:color w:val="auto"/>
                <w:sz w:val="17"/>
                <w:szCs w:val="17"/>
              </w:rPr>
              <w:t>Current Year</w:t>
            </w:r>
            <w:r>
              <w:rPr>
                <w:b/>
                <w:color w:val="auto"/>
                <w:sz w:val="17"/>
                <w:szCs w:val="17"/>
              </w:rPr>
              <w:br/>
              <w:t>2021–</w:t>
            </w:r>
            <w:r w:rsidR="00CC420F" w:rsidRPr="00CC420F">
              <w:rPr>
                <w:b/>
                <w:color w:val="auto"/>
                <w:sz w:val="17"/>
                <w:szCs w:val="17"/>
              </w:rPr>
              <w:t>22</w:t>
            </w:r>
            <w:r w:rsidR="00CC420F" w:rsidRPr="00CC420F">
              <w:rPr>
                <w:b/>
                <w:color w:val="auto"/>
                <w:sz w:val="17"/>
                <w:szCs w:val="17"/>
              </w:rPr>
              <w:br/>
              <w:t>Planned Performance Result</w:t>
            </w:r>
          </w:p>
        </w:tc>
        <w:tc>
          <w:tcPr>
            <w:tcW w:w="1502" w:type="dxa"/>
            <w:gridSpan w:val="3"/>
            <w:shd w:val="clear" w:color="auto" w:fill="FFFFFF" w:themeFill="background1"/>
          </w:tcPr>
          <w:p w14:paraId="508F0776" w14:textId="68FFA640" w:rsidR="00CC420F" w:rsidRPr="00CC420F" w:rsidRDefault="00762AB8" w:rsidP="00CC420F">
            <w:pPr>
              <w:rPr>
                <w:b/>
                <w:color w:val="auto"/>
                <w:sz w:val="17"/>
                <w:szCs w:val="17"/>
              </w:rPr>
            </w:pPr>
            <w:r>
              <w:rPr>
                <w:b/>
                <w:color w:val="auto"/>
                <w:sz w:val="17"/>
                <w:szCs w:val="17"/>
              </w:rPr>
              <w:t>Budget Year</w:t>
            </w:r>
            <w:r>
              <w:rPr>
                <w:b/>
                <w:color w:val="auto"/>
                <w:sz w:val="17"/>
                <w:szCs w:val="17"/>
              </w:rPr>
              <w:br/>
              <w:t>2022–</w:t>
            </w:r>
            <w:r w:rsidR="00CC420F" w:rsidRPr="00CC420F">
              <w:rPr>
                <w:b/>
                <w:color w:val="auto"/>
                <w:sz w:val="17"/>
                <w:szCs w:val="17"/>
              </w:rPr>
              <w:t>23 Planned Performance Result</w:t>
            </w:r>
          </w:p>
        </w:tc>
        <w:tc>
          <w:tcPr>
            <w:tcW w:w="1502" w:type="dxa"/>
            <w:shd w:val="clear" w:color="auto" w:fill="FFFFFF" w:themeFill="background1"/>
          </w:tcPr>
          <w:p w14:paraId="1A1E1941" w14:textId="548D6109" w:rsidR="00CC420F" w:rsidRPr="00CC420F" w:rsidRDefault="00CC420F" w:rsidP="00CC420F">
            <w:pPr>
              <w:rPr>
                <w:b/>
                <w:color w:val="auto"/>
                <w:sz w:val="17"/>
                <w:szCs w:val="17"/>
              </w:rPr>
            </w:pPr>
            <w:r w:rsidRPr="00CC420F">
              <w:rPr>
                <w:b/>
                <w:color w:val="auto"/>
                <w:sz w:val="17"/>
                <w:szCs w:val="17"/>
              </w:rPr>
              <w:t>Forward Estimates</w:t>
            </w:r>
            <w:r w:rsidRPr="00CC420F">
              <w:rPr>
                <w:b/>
                <w:color w:val="auto"/>
                <w:sz w:val="17"/>
                <w:szCs w:val="17"/>
              </w:rPr>
              <w:br/>
            </w:r>
            <w:r w:rsidR="00762AB8">
              <w:rPr>
                <w:b/>
                <w:color w:val="auto"/>
                <w:sz w:val="17"/>
                <w:szCs w:val="17"/>
              </w:rPr>
              <w:t>2023–</w:t>
            </w:r>
            <w:r w:rsidRPr="00CC420F">
              <w:rPr>
                <w:b/>
                <w:color w:val="auto"/>
                <w:sz w:val="17"/>
                <w:szCs w:val="17"/>
              </w:rPr>
              <w:t>24 Planned Performance Result</w:t>
            </w:r>
          </w:p>
        </w:tc>
        <w:tc>
          <w:tcPr>
            <w:tcW w:w="1502" w:type="dxa"/>
            <w:shd w:val="clear" w:color="auto" w:fill="FFFFFF" w:themeFill="background1"/>
          </w:tcPr>
          <w:p w14:paraId="0FBB8EDC" w14:textId="5E79EB25" w:rsidR="00CC420F" w:rsidRPr="00CC420F" w:rsidRDefault="00762AB8" w:rsidP="00CC420F">
            <w:pPr>
              <w:rPr>
                <w:b/>
                <w:color w:val="auto"/>
                <w:sz w:val="17"/>
                <w:szCs w:val="17"/>
              </w:rPr>
            </w:pPr>
            <w:r>
              <w:rPr>
                <w:b/>
                <w:color w:val="auto"/>
                <w:sz w:val="17"/>
                <w:szCs w:val="17"/>
              </w:rPr>
              <w:t>Forward Estimates</w:t>
            </w:r>
            <w:r>
              <w:rPr>
                <w:b/>
                <w:color w:val="auto"/>
                <w:sz w:val="17"/>
                <w:szCs w:val="17"/>
              </w:rPr>
              <w:br/>
              <w:t>2024–</w:t>
            </w:r>
            <w:r w:rsidR="00CC420F" w:rsidRPr="00CC420F">
              <w:rPr>
                <w:b/>
                <w:color w:val="auto"/>
                <w:sz w:val="17"/>
                <w:szCs w:val="17"/>
              </w:rPr>
              <w:t>25 Planned Performance Result</w:t>
            </w:r>
          </w:p>
        </w:tc>
        <w:tc>
          <w:tcPr>
            <w:tcW w:w="1507" w:type="dxa"/>
            <w:gridSpan w:val="2"/>
            <w:shd w:val="clear" w:color="auto" w:fill="FFFFFF" w:themeFill="background1"/>
          </w:tcPr>
          <w:p w14:paraId="296442E6" w14:textId="10430A40" w:rsidR="00CC420F" w:rsidRPr="00CC420F" w:rsidRDefault="00762AB8" w:rsidP="00CC420F">
            <w:pPr>
              <w:rPr>
                <w:b/>
                <w:color w:val="auto"/>
                <w:sz w:val="17"/>
                <w:szCs w:val="17"/>
              </w:rPr>
            </w:pPr>
            <w:r>
              <w:rPr>
                <w:b/>
                <w:color w:val="auto"/>
                <w:sz w:val="17"/>
                <w:szCs w:val="17"/>
              </w:rPr>
              <w:t>Forward Estimates</w:t>
            </w:r>
            <w:r>
              <w:rPr>
                <w:b/>
                <w:color w:val="auto"/>
                <w:sz w:val="17"/>
                <w:szCs w:val="17"/>
              </w:rPr>
              <w:br/>
              <w:t>2025–</w:t>
            </w:r>
            <w:r w:rsidR="00CC420F" w:rsidRPr="00CC420F">
              <w:rPr>
                <w:b/>
                <w:color w:val="auto"/>
                <w:sz w:val="17"/>
                <w:szCs w:val="17"/>
              </w:rPr>
              <w:t>26 Planned Performance Result</w:t>
            </w:r>
          </w:p>
        </w:tc>
      </w:tr>
      <w:tr w:rsidR="00685583" w:rsidRPr="00685583" w14:paraId="1591873D" w14:textId="77777777" w:rsidTr="00544AB1">
        <w:trPr>
          <w:jc w:val="center"/>
        </w:trPr>
        <w:tc>
          <w:tcPr>
            <w:tcW w:w="1669" w:type="dxa"/>
            <w:shd w:val="clear" w:color="auto" w:fill="FFFFFF" w:themeFill="background1"/>
          </w:tcPr>
          <w:p w14:paraId="4BA672FF" w14:textId="1C8FBA23" w:rsidR="007B33FA" w:rsidRPr="00685583" w:rsidRDefault="007B33FA" w:rsidP="006D2CA0">
            <w:pPr>
              <w:pStyle w:val="Tableheadingrow9pt"/>
              <w:keepNext/>
              <w:keepLines/>
              <w:numPr>
                <w:ilvl w:val="0"/>
                <w:numId w:val="43"/>
              </w:numPr>
              <w:ind w:left="284" w:hanging="284"/>
              <w:rPr>
                <w:b w:val="0"/>
                <w:color w:val="auto"/>
                <w:sz w:val="17"/>
                <w:szCs w:val="17"/>
              </w:rPr>
            </w:pPr>
            <w:r w:rsidRPr="00685583">
              <w:rPr>
                <w:b w:val="0"/>
                <w:color w:val="auto"/>
                <w:sz w:val="17"/>
                <w:szCs w:val="17"/>
              </w:rPr>
              <w:t>100%</w:t>
            </w:r>
          </w:p>
          <w:p w14:paraId="406E79C6" w14:textId="5B237879" w:rsidR="0021263D" w:rsidRPr="0035436D" w:rsidRDefault="007B33FA" w:rsidP="006D2CA0">
            <w:pPr>
              <w:pStyle w:val="ListParagraph"/>
              <w:numPr>
                <w:ilvl w:val="0"/>
                <w:numId w:val="43"/>
              </w:numPr>
              <w:ind w:left="284" w:hanging="284"/>
              <w:rPr>
                <w:sz w:val="17"/>
                <w:szCs w:val="17"/>
              </w:rPr>
            </w:pPr>
            <w:r w:rsidRPr="0035436D">
              <w:rPr>
                <w:rFonts w:ascii="Arial" w:hAnsi="Arial" w:cs="Arial"/>
                <w:sz w:val="17"/>
                <w:szCs w:val="17"/>
              </w:rPr>
              <w:t>100%</w:t>
            </w:r>
          </w:p>
        </w:tc>
        <w:tc>
          <w:tcPr>
            <w:tcW w:w="1502" w:type="dxa"/>
            <w:gridSpan w:val="3"/>
            <w:vMerge w:val="restart"/>
            <w:shd w:val="clear" w:color="auto" w:fill="FFFFFF" w:themeFill="background1"/>
          </w:tcPr>
          <w:p w14:paraId="210F22AC" w14:textId="18597658" w:rsidR="00544AB1" w:rsidRPr="00685583" w:rsidRDefault="00544AB1" w:rsidP="00544AB1">
            <w:pPr>
              <w:pStyle w:val="Tableheadingrow9pt"/>
              <w:keepNext/>
              <w:keepLines/>
              <w:rPr>
                <w:b w:val="0"/>
                <w:color w:val="auto"/>
                <w:sz w:val="17"/>
                <w:szCs w:val="17"/>
              </w:rPr>
            </w:pPr>
            <w:r w:rsidRPr="00685583">
              <w:rPr>
                <w:b w:val="0"/>
                <w:color w:val="auto"/>
                <w:sz w:val="17"/>
                <w:szCs w:val="17"/>
              </w:rPr>
              <w:t>100%</w:t>
            </w:r>
          </w:p>
          <w:p w14:paraId="694276A5" w14:textId="682B5FA0" w:rsidR="00544AB1" w:rsidRPr="00685583" w:rsidRDefault="00544AB1" w:rsidP="00544AB1">
            <w:pPr>
              <w:rPr>
                <w:color w:val="auto"/>
                <w:sz w:val="17"/>
                <w:szCs w:val="17"/>
              </w:rPr>
            </w:pPr>
            <w:r w:rsidRPr="00685583">
              <w:rPr>
                <w:color w:val="auto"/>
                <w:sz w:val="17"/>
                <w:szCs w:val="17"/>
              </w:rPr>
              <w:t>100%</w:t>
            </w:r>
          </w:p>
        </w:tc>
        <w:tc>
          <w:tcPr>
            <w:tcW w:w="1502" w:type="dxa"/>
            <w:vMerge w:val="restart"/>
            <w:shd w:val="clear" w:color="auto" w:fill="FFFFFF" w:themeFill="background1"/>
          </w:tcPr>
          <w:p w14:paraId="6A27D01A" w14:textId="77777777" w:rsidR="0021263D" w:rsidRPr="00685583" w:rsidRDefault="0021263D" w:rsidP="0021263D">
            <w:pPr>
              <w:pStyle w:val="Tableheadingrow9pt"/>
              <w:keepNext/>
              <w:keepLines/>
              <w:rPr>
                <w:b w:val="0"/>
                <w:color w:val="auto"/>
                <w:sz w:val="17"/>
                <w:szCs w:val="17"/>
              </w:rPr>
            </w:pPr>
            <w:r w:rsidRPr="00685583">
              <w:rPr>
                <w:b w:val="0"/>
                <w:color w:val="auto"/>
                <w:sz w:val="17"/>
                <w:szCs w:val="17"/>
              </w:rPr>
              <w:t>100%</w:t>
            </w:r>
          </w:p>
          <w:p w14:paraId="35CE905A" w14:textId="533317E0" w:rsidR="00544AB1" w:rsidRPr="00685583" w:rsidRDefault="00544AB1" w:rsidP="0021263D">
            <w:pPr>
              <w:pStyle w:val="Tableheadingrow9pt"/>
              <w:keepNext/>
              <w:keepLines/>
              <w:rPr>
                <w:b w:val="0"/>
                <w:color w:val="auto"/>
                <w:sz w:val="17"/>
                <w:szCs w:val="17"/>
              </w:rPr>
            </w:pPr>
            <w:r w:rsidRPr="00685583">
              <w:rPr>
                <w:b w:val="0"/>
                <w:color w:val="auto"/>
                <w:sz w:val="17"/>
                <w:szCs w:val="17"/>
              </w:rPr>
              <w:t>100%</w:t>
            </w:r>
          </w:p>
        </w:tc>
        <w:tc>
          <w:tcPr>
            <w:tcW w:w="1502" w:type="dxa"/>
            <w:vMerge w:val="restart"/>
            <w:shd w:val="clear" w:color="auto" w:fill="FFFFFF" w:themeFill="background1"/>
          </w:tcPr>
          <w:p w14:paraId="7CB98AA6" w14:textId="355293A7" w:rsidR="00544AB1" w:rsidRPr="00685583" w:rsidRDefault="00544AB1" w:rsidP="00544AB1">
            <w:pPr>
              <w:pStyle w:val="Tableheadingrow9pt"/>
              <w:keepNext/>
              <w:keepLines/>
              <w:rPr>
                <w:b w:val="0"/>
                <w:color w:val="auto"/>
                <w:sz w:val="17"/>
                <w:szCs w:val="17"/>
              </w:rPr>
            </w:pPr>
            <w:r w:rsidRPr="00685583">
              <w:rPr>
                <w:b w:val="0"/>
                <w:color w:val="auto"/>
                <w:sz w:val="17"/>
                <w:szCs w:val="17"/>
              </w:rPr>
              <w:t>100%</w:t>
            </w:r>
          </w:p>
          <w:p w14:paraId="5084A290" w14:textId="78C1871E" w:rsidR="00544AB1" w:rsidRPr="00685583" w:rsidRDefault="00544AB1" w:rsidP="00544AB1">
            <w:pPr>
              <w:rPr>
                <w:color w:val="auto"/>
                <w:sz w:val="17"/>
                <w:szCs w:val="17"/>
              </w:rPr>
            </w:pPr>
            <w:r w:rsidRPr="00685583">
              <w:rPr>
                <w:color w:val="auto"/>
                <w:sz w:val="17"/>
                <w:szCs w:val="17"/>
              </w:rPr>
              <w:t>100%</w:t>
            </w:r>
          </w:p>
        </w:tc>
        <w:tc>
          <w:tcPr>
            <w:tcW w:w="1507" w:type="dxa"/>
            <w:gridSpan w:val="2"/>
            <w:vMerge w:val="restart"/>
            <w:shd w:val="clear" w:color="auto" w:fill="FFFFFF" w:themeFill="background1"/>
          </w:tcPr>
          <w:p w14:paraId="6912E968" w14:textId="77777777" w:rsidR="00D64341" w:rsidRPr="00685583" w:rsidRDefault="00D64341" w:rsidP="00D64341">
            <w:pPr>
              <w:pStyle w:val="Tableheadingrow9pt"/>
              <w:keepNext/>
              <w:keepLines/>
              <w:rPr>
                <w:b w:val="0"/>
                <w:color w:val="auto"/>
                <w:sz w:val="17"/>
                <w:szCs w:val="17"/>
              </w:rPr>
            </w:pPr>
            <w:r w:rsidRPr="00685583">
              <w:rPr>
                <w:b w:val="0"/>
                <w:color w:val="auto"/>
                <w:sz w:val="17"/>
                <w:szCs w:val="17"/>
              </w:rPr>
              <w:t>100%</w:t>
            </w:r>
          </w:p>
          <w:p w14:paraId="0B5D4E4D" w14:textId="159121D0" w:rsidR="00544AB1" w:rsidRPr="00685583" w:rsidRDefault="00D64341" w:rsidP="00D64341">
            <w:pPr>
              <w:rPr>
                <w:color w:val="auto"/>
                <w:sz w:val="17"/>
                <w:szCs w:val="17"/>
              </w:rPr>
            </w:pPr>
            <w:r w:rsidRPr="00685583">
              <w:rPr>
                <w:color w:val="auto"/>
                <w:sz w:val="17"/>
                <w:szCs w:val="17"/>
              </w:rPr>
              <w:t>100%</w:t>
            </w:r>
          </w:p>
        </w:tc>
      </w:tr>
      <w:tr w:rsidR="00685583" w:rsidRPr="00685583" w14:paraId="6F60854C" w14:textId="77777777" w:rsidTr="00544AB1">
        <w:trPr>
          <w:jc w:val="center"/>
        </w:trPr>
        <w:tc>
          <w:tcPr>
            <w:tcW w:w="1669" w:type="dxa"/>
            <w:shd w:val="clear" w:color="auto" w:fill="FFFFFF" w:themeFill="background1"/>
          </w:tcPr>
          <w:p w14:paraId="0AFDE988" w14:textId="1ADC24D4" w:rsidR="00544AB1" w:rsidRPr="001055DE" w:rsidRDefault="00762AB8" w:rsidP="00E4026E">
            <w:pPr>
              <w:rPr>
                <w:b/>
                <w:color w:val="auto"/>
                <w:sz w:val="17"/>
                <w:szCs w:val="17"/>
              </w:rPr>
            </w:pPr>
            <w:r>
              <w:rPr>
                <w:b/>
                <w:color w:val="auto"/>
                <w:sz w:val="17"/>
                <w:szCs w:val="17"/>
              </w:rPr>
              <w:t>2021–</w:t>
            </w:r>
            <w:r w:rsidR="001055DE" w:rsidRPr="001055DE">
              <w:rPr>
                <w:b/>
                <w:color w:val="auto"/>
                <w:sz w:val="17"/>
                <w:szCs w:val="17"/>
              </w:rPr>
              <w:t>22</w:t>
            </w:r>
            <w:r w:rsidR="001055DE" w:rsidRPr="001055DE">
              <w:rPr>
                <w:b/>
                <w:color w:val="auto"/>
                <w:sz w:val="17"/>
                <w:szCs w:val="17"/>
              </w:rPr>
              <w:br/>
            </w:r>
            <w:r w:rsidR="00D64341">
              <w:rPr>
                <w:b/>
                <w:color w:val="auto"/>
                <w:sz w:val="17"/>
                <w:szCs w:val="17"/>
              </w:rPr>
              <w:t>Expected</w:t>
            </w:r>
            <w:r w:rsidR="00D64341" w:rsidRPr="001055DE">
              <w:rPr>
                <w:b/>
                <w:color w:val="auto"/>
                <w:sz w:val="17"/>
                <w:szCs w:val="17"/>
              </w:rPr>
              <w:t xml:space="preserve"> </w:t>
            </w:r>
            <w:r w:rsidR="001055DE" w:rsidRPr="001055DE">
              <w:rPr>
                <w:b/>
                <w:color w:val="auto"/>
                <w:sz w:val="17"/>
                <w:szCs w:val="17"/>
              </w:rPr>
              <w:t>Performance Result</w:t>
            </w:r>
          </w:p>
        </w:tc>
        <w:tc>
          <w:tcPr>
            <w:tcW w:w="1502" w:type="dxa"/>
            <w:gridSpan w:val="3"/>
            <w:vMerge/>
            <w:shd w:val="clear" w:color="auto" w:fill="FFFFFF" w:themeFill="background1"/>
          </w:tcPr>
          <w:p w14:paraId="49F4CCFD" w14:textId="77777777" w:rsidR="00544AB1" w:rsidRPr="00685583" w:rsidRDefault="00544AB1" w:rsidP="00544AB1">
            <w:pPr>
              <w:rPr>
                <w:b/>
                <w:color w:val="auto"/>
                <w:sz w:val="17"/>
                <w:szCs w:val="17"/>
              </w:rPr>
            </w:pPr>
          </w:p>
        </w:tc>
        <w:tc>
          <w:tcPr>
            <w:tcW w:w="1502" w:type="dxa"/>
            <w:vMerge/>
            <w:shd w:val="clear" w:color="auto" w:fill="FFFFFF" w:themeFill="background1"/>
          </w:tcPr>
          <w:p w14:paraId="4F68E3CB" w14:textId="77777777" w:rsidR="00544AB1" w:rsidRPr="00685583" w:rsidRDefault="00544AB1" w:rsidP="00544AB1">
            <w:pPr>
              <w:rPr>
                <w:b/>
                <w:color w:val="auto"/>
                <w:sz w:val="17"/>
                <w:szCs w:val="17"/>
              </w:rPr>
            </w:pPr>
          </w:p>
        </w:tc>
        <w:tc>
          <w:tcPr>
            <w:tcW w:w="1502" w:type="dxa"/>
            <w:vMerge/>
            <w:shd w:val="clear" w:color="auto" w:fill="FFFFFF" w:themeFill="background1"/>
          </w:tcPr>
          <w:p w14:paraId="05F7D371" w14:textId="77777777" w:rsidR="00544AB1" w:rsidRPr="00685583" w:rsidRDefault="00544AB1" w:rsidP="00544AB1">
            <w:pPr>
              <w:rPr>
                <w:b/>
                <w:color w:val="auto"/>
                <w:sz w:val="17"/>
                <w:szCs w:val="17"/>
              </w:rPr>
            </w:pPr>
          </w:p>
        </w:tc>
        <w:tc>
          <w:tcPr>
            <w:tcW w:w="1507" w:type="dxa"/>
            <w:gridSpan w:val="2"/>
            <w:vMerge/>
            <w:shd w:val="clear" w:color="auto" w:fill="FFFFFF" w:themeFill="background1"/>
          </w:tcPr>
          <w:p w14:paraId="0F7750B9" w14:textId="77777777" w:rsidR="00544AB1" w:rsidRPr="00685583" w:rsidRDefault="00544AB1" w:rsidP="00544AB1">
            <w:pPr>
              <w:rPr>
                <w:b/>
                <w:color w:val="auto"/>
                <w:sz w:val="17"/>
                <w:szCs w:val="17"/>
              </w:rPr>
            </w:pPr>
          </w:p>
        </w:tc>
      </w:tr>
      <w:tr w:rsidR="00685583" w:rsidRPr="00685583" w14:paraId="7D6B8E77" w14:textId="77777777" w:rsidTr="00544AB1">
        <w:trPr>
          <w:jc w:val="center"/>
        </w:trPr>
        <w:tc>
          <w:tcPr>
            <w:tcW w:w="1669" w:type="dxa"/>
            <w:shd w:val="clear" w:color="auto" w:fill="FFFFFF" w:themeFill="background1"/>
          </w:tcPr>
          <w:p w14:paraId="5BE9F9E6" w14:textId="230F3BB2" w:rsidR="00D64341" w:rsidRPr="00685583" w:rsidRDefault="00D64341" w:rsidP="008055C8">
            <w:pPr>
              <w:pStyle w:val="Tableheadingrow9pt"/>
              <w:keepNext/>
              <w:keepLines/>
              <w:numPr>
                <w:ilvl w:val="0"/>
                <w:numId w:val="44"/>
              </w:numPr>
              <w:ind w:left="284" w:hanging="284"/>
              <w:rPr>
                <w:b w:val="0"/>
                <w:color w:val="auto"/>
                <w:sz w:val="17"/>
                <w:szCs w:val="17"/>
              </w:rPr>
            </w:pPr>
            <w:r w:rsidRPr="00685583">
              <w:rPr>
                <w:b w:val="0"/>
                <w:color w:val="auto"/>
                <w:sz w:val="17"/>
                <w:szCs w:val="17"/>
              </w:rPr>
              <w:t>100%</w:t>
            </w:r>
          </w:p>
          <w:p w14:paraId="64E6A85F" w14:textId="53D3C3FF" w:rsidR="007B33FA" w:rsidRPr="006D2CA0" w:rsidRDefault="00D64341" w:rsidP="008055C8">
            <w:pPr>
              <w:pStyle w:val="ListParagraph"/>
              <w:numPr>
                <w:ilvl w:val="0"/>
                <w:numId w:val="44"/>
              </w:numPr>
              <w:spacing w:before="40" w:after="40"/>
              <w:ind w:left="284" w:hanging="284"/>
              <w:rPr>
                <w:sz w:val="17"/>
                <w:szCs w:val="17"/>
              </w:rPr>
            </w:pPr>
            <w:r w:rsidRPr="006D2CA0">
              <w:rPr>
                <w:rFonts w:ascii="Arial" w:hAnsi="Arial" w:cs="Arial"/>
                <w:sz w:val="17"/>
                <w:szCs w:val="17"/>
              </w:rPr>
              <w:t>100%</w:t>
            </w:r>
          </w:p>
        </w:tc>
        <w:tc>
          <w:tcPr>
            <w:tcW w:w="1502" w:type="dxa"/>
            <w:gridSpan w:val="3"/>
            <w:vMerge/>
            <w:shd w:val="clear" w:color="auto" w:fill="FFFFFF" w:themeFill="background1"/>
          </w:tcPr>
          <w:p w14:paraId="7FD636C6" w14:textId="77777777" w:rsidR="00544AB1" w:rsidRPr="00685583" w:rsidRDefault="00544AB1" w:rsidP="00544AB1">
            <w:pPr>
              <w:rPr>
                <w:b/>
                <w:color w:val="auto"/>
                <w:sz w:val="17"/>
                <w:szCs w:val="17"/>
              </w:rPr>
            </w:pPr>
          </w:p>
        </w:tc>
        <w:tc>
          <w:tcPr>
            <w:tcW w:w="1502" w:type="dxa"/>
            <w:vMerge/>
            <w:shd w:val="clear" w:color="auto" w:fill="FFFFFF" w:themeFill="background1"/>
          </w:tcPr>
          <w:p w14:paraId="58004A35" w14:textId="77777777" w:rsidR="00544AB1" w:rsidRPr="00685583" w:rsidRDefault="00544AB1" w:rsidP="00544AB1">
            <w:pPr>
              <w:rPr>
                <w:b/>
                <w:color w:val="auto"/>
                <w:sz w:val="17"/>
                <w:szCs w:val="17"/>
              </w:rPr>
            </w:pPr>
          </w:p>
        </w:tc>
        <w:tc>
          <w:tcPr>
            <w:tcW w:w="1502" w:type="dxa"/>
            <w:vMerge/>
            <w:shd w:val="clear" w:color="auto" w:fill="FFFFFF" w:themeFill="background1"/>
          </w:tcPr>
          <w:p w14:paraId="1E2BABE5" w14:textId="77777777" w:rsidR="00544AB1" w:rsidRPr="00685583" w:rsidRDefault="00544AB1" w:rsidP="00544AB1">
            <w:pPr>
              <w:rPr>
                <w:b/>
                <w:color w:val="auto"/>
                <w:sz w:val="17"/>
                <w:szCs w:val="17"/>
              </w:rPr>
            </w:pPr>
          </w:p>
        </w:tc>
        <w:tc>
          <w:tcPr>
            <w:tcW w:w="1507" w:type="dxa"/>
            <w:gridSpan w:val="2"/>
            <w:vMerge/>
            <w:shd w:val="clear" w:color="auto" w:fill="FFFFFF" w:themeFill="background1"/>
          </w:tcPr>
          <w:p w14:paraId="0C6E4577" w14:textId="77777777" w:rsidR="00544AB1" w:rsidRPr="00685583" w:rsidRDefault="00544AB1" w:rsidP="00544AB1">
            <w:pPr>
              <w:rPr>
                <w:b/>
                <w:color w:val="auto"/>
                <w:sz w:val="17"/>
                <w:szCs w:val="17"/>
              </w:rPr>
            </w:pPr>
          </w:p>
        </w:tc>
      </w:tr>
      <w:tr w:rsidR="00685583" w:rsidRPr="00685583" w14:paraId="72CA5016" w14:textId="77777777" w:rsidTr="006C50E3">
        <w:trPr>
          <w:jc w:val="center"/>
        </w:trPr>
        <w:tc>
          <w:tcPr>
            <w:tcW w:w="7682" w:type="dxa"/>
            <w:gridSpan w:val="8"/>
            <w:shd w:val="clear" w:color="auto" w:fill="D9D9D9" w:themeFill="background1" w:themeFillShade="D9"/>
          </w:tcPr>
          <w:p w14:paraId="2238A979" w14:textId="3060EFEA" w:rsidR="003B0A69" w:rsidRPr="00436E5C" w:rsidRDefault="00F812D1" w:rsidP="003B0A69">
            <w:pPr>
              <w:rPr>
                <w:b/>
                <w:color w:val="auto"/>
                <w:sz w:val="17"/>
                <w:szCs w:val="17"/>
              </w:rPr>
            </w:pPr>
            <w:r w:rsidRPr="00685583">
              <w:rPr>
                <w:b/>
                <w:color w:val="auto"/>
                <w:sz w:val="17"/>
                <w:szCs w:val="17"/>
              </w:rPr>
              <w:t xml:space="preserve">Industrial </w:t>
            </w:r>
            <w:r w:rsidR="00387FAC" w:rsidRPr="00685583">
              <w:rPr>
                <w:b/>
                <w:color w:val="auto"/>
                <w:sz w:val="17"/>
                <w:szCs w:val="17"/>
              </w:rPr>
              <w:t xml:space="preserve">chemical </w:t>
            </w:r>
            <w:r w:rsidRPr="00685583">
              <w:rPr>
                <w:b/>
                <w:color w:val="auto"/>
                <w:sz w:val="17"/>
                <w:szCs w:val="17"/>
              </w:rPr>
              <w:t>risk assessments and evaluations completed within statutory timeframes.</w:t>
            </w:r>
          </w:p>
        </w:tc>
      </w:tr>
      <w:tr w:rsidR="00CC420F" w:rsidRPr="00685583" w14:paraId="4BAEEF8B" w14:textId="4CC32F53" w:rsidTr="006C50E3">
        <w:trPr>
          <w:jc w:val="center"/>
        </w:trPr>
        <w:tc>
          <w:tcPr>
            <w:tcW w:w="1669" w:type="dxa"/>
            <w:shd w:val="clear" w:color="auto" w:fill="FFFFFF" w:themeFill="background1"/>
          </w:tcPr>
          <w:p w14:paraId="5FBC08EA" w14:textId="588384ED" w:rsidR="00CC420F" w:rsidRPr="00CC420F" w:rsidRDefault="00762AB8" w:rsidP="00CC420F">
            <w:pPr>
              <w:rPr>
                <w:b/>
                <w:color w:val="auto"/>
                <w:sz w:val="17"/>
                <w:szCs w:val="17"/>
              </w:rPr>
            </w:pPr>
            <w:r>
              <w:rPr>
                <w:b/>
                <w:color w:val="auto"/>
                <w:sz w:val="17"/>
                <w:szCs w:val="17"/>
              </w:rPr>
              <w:t>Current Year</w:t>
            </w:r>
            <w:r>
              <w:rPr>
                <w:b/>
                <w:color w:val="auto"/>
                <w:sz w:val="17"/>
                <w:szCs w:val="17"/>
              </w:rPr>
              <w:br/>
              <w:t>2021–</w:t>
            </w:r>
            <w:r w:rsidR="00CC420F" w:rsidRPr="00CC420F">
              <w:rPr>
                <w:b/>
                <w:color w:val="auto"/>
                <w:sz w:val="17"/>
                <w:szCs w:val="17"/>
              </w:rPr>
              <w:t>22</w:t>
            </w:r>
            <w:r w:rsidR="00CC420F" w:rsidRPr="00CC420F">
              <w:rPr>
                <w:b/>
                <w:color w:val="auto"/>
                <w:sz w:val="17"/>
                <w:szCs w:val="17"/>
              </w:rPr>
              <w:br/>
              <w:t>Planned Performance Result</w:t>
            </w:r>
          </w:p>
        </w:tc>
        <w:tc>
          <w:tcPr>
            <w:tcW w:w="1502" w:type="dxa"/>
            <w:gridSpan w:val="3"/>
            <w:shd w:val="clear" w:color="auto" w:fill="FFFFFF" w:themeFill="background1"/>
          </w:tcPr>
          <w:p w14:paraId="5DEFB724" w14:textId="15E97159" w:rsidR="00CC420F" w:rsidRPr="00CC420F" w:rsidRDefault="00762AB8" w:rsidP="00CC420F">
            <w:pPr>
              <w:rPr>
                <w:b/>
                <w:color w:val="auto"/>
                <w:sz w:val="17"/>
                <w:szCs w:val="17"/>
              </w:rPr>
            </w:pPr>
            <w:r>
              <w:rPr>
                <w:b/>
                <w:color w:val="auto"/>
                <w:sz w:val="17"/>
                <w:szCs w:val="17"/>
              </w:rPr>
              <w:t>Budget Year</w:t>
            </w:r>
            <w:r>
              <w:rPr>
                <w:b/>
                <w:color w:val="auto"/>
                <w:sz w:val="17"/>
                <w:szCs w:val="17"/>
              </w:rPr>
              <w:br/>
              <w:t>2022–</w:t>
            </w:r>
            <w:r w:rsidR="00CC420F" w:rsidRPr="00CC420F">
              <w:rPr>
                <w:b/>
                <w:color w:val="auto"/>
                <w:sz w:val="17"/>
                <w:szCs w:val="17"/>
              </w:rPr>
              <w:t>23 Planned Performance Result</w:t>
            </w:r>
          </w:p>
        </w:tc>
        <w:tc>
          <w:tcPr>
            <w:tcW w:w="1502" w:type="dxa"/>
            <w:shd w:val="clear" w:color="auto" w:fill="FFFFFF" w:themeFill="background1"/>
          </w:tcPr>
          <w:p w14:paraId="4E079E75" w14:textId="63F4291E" w:rsidR="00CC420F" w:rsidRPr="00CC420F" w:rsidRDefault="00762AB8" w:rsidP="00CC420F">
            <w:pPr>
              <w:rPr>
                <w:b/>
                <w:color w:val="auto"/>
                <w:sz w:val="17"/>
                <w:szCs w:val="17"/>
              </w:rPr>
            </w:pPr>
            <w:r>
              <w:rPr>
                <w:b/>
                <w:color w:val="auto"/>
                <w:sz w:val="17"/>
                <w:szCs w:val="17"/>
              </w:rPr>
              <w:t>Forward Estimates</w:t>
            </w:r>
            <w:r>
              <w:rPr>
                <w:b/>
                <w:color w:val="auto"/>
                <w:sz w:val="17"/>
                <w:szCs w:val="17"/>
              </w:rPr>
              <w:br/>
              <w:t>2023–</w:t>
            </w:r>
            <w:r w:rsidR="00CC420F" w:rsidRPr="00CC420F">
              <w:rPr>
                <w:b/>
                <w:color w:val="auto"/>
                <w:sz w:val="17"/>
                <w:szCs w:val="17"/>
              </w:rPr>
              <w:t>24 Planned Performance Result</w:t>
            </w:r>
          </w:p>
        </w:tc>
        <w:tc>
          <w:tcPr>
            <w:tcW w:w="1502" w:type="dxa"/>
            <w:shd w:val="clear" w:color="auto" w:fill="FFFFFF" w:themeFill="background1"/>
          </w:tcPr>
          <w:p w14:paraId="67BBEF40" w14:textId="3179C682" w:rsidR="00CC420F" w:rsidRPr="00CC420F" w:rsidRDefault="00CC420F" w:rsidP="00CC420F">
            <w:pPr>
              <w:rPr>
                <w:b/>
                <w:color w:val="auto"/>
                <w:sz w:val="17"/>
                <w:szCs w:val="17"/>
              </w:rPr>
            </w:pPr>
            <w:r w:rsidRPr="00CC420F">
              <w:rPr>
                <w:b/>
                <w:color w:val="auto"/>
                <w:sz w:val="17"/>
                <w:szCs w:val="17"/>
              </w:rPr>
              <w:t>Forward Estima</w:t>
            </w:r>
            <w:r w:rsidR="00762AB8">
              <w:rPr>
                <w:b/>
                <w:color w:val="auto"/>
                <w:sz w:val="17"/>
                <w:szCs w:val="17"/>
              </w:rPr>
              <w:t>tes</w:t>
            </w:r>
            <w:r w:rsidR="00762AB8">
              <w:rPr>
                <w:b/>
                <w:color w:val="auto"/>
                <w:sz w:val="17"/>
                <w:szCs w:val="17"/>
              </w:rPr>
              <w:br/>
              <w:t>2024–</w:t>
            </w:r>
            <w:r w:rsidRPr="00CC420F">
              <w:rPr>
                <w:b/>
                <w:color w:val="auto"/>
                <w:sz w:val="17"/>
                <w:szCs w:val="17"/>
              </w:rPr>
              <w:t>25 Planned Performance Result</w:t>
            </w:r>
          </w:p>
        </w:tc>
        <w:tc>
          <w:tcPr>
            <w:tcW w:w="1507" w:type="dxa"/>
            <w:gridSpan w:val="2"/>
            <w:shd w:val="clear" w:color="auto" w:fill="FFFFFF" w:themeFill="background1"/>
          </w:tcPr>
          <w:p w14:paraId="76FB51D3" w14:textId="04417CF6" w:rsidR="00CC420F" w:rsidRPr="00CC420F" w:rsidRDefault="00762AB8" w:rsidP="00CC420F">
            <w:pPr>
              <w:rPr>
                <w:b/>
                <w:color w:val="auto"/>
                <w:sz w:val="17"/>
                <w:szCs w:val="17"/>
              </w:rPr>
            </w:pPr>
            <w:r>
              <w:rPr>
                <w:b/>
                <w:color w:val="auto"/>
                <w:sz w:val="17"/>
                <w:szCs w:val="17"/>
              </w:rPr>
              <w:t>Forward Estimates</w:t>
            </w:r>
            <w:r>
              <w:rPr>
                <w:b/>
                <w:color w:val="auto"/>
                <w:sz w:val="17"/>
                <w:szCs w:val="17"/>
              </w:rPr>
              <w:br/>
              <w:t>2025–</w:t>
            </w:r>
            <w:r w:rsidR="00CC420F" w:rsidRPr="00CC420F">
              <w:rPr>
                <w:b/>
                <w:color w:val="auto"/>
                <w:sz w:val="17"/>
                <w:szCs w:val="17"/>
              </w:rPr>
              <w:t>26 Planned Performance Result</w:t>
            </w:r>
          </w:p>
        </w:tc>
      </w:tr>
      <w:tr w:rsidR="00685583" w:rsidRPr="00685583" w14:paraId="4B966205" w14:textId="77777777" w:rsidTr="006C50E3">
        <w:trPr>
          <w:jc w:val="center"/>
        </w:trPr>
        <w:tc>
          <w:tcPr>
            <w:tcW w:w="1669" w:type="dxa"/>
            <w:shd w:val="clear" w:color="auto" w:fill="FFFFFF" w:themeFill="background1"/>
          </w:tcPr>
          <w:p w14:paraId="358B4D0F" w14:textId="108ABBBE" w:rsidR="00714EDA" w:rsidRPr="00685583" w:rsidRDefault="007B33FA" w:rsidP="00D762C6">
            <w:pPr>
              <w:rPr>
                <w:b/>
                <w:color w:val="auto"/>
                <w:sz w:val="17"/>
                <w:szCs w:val="17"/>
              </w:rPr>
            </w:pPr>
            <w:r w:rsidRPr="00685583">
              <w:rPr>
                <w:color w:val="auto"/>
                <w:sz w:val="17"/>
                <w:szCs w:val="17"/>
              </w:rPr>
              <w:t>≥95%</w:t>
            </w:r>
          </w:p>
        </w:tc>
        <w:tc>
          <w:tcPr>
            <w:tcW w:w="1502" w:type="dxa"/>
            <w:gridSpan w:val="3"/>
            <w:vMerge w:val="restart"/>
            <w:shd w:val="clear" w:color="auto" w:fill="FFFFFF" w:themeFill="background1"/>
          </w:tcPr>
          <w:p w14:paraId="3C1803FA" w14:textId="1B961637" w:rsidR="00714EDA" w:rsidRPr="00685583" w:rsidRDefault="00714EDA" w:rsidP="00D762C6">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005D6B43" w14:textId="4CAF8412" w:rsidR="00714EDA" w:rsidRPr="00685583" w:rsidRDefault="00714EDA" w:rsidP="00D762C6">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1AE889DC" w14:textId="4A0C5119" w:rsidR="00714EDA" w:rsidRPr="00685583" w:rsidRDefault="00714EDA" w:rsidP="00D762C6">
            <w:pPr>
              <w:rPr>
                <w:b/>
                <w:color w:val="auto"/>
                <w:sz w:val="17"/>
                <w:szCs w:val="17"/>
              </w:rPr>
            </w:pPr>
            <w:r w:rsidRPr="00685583">
              <w:rPr>
                <w:color w:val="auto"/>
                <w:sz w:val="17"/>
                <w:szCs w:val="17"/>
              </w:rPr>
              <w:t>≥95%</w:t>
            </w:r>
          </w:p>
        </w:tc>
        <w:tc>
          <w:tcPr>
            <w:tcW w:w="1507" w:type="dxa"/>
            <w:gridSpan w:val="2"/>
            <w:vMerge w:val="restart"/>
            <w:shd w:val="clear" w:color="auto" w:fill="FFFFFF" w:themeFill="background1"/>
          </w:tcPr>
          <w:p w14:paraId="65FD9051" w14:textId="098EE049" w:rsidR="00714EDA" w:rsidRPr="007B33FA" w:rsidRDefault="00436E5C" w:rsidP="00D762C6">
            <w:pPr>
              <w:rPr>
                <w:color w:val="auto"/>
                <w:sz w:val="17"/>
                <w:szCs w:val="17"/>
              </w:rPr>
            </w:pPr>
            <w:r w:rsidRPr="00685583">
              <w:rPr>
                <w:color w:val="auto"/>
                <w:sz w:val="17"/>
                <w:szCs w:val="17"/>
              </w:rPr>
              <w:t>≥95%</w:t>
            </w:r>
          </w:p>
        </w:tc>
      </w:tr>
      <w:tr w:rsidR="00685583" w:rsidRPr="00685583" w14:paraId="4E82B515" w14:textId="77777777" w:rsidTr="006C50E3">
        <w:trPr>
          <w:jc w:val="center"/>
        </w:trPr>
        <w:tc>
          <w:tcPr>
            <w:tcW w:w="1669" w:type="dxa"/>
            <w:shd w:val="clear" w:color="auto" w:fill="FFFFFF" w:themeFill="background1"/>
          </w:tcPr>
          <w:p w14:paraId="73970EB2" w14:textId="6A2257C6" w:rsidR="00714EDA" w:rsidRPr="001055DE" w:rsidRDefault="00762AB8" w:rsidP="00D762C6">
            <w:pPr>
              <w:rPr>
                <w:b/>
                <w:color w:val="auto"/>
                <w:sz w:val="17"/>
                <w:szCs w:val="17"/>
              </w:rPr>
            </w:pPr>
            <w:r>
              <w:rPr>
                <w:b/>
                <w:color w:val="auto"/>
                <w:sz w:val="17"/>
                <w:szCs w:val="17"/>
              </w:rPr>
              <w:t>2021–</w:t>
            </w:r>
            <w:r w:rsidR="001055DE" w:rsidRPr="001055DE">
              <w:rPr>
                <w:b/>
                <w:color w:val="auto"/>
                <w:sz w:val="17"/>
                <w:szCs w:val="17"/>
              </w:rPr>
              <w:t>22</w:t>
            </w:r>
            <w:r w:rsidR="001055DE" w:rsidRPr="001055DE">
              <w:rPr>
                <w:b/>
                <w:color w:val="auto"/>
                <w:sz w:val="17"/>
                <w:szCs w:val="17"/>
              </w:rPr>
              <w:br/>
              <w:t>Expected Performance Result</w:t>
            </w:r>
          </w:p>
        </w:tc>
        <w:tc>
          <w:tcPr>
            <w:tcW w:w="1502" w:type="dxa"/>
            <w:gridSpan w:val="3"/>
            <w:vMerge/>
            <w:shd w:val="clear" w:color="auto" w:fill="FFFFFF" w:themeFill="background1"/>
          </w:tcPr>
          <w:p w14:paraId="7045BB42" w14:textId="77777777" w:rsidR="00714EDA" w:rsidRPr="00685583" w:rsidRDefault="00714EDA" w:rsidP="00D762C6">
            <w:pPr>
              <w:rPr>
                <w:b/>
                <w:color w:val="auto"/>
                <w:sz w:val="17"/>
                <w:szCs w:val="17"/>
              </w:rPr>
            </w:pPr>
          </w:p>
        </w:tc>
        <w:tc>
          <w:tcPr>
            <w:tcW w:w="1502" w:type="dxa"/>
            <w:vMerge/>
            <w:shd w:val="clear" w:color="auto" w:fill="FFFFFF" w:themeFill="background1"/>
          </w:tcPr>
          <w:p w14:paraId="3E2DBC67" w14:textId="77777777" w:rsidR="00714EDA" w:rsidRPr="00685583" w:rsidRDefault="00714EDA" w:rsidP="00D762C6">
            <w:pPr>
              <w:rPr>
                <w:b/>
                <w:color w:val="auto"/>
                <w:sz w:val="17"/>
                <w:szCs w:val="17"/>
              </w:rPr>
            </w:pPr>
          </w:p>
        </w:tc>
        <w:tc>
          <w:tcPr>
            <w:tcW w:w="1502" w:type="dxa"/>
            <w:vMerge/>
            <w:shd w:val="clear" w:color="auto" w:fill="FFFFFF" w:themeFill="background1"/>
          </w:tcPr>
          <w:p w14:paraId="7BA184C5" w14:textId="77777777" w:rsidR="00714EDA" w:rsidRPr="00685583" w:rsidRDefault="00714EDA" w:rsidP="00D762C6">
            <w:pPr>
              <w:rPr>
                <w:b/>
                <w:color w:val="auto"/>
                <w:sz w:val="17"/>
                <w:szCs w:val="17"/>
              </w:rPr>
            </w:pPr>
          </w:p>
        </w:tc>
        <w:tc>
          <w:tcPr>
            <w:tcW w:w="1507" w:type="dxa"/>
            <w:gridSpan w:val="2"/>
            <w:vMerge/>
            <w:shd w:val="clear" w:color="auto" w:fill="FFFFFF" w:themeFill="background1"/>
          </w:tcPr>
          <w:p w14:paraId="1F565835" w14:textId="05037254" w:rsidR="00714EDA" w:rsidRPr="00685583" w:rsidRDefault="00714EDA" w:rsidP="00D762C6">
            <w:pPr>
              <w:rPr>
                <w:b/>
                <w:color w:val="auto"/>
                <w:sz w:val="17"/>
                <w:szCs w:val="17"/>
              </w:rPr>
            </w:pPr>
          </w:p>
        </w:tc>
      </w:tr>
      <w:tr w:rsidR="00685583" w:rsidRPr="00685583" w14:paraId="7BC36478" w14:textId="77777777" w:rsidTr="006C50E3">
        <w:trPr>
          <w:jc w:val="center"/>
        </w:trPr>
        <w:tc>
          <w:tcPr>
            <w:tcW w:w="1669" w:type="dxa"/>
            <w:shd w:val="clear" w:color="auto" w:fill="FFFFFF" w:themeFill="background1"/>
          </w:tcPr>
          <w:p w14:paraId="28445350" w14:textId="13746E5F" w:rsidR="00714EDA" w:rsidRPr="00685583" w:rsidRDefault="00436E5C" w:rsidP="00D762C6">
            <w:pPr>
              <w:rPr>
                <w:color w:val="auto"/>
                <w:sz w:val="17"/>
                <w:szCs w:val="17"/>
              </w:rPr>
            </w:pPr>
            <w:r>
              <w:rPr>
                <w:color w:val="auto"/>
                <w:sz w:val="17"/>
                <w:szCs w:val="17"/>
              </w:rPr>
              <w:t>98%</w:t>
            </w:r>
          </w:p>
        </w:tc>
        <w:tc>
          <w:tcPr>
            <w:tcW w:w="1502" w:type="dxa"/>
            <w:gridSpan w:val="3"/>
            <w:vMerge/>
            <w:shd w:val="clear" w:color="auto" w:fill="FFFFFF" w:themeFill="background1"/>
          </w:tcPr>
          <w:p w14:paraId="16831232" w14:textId="77777777" w:rsidR="00714EDA" w:rsidRPr="00685583" w:rsidRDefault="00714EDA" w:rsidP="00D762C6">
            <w:pPr>
              <w:rPr>
                <w:b/>
                <w:color w:val="auto"/>
                <w:sz w:val="17"/>
                <w:szCs w:val="17"/>
              </w:rPr>
            </w:pPr>
          </w:p>
        </w:tc>
        <w:tc>
          <w:tcPr>
            <w:tcW w:w="1502" w:type="dxa"/>
            <w:vMerge/>
            <w:shd w:val="clear" w:color="auto" w:fill="FFFFFF" w:themeFill="background1"/>
          </w:tcPr>
          <w:p w14:paraId="3D5DB7BE" w14:textId="77777777" w:rsidR="00714EDA" w:rsidRPr="00685583" w:rsidRDefault="00714EDA" w:rsidP="00D762C6">
            <w:pPr>
              <w:rPr>
                <w:b/>
                <w:color w:val="auto"/>
                <w:sz w:val="17"/>
                <w:szCs w:val="17"/>
              </w:rPr>
            </w:pPr>
          </w:p>
        </w:tc>
        <w:tc>
          <w:tcPr>
            <w:tcW w:w="1502" w:type="dxa"/>
            <w:vMerge/>
            <w:shd w:val="clear" w:color="auto" w:fill="FFFFFF" w:themeFill="background1"/>
          </w:tcPr>
          <w:p w14:paraId="4F5EDAF9" w14:textId="77777777" w:rsidR="00714EDA" w:rsidRPr="00685583" w:rsidRDefault="00714EDA" w:rsidP="00D762C6">
            <w:pPr>
              <w:rPr>
                <w:b/>
                <w:color w:val="auto"/>
                <w:sz w:val="17"/>
                <w:szCs w:val="17"/>
              </w:rPr>
            </w:pPr>
          </w:p>
        </w:tc>
        <w:tc>
          <w:tcPr>
            <w:tcW w:w="1507" w:type="dxa"/>
            <w:gridSpan w:val="2"/>
            <w:vMerge/>
            <w:shd w:val="clear" w:color="auto" w:fill="FFFFFF" w:themeFill="background1"/>
          </w:tcPr>
          <w:p w14:paraId="6BFA48AF" w14:textId="79E66379" w:rsidR="00714EDA" w:rsidRPr="00685583" w:rsidRDefault="00714EDA" w:rsidP="00D762C6">
            <w:pPr>
              <w:rPr>
                <w:b/>
                <w:color w:val="auto"/>
                <w:sz w:val="17"/>
                <w:szCs w:val="17"/>
              </w:rPr>
            </w:pPr>
          </w:p>
        </w:tc>
      </w:tr>
      <w:tr w:rsidR="00685583" w:rsidRPr="00685583" w14:paraId="31595DA0" w14:textId="77777777" w:rsidTr="006C50E3">
        <w:trPr>
          <w:jc w:val="center"/>
        </w:trPr>
        <w:tc>
          <w:tcPr>
            <w:tcW w:w="7682" w:type="dxa"/>
            <w:gridSpan w:val="8"/>
            <w:shd w:val="clear" w:color="auto" w:fill="auto"/>
          </w:tcPr>
          <w:p w14:paraId="4BBE0760" w14:textId="1D1FEDFB" w:rsidR="008F0E08" w:rsidRPr="00685583" w:rsidRDefault="00A21B82" w:rsidP="008F0E08">
            <w:pPr>
              <w:pStyle w:val="Tableheadingrow9pt"/>
              <w:rPr>
                <w:color w:val="auto"/>
              </w:rPr>
            </w:pPr>
            <w:r w:rsidRPr="00685583">
              <w:rPr>
                <w:color w:val="auto"/>
              </w:rPr>
              <w:t>Material changes to Program 1.8</w:t>
            </w:r>
            <w:r w:rsidR="008F0E08" w:rsidRPr="00685583">
              <w:rPr>
                <w:color w:val="auto"/>
              </w:rPr>
              <w:t xml:space="preserve"> resulting from the following measures:</w:t>
            </w:r>
          </w:p>
          <w:p w14:paraId="4A581CE5" w14:textId="00DB9423" w:rsidR="008F0E08" w:rsidRPr="00685583" w:rsidRDefault="00825648" w:rsidP="00825648">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8</w:t>
            </w:r>
            <w:r w:rsidRPr="00473719">
              <w:rPr>
                <w:sz w:val="17"/>
                <w:szCs w:val="17"/>
              </w:rPr>
              <w:t xml:space="preserve"> resulting from measures.</w:t>
            </w:r>
          </w:p>
        </w:tc>
      </w:tr>
    </w:tbl>
    <w:p w14:paraId="6C54B46D" w14:textId="2BEA585D" w:rsidR="00076265" w:rsidRPr="00685583" w:rsidRDefault="0073538B" w:rsidP="000C1B9B">
      <w:pPr>
        <w:pStyle w:val="Tablenumberandreference"/>
        <w:pageBreakBefore/>
        <w:rPr>
          <w:color w:val="auto"/>
        </w:rPr>
      </w:pPr>
      <w:r w:rsidRPr="00685583">
        <w:rPr>
          <w:color w:val="auto"/>
        </w:rPr>
        <w:lastRenderedPageBreak/>
        <w:t>Table 2.1.</w:t>
      </w:r>
      <w:r w:rsidR="00315903" w:rsidRPr="00685583">
        <w:rPr>
          <w:color w:val="auto"/>
        </w:rPr>
        <w:t>10</w:t>
      </w:r>
      <w:r w:rsidRPr="00685583">
        <w:rPr>
          <w:color w:val="auto"/>
        </w:rPr>
        <w:t xml:space="preserve">: Performance </w:t>
      </w:r>
      <w:r w:rsidR="000F7A14" w:rsidRPr="00685583">
        <w:rPr>
          <w:color w:val="auto"/>
        </w:rPr>
        <w:t>Measures</w:t>
      </w:r>
      <w:r w:rsidR="00A21B82" w:rsidRPr="00685583">
        <w:rPr>
          <w:color w:val="auto"/>
        </w:rPr>
        <w:t xml:space="preserve"> for Program 1.9</w:t>
      </w:r>
    </w:p>
    <w:tbl>
      <w:tblPr>
        <w:tblStyle w:val="TableGrid"/>
        <w:tblW w:w="7680" w:type="dxa"/>
        <w:jc w:val="center"/>
        <w:tblLayout w:type="fixed"/>
        <w:tblLook w:val="04A0" w:firstRow="1" w:lastRow="0" w:firstColumn="1" w:lastColumn="0" w:noHBand="0" w:noVBand="1"/>
        <w:tblCaption w:val="Table 2.1.10: Performance Measures for Program 1.9"/>
        <w:tblDescription w:val="This table outlines Program 1.9's objective and the key activities for Program 1.9"/>
      </w:tblPr>
      <w:tblGrid>
        <w:gridCol w:w="7680"/>
      </w:tblGrid>
      <w:tr w:rsidR="00685583" w:rsidRPr="00685583" w14:paraId="56BDC099" w14:textId="77777777" w:rsidTr="0059792F">
        <w:trPr>
          <w:trHeight w:val="50"/>
          <w:jc w:val="center"/>
        </w:trPr>
        <w:tc>
          <w:tcPr>
            <w:tcW w:w="7680" w:type="dxa"/>
            <w:shd w:val="clear" w:color="auto" w:fill="D9D9D9" w:themeFill="background1" w:themeFillShade="D9"/>
          </w:tcPr>
          <w:p w14:paraId="09673089" w14:textId="77A34239" w:rsidR="00C8347D" w:rsidRPr="00685583" w:rsidRDefault="0073538B" w:rsidP="00E7155B">
            <w:pPr>
              <w:pStyle w:val="Tableheadingrow9pt"/>
              <w:rPr>
                <w:color w:val="auto"/>
              </w:rPr>
            </w:pPr>
            <w:r w:rsidRPr="00685583">
              <w:rPr>
                <w:color w:val="auto"/>
              </w:rPr>
              <w:t>Program Objective – Program 1.</w:t>
            </w:r>
            <w:r w:rsidR="00A21B82" w:rsidRPr="00685583">
              <w:rPr>
                <w:color w:val="auto"/>
              </w:rPr>
              <w:t>9</w:t>
            </w:r>
            <w:r w:rsidRPr="00685583">
              <w:rPr>
                <w:color w:val="auto"/>
              </w:rPr>
              <w:t>:</w:t>
            </w:r>
            <w:r w:rsidR="00A12316" w:rsidRPr="00685583">
              <w:rPr>
                <w:color w:val="auto"/>
              </w:rPr>
              <w:t xml:space="preserve"> Immunisation</w:t>
            </w:r>
          </w:p>
        </w:tc>
      </w:tr>
      <w:tr w:rsidR="00685583" w:rsidRPr="00685583" w14:paraId="3B92672E" w14:textId="77777777" w:rsidTr="0059792F">
        <w:trPr>
          <w:jc w:val="center"/>
        </w:trPr>
        <w:tc>
          <w:tcPr>
            <w:tcW w:w="7680" w:type="dxa"/>
          </w:tcPr>
          <w:p w14:paraId="48929CB3" w14:textId="01A97CDA" w:rsidR="0073538B" w:rsidRPr="00685583" w:rsidRDefault="0059792F" w:rsidP="00AE5740">
            <w:pPr>
              <w:pStyle w:val="Heading2"/>
              <w:outlineLvl w:val="1"/>
              <w:rPr>
                <w:b/>
                <w:color w:val="auto"/>
              </w:rPr>
            </w:pPr>
            <w:r w:rsidRPr="00685583">
              <w:rPr>
                <w:color w:val="auto"/>
                <w:szCs w:val="20"/>
              </w:rPr>
              <w:t>Reduce the incidence of vaccine preventable diseases to protect individuals and increase national immunisation coverage rates to protect the Australian community</w:t>
            </w:r>
            <w:r w:rsidR="00714EDA" w:rsidRPr="00685583">
              <w:rPr>
                <w:color w:val="auto"/>
                <w:szCs w:val="20"/>
              </w:rPr>
              <w:t>.</w:t>
            </w:r>
          </w:p>
        </w:tc>
      </w:tr>
      <w:tr w:rsidR="00685583" w:rsidRPr="00685583" w14:paraId="11833A4C" w14:textId="77777777" w:rsidTr="0059792F">
        <w:trPr>
          <w:jc w:val="center"/>
        </w:trPr>
        <w:tc>
          <w:tcPr>
            <w:tcW w:w="7680" w:type="dxa"/>
            <w:shd w:val="clear" w:color="auto" w:fill="D9D9D9" w:themeFill="background1" w:themeFillShade="D9"/>
          </w:tcPr>
          <w:p w14:paraId="7A8D159E" w14:textId="0D0EC5EE" w:rsidR="00C8347D" w:rsidRPr="00685583" w:rsidRDefault="00E7155B" w:rsidP="00E7155B">
            <w:pPr>
              <w:pStyle w:val="Tableheadingrow9pt"/>
              <w:rPr>
                <w:color w:val="auto"/>
              </w:rPr>
            </w:pPr>
            <w:r>
              <w:rPr>
                <w:color w:val="auto"/>
              </w:rPr>
              <w:t>Key Activities</w:t>
            </w:r>
          </w:p>
        </w:tc>
      </w:tr>
      <w:tr w:rsidR="00685583" w:rsidRPr="00685583" w14:paraId="59F277F3" w14:textId="77777777" w:rsidTr="0059792F">
        <w:trPr>
          <w:jc w:val="center"/>
        </w:trPr>
        <w:tc>
          <w:tcPr>
            <w:tcW w:w="7680" w:type="dxa"/>
          </w:tcPr>
          <w:p w14:paraId="5C5A5F39" w14:textId="77777777" w:rsidR="00865691" w:rsidRPr="00865691" w:rsidRDefault="00865691" w:rsidP="00865691">
            <w:pPr>
              <w:pStyle w:val="Tabletextnormal9pt"/>
              <w:numPr>
                <w:ilvl w:val="0"/>
                <w:numId w:val="1"/>
              </w:numPr>
              <w:ind w:left="314" w:hanging="284"/>
              <w:rPr>
                <w:color w:val="auto"/>
              </w:rPr>
            </w:pPr>
            <w:r w:rsidRPr="00865691">
              <w:rPr>
                <w:color w:val="auto"/>
              </w:rPr>
              <w:t>Developing, implementing and evaluating strategies to improve immunisation coverage.</w:t>
            </w:r>
          </w:p>
          <w:p w14:paraId="1203FA82" w14:textId="77777777" w:rsidR="00865691" w:rsidRPr="00865691" w:rsidRDefault="00865691" w:rsidP="00865691">
            <w:pPr>
              <w:pStyle w:val="Tabletextnormal9pt"/>
              <w:numPr>
                <w:ilvl w:val="0"/>
                <w:numId w:val="1"/>
              </w:numPr>
              <w:ind w:left="314" w:hanging="284"/>
              <w:rPr>
                <w:color w:val="auto"/>
              </w:rPr>
            </w:pPr>
            <w:r w:rsidRPr="00865691">
              <w:rPr>
                <w:color w:val="auto"/>
              </w:rPr>
              <w:t>Partnering with states, territories and other important stakeholders to deliver vaccine initiatives.</w:t>
            </w:r>
          </w:p>
          <w:p w14:paraId="3DADF6D0" w14:textId="6E8E0080" w:rsidR="00865691" w:rsidRPr="00865691" w:rsidRDefault="00865691" w:rsidP="00865691">
            <w:pPr>
              <w:pStyle w:val="Tabletextnormal9pt"/>
              <w:numPr>
                <w:ilvl w:val="0"/>
                <w:numId w:val="1"/>
              </w:numPr>
              <w:ind w:left="314" w:hanging="284"/>
              <w:rPr>
                <w:color w:val="auto"/>
              </w:rPr>
            </w:pPr>
            <w:r w:rsidRPr="00865691">
              <w:rPr>
                <w:color w:val="auto"/>
              </w:rPr>
              <w:t>Promoting the safety and effectiveness of the N</w:t>
            </w:r>
            <w:r w:rsidR="003C6608">
              <w:rPr>
                <w:color w:val="auto"/>
              </w:rPr>
              <w:t xml:space="preserve">ational </w:t>
            </w:r>
            <w:r w:rsidRPr="00865691">
              <w:rPr>
                <w:color w:val="auto"/>
              </w:rPr>
              <w:t>I</w:t>
            </w:r>
            <w:r w:rsidR="003C6608">
              <w:rPr>
                <w:color w:val="auto"/>
              </w:rPr>
              <w:t xml:space="preserve">mmunisation </w:t>
            </w:r>
            <w:r w:rsidRPr="00865691">
              <w:rPr>
                <w:color w:val="auto"/>
              </w:rPr>
              <w:t>P</w:t>
            </w:r>
            <w:r w:rsidR="003C6608">
              <w:rPr>
                <w:color w:val="auto"/>
              </w:rPr>
              <w:t>rogram (NIP)</w:t>
            </w:r>
            <w:r w:rsidRPr="00865691">
              <w:rPr>
                <w:color w:val="auto"/>
              </w:rPr>
              <w:t xml:space="preserve"> Schedule, including the need to remain vigilant against vaccine-preventable disease.</w:t>
            </w:r>
          </w:p>
          <w:p w14:paraId="55E25C22" w14:textId="77777777" w:rsidR="00865691" w:rsidRPr="00865691" w:rsidRDefault="00865691" w:rsidP="00865691">
            <w:pPr>
              <w:pStyle w:val="Tabletextnormal9pt"/>
              <w:numPr>
                <w:ilvl w:val="0"/>
                <w:numId w:val="1"/>
              </w:numPr>
              <w:ind w:left="314" w:hanging="284"/>
              <w:rPr>
                <w:color w:val="auto"/>
              </w:rPr>
            </w:pPr>
            <w:r w:rsidRPr="00865691">
              <w:rPr>
                <w:color w:val="auto"/>
              </w:rPr>
              <w:t>Implementing immunisation campaigns to ensure patients and carers of children have access to evidence-based information to inform their decision making.</w:t>
            </w:r>
          </w:p>
          <w:p w14:paraId="67F564A2" w14:textId="77777777" w:rsidR="00865691" w:rsidRPr="00865691" w:rsidRDefault="00865691" w:rsidP="00865691">
            <w:pPr>
              <w:pStyle w:val="Tabletextnormal9pt"/>
              <w:numPr>
                <w:ilvl w:val="0"/>
                <w:numId w:val="1"/>
              </w:numPr>
              <w:ind w:left="314" w:hanging="284"/>
              <w:rPr>
                <w:color w:val="auto"/>
              </w:rPr>
            </w:pPr>
            <w:r w:rsidRPr="00865691">
              <w:rPr>
                <w:color w:val="auto"/>
              </w:rPr>
              <w:t>Ensuring secure vaccine supply and efficient use of vaccines for the NIP.</w:t>
            </w:r>
          </w:p>
          <w:p w14:paraId="4C22845A" w14:textId="77777777" w:rsidR="00865691" w:rsidRPr="00865691" w:rsidRDefault="00865691" w:rsidP="00865691">
            <w:pPr>
              <w:pStyle w:val="Tabletextnormal9pt"/>
              <w:numPr>
                <w:ilvl w:val="0"/>
                <w:numId w:val="1"/>
              </w:numPr>
              <w:ind w:left="314" w:hanging="284"/>
              <w:rPr>
                <w:color w:val="auto"/>
              </w:rPr>
            </w:pPr>
            <w:r w:rsidRPr="00865691">
              <w:rPr>
                <w:color w:val="auto"/>
              </w:rPr>
              <w:t>Developing the next National Partnership on Essential Vaccines.</w:t>
            </w:r>
          </w:p>
          <w:p w14:paraId="633C40F1" w14:textId="41D6C490" w:rsidR="00865691" w:rsidRPr="00865691" w:rsidRDefault="00865691" w:rsidP="00865691">
            <w:pPr>
              <w:pStyle w:val="Tabletextnormal9pt"/>
              <w:numPr>
                <w:ilvl w:val="0"/>
                <w:numId w:val="1"/>
              </w:numPr>
              <w:ind w:left="314" w:hanging="284"/>
              <w:rPr>
                <w:color w:val="auto"/>
              </w:rPr>
            </w:pPr>
            <w:r w:rsidRPr="00865691">
              <w:rPr>
                <w:color w:val="auto"/>
              </w:rPr>
              <w:t xml:space="preserve">Implementing mandatory reporting of vaccinations to the </w:t>
            </w:r>
            <w:r w:rsidR="00EB630B">
              <w:rPr>
                <w:color w:val="auto"/>
              </w:rPr>
              <w:t>Australian Immunisation Register (</w:t>
            </w:r>
            <w:r w:rsidRPr="00865691">
              <w:rPr>
                <w:color w:val="auto"/>
              </w:rPr>
              <w:t>AIR</w:t>
            </w:r>
            <w:r w:rsidR="00EB630B">
              <w:rPr>
                <w:color w:val="auto"/>
              </w:rPr>
              <w:t>)</w:t>
            </w:r>
            <w:r w:rsidRPr="00865691">
              <w:rPr>
                <w:color w:val="auto"/>
              </w:rPr>
              <w:t>.</w:t>
            </w:r>
          </w:p>
          <w:p w14:paraId="41B1B827" w14:textId="51BEE5DB" w:rsidR="00750947" w:rsidRPr="00685583" w:rsidRDefault="00865691" w:rsidP="00865691">
            <w:pPr>
              <w:pStyle w:val="Tabletextnormal9pt"/>
              <w:numPr>
                <w:ilvl w:val="0"/>
                <w:numId w:val="1"/>
              </w:numPr>
              <w:ind w:left="314" w:hanging="284"/>
              <w:rPr>
                <w:color w:val="auto"/>
              </w:rPr>
            </w:pPr>
            <w:r w:rsidRPr="00865691">
              <w:rPr>
                <w:color w:val="auto"/>
              </w:rPr>
              <w:t>Implementing governance and access requirements for AIR data – including enabling COVID-19 vaccinations to be recorded on the AIR.</w:t>
            </w:r>
          </w:p>
        </w:tc>
      </w:tr>
    </w:tbl>
    <w:p w14:paraId="2AD80762" w14:textId="77777777" w:rsidR="00E7155B" w:rsidRDefault="00E7155B">
      <w:r>
        <w:rPr>
          <w:b/>
        </w:rPr>
        <w:br w:type="page"/>
      </w:r>
    </w:p>
    <w:tbl>
      <w:tblPr>
        <w:tblStyle w:val="TableGrid"/>
        <w:tblW w:w="7680" w:type="dxa"/>
        <w:jc w:val="center"/>
        <w:tblLayout w:type="fixed"/>
        <w:tblLook w:val="04A0" w:firstRow="1" w:lastRow="0" w:firstColumn="1" w:lastColumn="0" w:noHBand="0" w:noVBand="1"/>
        <w:tblCaption w:val="Table 2.1.10: Performance Measures for Program 1.9 (continued)"/>
        <w:tblDescription w:val="This table outlines a performance measure for Program 1.9, with an expected performance result for 2021-22, and planned performance results for 2022-23 and the forward estimates"/>
      </w:tblPr>
      <w:tblGrid>
        <w:gridCol w:w="1536"/>
        <w:gridCol w:w="1536"/>
        <w:gridCol w:w="1536"/>
        <w:gridCol w:w="1536"/>
        <w:gridCol w:w="1536"/>
      </w:tblGrid>
      <w:tr w:rsidR="00685583" w:rsidRPr="00685583" w14:paraId="39CD2B18" w14:textId="77777777" w:rsidTr="0059792F">
        <w:trPr>
          <w:jc w:val="center"/>
        </w:trPr>
        <w:tc>
          <w:tcPr>
            <w:tcW w:w="7680" w:type="dxa"/>
            <w:gridSpan w:val="5"/>
            <w:shd w:val="clear" w:color="auto" w:fill="D9D9D9" w:themeFill="background1" w:themeFillShade="D9"/>
          </w:tcPr>
          <w:p w14:paraId="45F09692" w14:textId="2171EE84" w:rsidR="00C8347D" w:rsidRPr="00685583" w:rsidRDefault="00A12316" w:rsidP="009E39BD">
            <w:pPr>
              <w:pStyle w:val="Tableheadingrow9pt"/>
              <w:keepNext/>
              <w:keepLines/>
              <w:rPr>
                <w:color w:val="auto"/>
              </w:rPr>
            </w:pPr>
            <w:r w:rsidRPr="00685583">
              <w:rPr>
                <w:color w:val="auto"/>
              </w:rPr>
              <w:lastRenderedPageBreak/>
              <w:t>Performance Measures</w:t>
            </w:r>
          </w:p>
        </w:tc>
      </w:tr>
      <w:tr w:rsidR="00685583" w:rsidRPr="00685583" w14:paraId="4D3736A7" w14:textId="77777777" w:rsidTr="0059792F">
        <w:trPr>
          <w:jc w:val="center"/>
        </w:trPr>
        <w:tc>
          <w:tcPr>
            <w:tcW w:w="7680" w:type="dxa"/>
            <w:gridSpan w:val="5"/>
            <w:shd w:val="clear" w:color="auto" w:fill="D9D9D9" w:themeFill="background1" w:themeFillShade="D9"/>
          </w:tcPr>
          <w:p w14:paraId="23C8E964" w14:textId="2DF87DB2" w:rsidR="0059792F" w:rsidRPr="00685583" w:rsidRDefault="0059792F" w:rsidP="00DD1AF2">
            <w:pPr>
              <w:pStyle w:val="Tableheadingrow9pt"/>
              <w:keepNext/>
              <w:keepLines/>
              <w:rPr>
                <w:color w:val="auto"/>
                <w:sz w:val="17"/>
                <w:szCs w:val="17"/>
              </w:rPr>
            </w:pPr>
            <w:r w:rsidRPr="00685583">
              <w:rPr>
                <w:color w:val="auto"/>
                <w:sz w:val="17"/>
                <w:szCs w:val="17"/>
              </w:rPr>
              <w:t>Immunisation coverage rates</w:t>
            </w:r>
            <w:r w:rsidR="00793820" w:rsidRPr="00685583">
              <w:rPr>
                <w:color w:val="auto"/>
                <w:sz w:val="17"/>
                <w:szCs w:val="17"/>
              </w:rPr>
              <w:t>:</w:t>
            </w:r>
          </w:p>
          <w:p w14:paraId="6DAE6CA1" w14:textId="4986FA07" w:rsidR="0059792F" w:rsidRPr="00685583" w:rsidRDefault="00793820" w:rsidP="00093AD3">
            <w:pPr>
              <w:pStyle w:val="Tableheadingrow9pt"/>
              <w:keepNext/>
              <w:keepLines/>
              <w:numPr>
                <w:ilvl w:val="0"/>
                <w:numId w:val="10"/>
              </w:numPr>
              <w:ind w:left="284" w:hanging="284"/>
              <w:rPr>
                <w:color w:val="auto"/>
                <w:sz w:val="17"/>
                <w:szCs w:val="17"/>
              </w:rPr>
            </w:pPr>
            <w:r w:rsidRPr="00685583">
              <w:rPr>
                <w:color w:val="auto"/>
                <w:sz w:val="17"/>
                <w:szCs w:val="17"/>
              </w:rPr>
              <w:t>F</w:t>
            </w:r>
            <w:r w:rsidR="0059792F" w:rsidRPr="00685583">
              <w:rPr>
                <w:color w:val="auto"/>
                <w:sz w:val="17"/>
                <w:szCs w:val="17"/>
              </w:rPr>
              <w:t xml:space="preserve">or children at </w:t>
            </w:r>
            <w:r w:rsidR="006808F3" w:rsidRPr="00685583">
              <w:rPr>
                <w:color w:val="auto"/>
                <w:sz w:val="17"/>
                <w:szCs w:val="17"/>
              </w:rPr>
              <w:t>5</w:t>
            </w:r>
            <w:r w:rsidR="0059792F" w:rsidRPr="00685583">
              <w:rPr>
                <w:color w:val="auto"/>
                <w:sz w:val="17"/>
                <w:szCs w:val="17"/>
              </w:rPr>
              <w:t xml:space="preserve"> years of age are increased and maintained at the protective rate of 95%.</w:t>
            </w:r>
          </w:p>
          <w:p w14:paraId="4088457F" w14:textId="61B928B6" w:rsidR="00CF5591" w:rsidRPr="00685583" w:rsidRDefault="00793820" w:rsidP="00CF5591">
            <w:pPr>
              <w:pStyle w:val="Tableheadingrow9pt"/>
              <w:keepNext/>
              <w:keepLines/>
              <w:numPr>
                <w:ilvl w:val="0"/>
                <w:numId w:val="10"/>
              </w:numPr>
              <w:ind w:left="284" w:hanging="284"/>
              <w:rPr>
                <w:b w:val="0"/>
                <w:color w:val="auto"/>
              </w:rPr>
            </w:pPr>
            <w:r w:rsidRPr="00685583">
              <w:rPr>
                <w:color w:val="auto"/>
                <w:sz w:val="17"/>
                <w:szCs w:val="17"/>
              </w:rPr>
              <w:t>F</w:t>
            </w:r>
            <w:r w:rsidR="0059792F" w:rsidRPr="00685583">
              <w:rPr>
                <w:color w:val="auto"/>
                <w:sz w:val="17"/>
                <w:szCs w:val="17"/>
              </w:rPr>
              <w:t>or Aboriginal and Torres Strait Islander children 12</w:t>
            </w:r>
            <w:r w:rsidR="00EB630B">
              <w:rPr>
                <w:color w:val="auto"/>
                <w:sz w:val="17"/>
                <w:szCs w:val="17"/>
              </w:rPr>
              <w:t xml:space="preserve"> to</w:t>
            </w:r>
            <w:r w:rsidR="00762AB8">
              <w:rPr>
                <w:color w:val="auto"/>
                <w:sz w:val="17"/>
                <w:szCs w:val="17"/>
              </w:rPr>
              <w:t xml:space="preserve"> </w:t>
            </w:r>
            <w:r w:rsidR="0059792F" w:rsidRPr="00685583">
              <w:rPr>
                <w:color w:val="auto"/>
                <w:sz w:val="17"/>
                <w:szCs w:val="17"/>
              </w:rPr>
              <w:t>15 months of age are increased to close the gap</w:t>
            </w:r>
            <w:r w:rsidR="00F664C1">
              <w:rPr>
                <w:color w:val="auto"/>
                <w:sz w:val="17"/>
                <w:szCs w:val="17"/>
              </w:rPr>
              <w:t xml:space="preserve"> and then maintained</w:t>
            </w:r>
            <w:r w:rsidR="0059792F" w:rsidRPr="00685583">
              <w:rPr>
                <w:color w:val="auto"/>
                <w:sz w:val="17"/>
                <w:szCs w:val="17"/>
              </w:rPr>
              <w:t>.</w:t>
            </w:r>
          </w:p>
          <w:p w14:paraId="0EFAF936" w14:textId="1156363E" w:rsidR="00EB630B" w:rsidRPr="00EB630B" w:rsidRDefault="00B351C3" w:rsidP="005D4974">
            <w:pPr>
              <w:pStyle w:val="Tableheadingrow9pt"/>
              <w:keepNext/>
              <w:keepLines/>
              <w:numPr>
                <w:ilvl w:val="0"/>
                <w:numId w:val="10"/>
              </w:numPr>
              <w:ind w:left="284" w:hanging="284"/>
              <w:rPr>
                <w:b w:val="0"/>
                <w:color w:val="auto"/>
              </w:rPr>
            </w:pPr>
            <w:r w:rsidRPr="00685583">
              <w:rPr>
                <w:color w:val="auto"/>
                <w:sz w:val="17"/>
                <w:szCs w:val="17"/>
              </w:rPr>
              <w:t xml:space="preserve">For adults at </w:t>
            </w:r>
            <w:r w:rsidR="00F664C1">
              <w:rPr>
                <w:color w:val="auto"/>
                <w:sz w:val="17"/>
                <w:szCs w:val="17"/>
              </w:rPr>
              <w:t>greater</w:t>
            </w:r>
            <w:r w:rsidRPr="00685583">
              <w:rPr>
                <w:color w:val="auto"/>
                <w:sz w:val="17"/>
                <w:szCs w:val="17"/>
              </w:rPr>
              <w:t xml:space="preserve"> risk of vaccine preventable diseases due to age or underlying medical conditions</w:t>
            </w:r>
            <w:r w:rsidR="0016761D">
              <w:rPr>
                <w:color w:val="auto"/>
                <w:sz w:val="17"/>
                <w:szCs w:val="17"/>
              </w:rPr>
              <w:t xml:space="preserve"> are increased</w:t>
            </w:r>
            <w:r w:rsidRPr="00685583">
              <w:rPr>
                <w:color w:val="auto"/>
                <w:sz w:val="17"/>
                <w:szCs w:val="17"/>
              </w:rPr>
              <w:t>.</w:t>
            </w:r>
          </w:p>
        </w:tc>
      </w:tr>
      <w:tr w:rsidR="00CC420F" w:rsidRPr="00685583" w14:paraId="4C64AC8F" w14:textId="77777777" w:rsidTr="009E39BD">
        <w:trPr>
          <w:jc w:val="center"/>
        </w:trPr>
        <w:tc>
          <w:tcPr>
            <w:tcW w:w="1536" w:type="dxa"/>
            <w:shd w:val="clear" w:color="auto" w:fill="auto"/>
          </w:tcPr>
          <w:p w14:paraId="73EF14A7" w14:textId="0850F6DA" w:rsidR="00CC420F" w:rsidRPr="00685583" w:rsidRDefault="00CC420F" w:rsidP="00CC420F">
            <w:pPr>
              <w:pStyle w:val="Tableheadingrowmeasures85pt"/>
              <w:keepNext/>
              <w:keepLines/>
              <w:rPr>
                <w:color w:val="auto"/>
              </w:rPr>
            </w:pPr>
            <w:r>
              <w:rPr>
                <w:color w:val="auto"/>
              </w:rPr>
              <w:t>Current Year</w:t>
            </w:r>
            <w:r>
              <w:rPr>
                <w:color w:val="auto"/>
              </w:rPr>
              <w:br/>
            </w:r>
            <w:r w:rsidRPr="005D0368">
              <w:rPr>
                <w:color w:val="auto"/>
              </w:rPr>
              <w:t>202</w:t>
            </w:r>
            <w:r>
              <w:rPr>
                <w:color w:val="auto"/>
              </w:rPr>
              <w:t>1</w:t>
            </w:r>
            <w:r w:rsidR="00762AB8">
              <w:rPr>
                <w:color w:val="auto"/>
              </w:rPr>
              <w:t>–</w:t>
            </w:r>
            <w:r w:rsidRPr="005D0368">
              <w:rPr>
                <w:color w:val="auto"/>
              </w:rPr>
              <w:t>2</w:t>
            </w:r>
            <w:r>
              <w:rPr>
                <w:color w:val="auto"/>
              </w:rPr>
              <w:t>2</w:t>
            </w:r>
            <w:r>
              <w:rPr>
                <w:color w:val="auto"/>
              </w:rPr>
              <w:br/>
              <w:t>Planned Performa</w:t>
            </w:r>
            <w:bookmarkStart w:id="0" w:name="_GoBack"/>
            <w:bookmarkEnd w:id="0"/>
            <w:r>
              <w:rPr>
                <w:color w:val="auto"/>
              </w:rPr>
              <w:t>nce Result</w:t>
            </w:r>
          </w:p>
        </w:tc>
        <w:tc>
          <w:tcPr>
            <w:tcW w:w="1536" w:type="dxa"/>
            <w:shd w:val="clear" w:color="auto" w:fill="auto"/>
          </w:tcPr>
          <w:p w14:paraId="35F84686" w14:textId="166A1776" w:rsidR="00CC420F" w:rsidRPr="00685583" w:rsidRDefault="00CC420F" w:rsidP="00CC420F">
            <w:pPr>
              <w:pStyle w:val="Tableheadingrowmeasures85pt"/>
              <w:keepNext/>
              <w:keepLines/>
              <w:rPr>
                <w:color w:val="auto"/>
              </w:rPr>
            </w:pPr>
            <w:r>
              <w:rPr>
                <w:color w:val="auto"/>
              </w:rPr>
              <w:t>Budget Year</w:t>
            </w:r>
            <w:r>
              <w:rPr>
                <w:color w:val="auto"/>
              </w:rPr>
              <w:br/>
            </w:r>
            <w:r w:rsidRPr="005D0368">
              <w:rPr>
                <w:color w:val="auto"/>
              </w:rPr>
              <w:t>202</w:t>
            </w:r>
            <w:r>
              <w:rPr>
                <w:color w:val="auto"/>
              </w:rPr>
              <w:t>2</w:t>
            </w:r>
            <w:r w:rsidR="00762AB8">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6" w:type="dxa"/>
            <w:shd w:val="clear" w:color="auto" w:fill="auto"/>
          </w:tcPr>
          <w:p w14:paraId="10B66643" w14:textId="18FAD9E3"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3</w:t>
            </w:r>
            <w:r w:rsidR="00762AB8">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6" w:type="dxa"/>
            <w:shd w:val="clear" w:color="auto" w:fill="auto"/>
          </w:tcPr>
          <w:p w14:paraId="407DDB2D" w14:textId="5E2154B4"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4</w:t>
            </w:r>
            <w:r w:rsidR="00762AB8">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6" w:type="dxa"/>
            <w:shd w:val="clear" w:color="auto" w:fill="auto"/>
          </w:tcPr>
          <w:p w14:paraId="374E2816" w14:textId="3E0C4727" w:rsidR="00CC420F" w:rsidRPr="00685583" w:rsidRDefault="00CC420F" w:rsidP="00CC420F">
            <w:pPr>
              <w:pStyle w:val="Tableheadingrowmeasures85pt"/>
              <w:keepNext/>
              <w:keepLines/>
              <w:rPr>
                <w:color w:val="auto"/>
              </w:rPr>
            </w:pPr>
            <w:r>
              <w:rPr>
                <w:color w:val="auto"/>
              </w:rPr>
              <w:t>Forward Estimates</w:t>
            </w:r>
            <w:r>
              <w:rPr>
                <w:color w:val="auto"/>
              </w:rPr>
              <w:br/>
            </w:r>
            <w:r w:rsidRPr="005D0368">
              <w:rPr>
                <w:color w:val="auto"/>
              </w:rPr>
              <w:t>202</w:t>
            </w:r>
            <w:r>
              <w:rPr>
                <w:color w:val="auto"/>
              </w:rPr>
              <w:t>5</w:t>
            </w:r>
            <w:r w:rsidR="00762AB8">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0D2586" w:rsidRPr="00685583" w14:paraId="74F42826" w14:textId="77777777" w:rsidTr="009E39BD">
        <w:trPr>
          <w:trHeight w:val="533"/>
          <w:jc w:val="center"/>
        </w:trPr>
        <w:tc>
          <w:tcPr>
            <w:tcW w:w="1536" w:type="dxa"/>
            <w:shd w:val="clear" w:color="auto" w:fill="auto"/>
          </w:tcPr>
          <w:p w14:paraId="108D32F4" w14:textId="77777777" w:rsidR="000D2586" w:rsidRPr="00685583" w:rsidRDefault="000D2586" w:rsidP="000D2586">
            <w:pPr>
              <w:pStyle w:val="Tableheadingrowmeasures85pt"/>
              <w:keepNext/>
              <w:keepLines/>
              <w:rPr>
                <w:b w:val="0"/>
                <w:color w:val="auto"/>
              </w:rPr>
            </w:pPr>
            <w:r w:rsidRPr="00685583">
              <w:rPr>
                <w:b w:val="0"/>
                <w:color w:val="auto"/>
              </w:rPr>
              <w:t>a. ≥95.00%</w:t>
            </w:r>
          </w:p>
          <w:p w14:paraId="13E86A99" w14:textId="77777777" w:rsidR="000D2586" w:rsidRPr="00685583" w:rsidRDefault="000D2586" w:rsidP="000D2586">
            <w:pPr>
              <w:pStyle w:val="Tableheadingrowmeasures85pt"/>
              <w:keepNext/>
              <w:keepLines/>
              <w:rPr>
                <w:b w:val="0"/>
                <w:color w:val="auto"/>
              </w:rPr>
            </w:pPr>
            <w:r w:rsidRPr="00685583">
              <w:rPr>
                <w:b w:val="0"/>
                <w:color w:val="auto"/>
              </w:rPr>
              <w:t>b. ≥94.00%</w:t>
            </w:r>
          </w:p>
          <w:p w14:paraId="260A4E13" w14:textId="4B9978B2" w:rsidR="00940FC3" w:rsidRPr="00685583" w:rsidRDefault="00430444" w:rsidP="00940FC3">
            <w:pPr>
              <w:pStyle w:val="Tableheadingrowmeasures85pt"/>
              <w:keepNext/>
              <w:keepLines/>
              <w:ind w:left="198" w:hanging="198"/>
              <w:rPr>
                <w:b w:val="0"/>
                <w:color w:val="auto"/>
              </w:rPr>
            </w:pPr>
            <w:r>
              <w:rPr>
                <w:b w:val="0"/>
                <w:color w:val="auto"/>
              </w:rPr>
              <w:t xml:space="preserve">c. </w:t>
            </w:r>
            <w:r w:rsidR="000D2586">
              <w:rPr>
                <w:b w:val="0"/>
                <w:color w:val="auto"/>
              </w:rPr>
              <w:t xml:space="preserve">Baseline to be set in 2022 based on </w:t>
            </w:r>
            <w:r w:rsidR="00EB630B">
              <w:rPr>
                <w:b w:val="0"/>
                <w:color w:val="auto"/>
              </w:rPr>
              <w:br/>
            </w:r>
            <w:r w:rsidR="00762AB8">
              <w:rPr>
                <w:b w:val="0"/>
                <w:color w:val="auto"/>
              </w:rPr>
              <w:t>2021–</w:t>
            </w:r>
            <w:r w:rsidR="000D2586">
              <w:rPr>
                <w:b w:val="0"/>
                <w:color w:val="auto"/>
              </w:rPr>
              <w:t>22 data</w:t>
            </w:r>
            <w:r w:rsidR="000D2586" w:rsidRPr="00685583">
              <w:rPr>
                <w:rStyle w:val="FootnoteReference"/>
                <w:b w:val="0"/>
                <w:color w:val="auto"/>
              </w:rPr>
              <w:footnoteReference w:id="52"/>
            </w:r>
          </w:p>
        </w:tc>
        <w:tc>
          <w:tcPr>
            <w:tcW w:w="1536" w:type="dxa"/>
            <w:vMerge w:val="restart"/>
            <w:shd w:val="clear" w:color="auto" w:fill="auto"/>
          </w:tcPr>
          <w:p w14:paraId="5F7618A8" w14:textId="18694BBF" w:rsidR="000D2586" w:rsidRPr="00685583" w:rsidRDefault="000D2586" w:rsidP="000D2586">
            <w:pPr>
              <w:pStyle w:val="Tableheadingrowmeasures85pt"/>
              <w:keepNext/>
              <w:keepLines/>
              <w:rPr>
                <w:b w:val="0"/>
                <w:color w:val="auto"/>
              </w:rPr>
            </w:pPr>
            <w:r w:rsidRPr="00685583">
              <w:rPr>
                <w:b w:val="0"/>
                <w:color w:val="auto"/>
              </w:rPr>
              <w:t>≥95.00%</w:t>
            </w:r>
          </w:p>
          <w:p w14:paraId="509CBCD9" w14:textId="4CD0BD27" w:rsidR="000D2586" w:rsidRPr="00685583" w:rsidRDefault="000D2586" w:rsidP="000D2586">
            <w:pPr>
              <w:pStyle w:val="Tableheadingrowmeasures85pt"/>
              <w:keepNext/>
              <w:keepLines/>
              <w:rPr>
                <w:b w:val="0"/>
                <w:color w:val="auto"/>
              </w:rPr>
            </w:pPr>
            <w:r w:rsidRPr="00685583">
              <w:rPr>
                <w:b w:val="0"/>
                <w:color w:val="auto"/>
              </w:rPr>
              <w:t>≥94.25%</w:t>
            </w:r>
          </w:p>
          <w:p w14:paraId="2805A62D" w14:textId="1ADA0446" w:rsidR="000D2586" w:rsidRPr="00685583" w:rsidRDefault="000D2586" w:rsidP="00940FC3">
            <w:pPr>
              <w:pStyle w:val="Tableheadingrowmeasures85pt"/>
              <w:keepNext/>
              <w:keepLines/>
              <w:rPr>
                <w:b w:val="0"/>
                <w:color w:val="auto"/>
              </w:rPr>
            </w:pPr>
            <w:r w:rsidRPr="00685583">
              <w:rPr>
                <w:b w:val="0"/>
                <w:color w:val="auto"/>
              </w:rPr>
              <w:t>To be set in 2022</w:t>
            </w:r>
            <w:r w:rsidRPr="008725B5">
              <w:rPr>
                <w:b w:val="0"/>
                <w:color w:val="auto"/>
              </w:rPr>
              <w:t xml:space="preserve"> following b</w:t>
            </w:r>
            <w:r w:rsidR="00762AB8">
              <w:rPr>
                <w:b w:val="0"/>
                <w:color w:val="auto"/>
              </w:rPr>
              <w:t>aseline being set based on 2021–</w:t>
            </w:r>
            <w:r w:rsidRPr="008725B5">
              <w:rPr>
                <w:b w:val="0"/>
                <w:color w:val="auto"/>
              </w:rPr>
              <w:t>22 data</w:t>
            </w:r>
            <w:r w:rsidR="009A38B0">
              <w:rPr>
                <w:rStyle w:val="FootnoteReference"/>
                <w:b w:val="0"/>
                <w:color w:val="auto"/>
              </w:rPr>
              <w:footnoteReference w:id="53"/>
            </w:r>
          </w:p>
          <w:p w14:paraId="7461F34F" w14:textId="488F6A4A" w:rsidR="000D2586" w:rsidRPr="00685583" w:rsidRDefault="000D2586" w:rsidP="000D2586">
            <w:pPr>
              <w:pStyle w:val="Tableheadingrowmeasures85pt"/>
              <w:keepNext/>
              <w:keepLines/>
              <w:rPr>
                <w:b w:val="0"/>
                <w:color w:val="auto"/>
              </w:rPr>
            </w:pPr>
          </w:p>
        </w:tc>
        <w:tc>
          <w:tcPr>
            <w:tcW w:w="1536" w:type="dxa"/>
            <w:vMerge w:val="restart"/>
            <w:shd w:val="clear" w:color="auto" w:fill="auto"/>
          </w:tcPr>
          <w:p w14:paraId="4B1BB87B" w14:textId="0EFCEFB7" w:rsidR="000D2586" w:rsidRPr="00685583" w:rsidRDefault="000D2586" w:rsidP="000D2586">
            <w:pPr>
              <w:pStyle w:val="Tableheadingrowmeasures85pt"/>
              <w:keepNext/>
              <w:keepLines/>
              <w:rPr>
                <w:b w:val="0"/>
                <w:color w:val="auto"/>
              </w:rPr>
            </w:pPr>
            <w:r w:rsidRPr="00685583">
              <w:rPr>
                <w:b w:val="0"/>
                <w:color w:val="auto"/>
              </w:rPr>
              <w:t>≥95.00%</w:t>
            </w:r>
          </w:p>
          <w:p w14:paraId="018124DF" w14:textId="31BAB301" w:rsidR="000D2586" w:rsidRPr="00685583" w:rsidRDefault="000D2586" w:rsidP="000D2586">
            <w:pPr>
              <w:pStyle w:val="Tableheadingrowmeasures85pt"/>
              <w:keepNext/>
              <w:keepLines/>
              <w:rPr>
                <w:b w:val="0"/>
                <w:color w:val="auto"/>
              </w:rPr>
            </w:pPr>
            <w:r w:rsidRPr="00685583">
              <w:rPr>
                <w:b w:val="0"/>
                <w:color w:val="auto"/>
              </w:rPr>
              <w:t>≥95.00%</w:t>
            </w:r>
          </w:p>
          <w:p w14:paraId="310B665F" w14:textId="59888692" w:rsidR="000D2586" w:rsidRDefault="000D2586" w:rsidP="00940FC3">
            <w:pPr>
              <w:pStyle w:val="Tableheadingrowmeasures85pt"/>
              <w:keepNext/>
              <w:keepLines/>
              <w:rPr>
                <w:b w:val="0"/>
                <w:color w:val="auto"/>
              </w:rPr>
            </w:pPr>
            <w:r w:rsidRPr="00685583">
              <w:rPr>
                <w:b w:val="0"/>
                <w:color w:val="auto"/>
              </w:rPr>
              <w:t>To be set in 2022</w:t>
            </w:r>
            <w:r w:rsidRPr="008725B5">
              <w:rPr>
                <w:b w:val="0"/>
                <w:color w:val="auto"/>
              </w:rPr>
              <w:t xml:space="preserve"> following b</w:t>
            </w:r>
            <w:r w:rsidR="00762AB8">
              <w:rPr>
                <w:b w:val="0"/>
                <w:color w:val="auto"/>
              </w:rPr>
              <w:t>aseline being set based on 2021–</w:t>
            </w:r>
            <w:r w:rsidRPr="008725B5">
              <w:rPr>
                <w:b w:val="0"/>
                <w:color w:val="auto"/>
              </w:rPr>
              <w:t>22 data</w:t>
            </w:r>
          </w:p>
          <w:p w14:paraId="6CC017AE" w14:textId="4851C881" w:rsidR="00912617" w:rsidRPr="00685583" w:rsidRDefault="00912617" w:rsidP="00F664C1">
            <w:pPr>
              <w:pStyle w:val="Tableheadingrowmeasures85pt"/>
              <w:keepNext/>
              <w:keepLines/>
              <w:rPr>
                <w:b w:val="0"/>
                <w:color w:val="auto"/>
              </w:rPr>
            </w:pPr>
          </w:p>
        </w:tc>
        <w:tc>
          <w:tcPr>
            <w:tcW w:w="1536" w:type="dxa"/>
            <w:vMerge w:val="restart"/>
            <w:shd w:val="clear" w:color="auto" w:fill="auto"/>
          </w:tcPr>
          <w:p w14:paraId="14D7C572" w14:textId="1CE0AE50" w:rsidR="000D2586" w:rsidRPr="00685583" w:rsidRDefault="000D2586" w:rsidP="000D2586">
            <w:pPr>
              <w:pStyle w:val="Tableheadingrowmeasures85pt"/>
              <w:keepNext/>
              <w:keepLines/>
              <w:rPr>
                <w:b w:val="0"/>
                <w:color w:val="auto"/>
              </w:rPr>
            </w:pPr>
            <w:r w:rsidRPr="00685583">
              <w:rPr>
                <w:b w:val="0"/>
                <w:color w:val="auto"/>
              </w:rPr>
              <w:t>≥95.00%</w:t>
            </w:r>
          </w:p>
          <w:p w14:paraId="34BE5DB6" w14:textId="691B7DA9" w:rsidR="000D2586" w:rsidRPr="00685583" w:rsidRDefault="000D2586" w:rsidP="000D2586">
            <w:pPr>
              <w:pStyle w:val="Tableheadingrowmeasures85pt"/>
              <w:keepNext/>
              <w:keepLines/>
              <w:rPr>
                <w:b w:val="0"/>
                <w:color w:val="auto"/>
              </w:rPr>
            </w:pPr>
            <w:r w:rsidRPr="00685583">
              <w:rPr>
                <w:b w:val="0"/>
                <w:color w:val="auto"/>
              </w:rPr>
              <w:t>≥95.00%</w:t>
            </w:r>
          </w:p>
          <w:p w14:paraId="20596353" w14:textId="0C480AF9" w:rsidR="000D2586" w:rsidRPr="00685583" w:rsidRDefault="000D2586" w:rsidP="00940FC3">
            <w:pPr>
              <w:pStyle w:val="Tableheadingrowmeasures85pt"/>
              <w:keepNext/>
              <w:keepLines/>
              <w:rPr>
                <w:b w:val="0"/>
                <w:color w:val="auto"/>
              </w:rPr>
            </w:pPr>
            <w:r w:rsidRPr="00685583">
              <w:rPr>
                <w:b w:val="0"/>
                <w:color w:val="auto"/>
              </w:rPr>
              <w:t>To be set in 2022</w:t>
            </w:r>
            <w:r w:rsidRPr="008725B5">
              <w:rPr>
                <w:b w:val="0"/>
                <w:color w:val="auto"/>
              </w:rPr>
              <w:t xml:space="preserve"> following baseline being set based on </w:t>
            </w:r>
            <w:r w:rsidR="00762AB8">
              <w:rPr>
                <w:b w:val="0"/>
                <w:color w:val="auto"/>
              </w:rPr>
              <w:t>2021–</w:t>
            </w:r>
            <w:r w:rsidRPr="008725B5">
              <w:rPr>
                <w:b w:val="0"/>
                <w:color w:val="auto"/>
              </w:rPr>
              <w:t>22 data</w:t>
            </w:r>
          </w:p>
        </w:tc>
        <w:tc>
          <w:tcPr>
            <w:tcW w:w="1536" w:type="dxa"/>
            <w:vMerge w:val="restart"/>
            <w:shd w:val="clear" w:color="auto" w:fill="auto"/>
          </w:tcPr>
          <w:p w14:paraId="033F1766" w14:textId="15A6D0D5" w:rsidR="000D2586" w:rsidRPr="00685583" w:rsidRDefault="000D2586" w:rsidP="000D2586">
            <w:pPr>
              <w:pStyle w:val="Tableheadingrowmeasures85pt"/>
              <w:keepNext/>
              <w:keepLines/>
              <w:rPr>
                <w:b w:val="0"/>
                <w:color w:val="auto"/>
              </w:rPr>
            </w:pPr>
            <w:r w:rsidRPr="00685583">
              <w:rPr>
                <w:b w:val="0"/>
                <w:color w:val="auto"/>
              </w:rPr>
              <w:t>≥95.00%</w:t>
            </w:r>
          </w:p>
          <w:p w14:paraId="267155A9" w14:textId="52CFE525" w:rsidR="000D2586" w:rsidRPr="00685583" w:rsidRDefault="000D2586" w:rsidP="000D2586">
            <w:pPr>
              <w:pStyle w:val="Tableheadingrowmeasures85pt"/>
              <w:keepNext/>
              <w:keepLines/>
              <w:rPr>
                <w:b w:val="0"/>
                <w:color w:val="auto"/>
              </w:rPr>
            </w:pPr>
            <w:r w:rsidRPr="00685583">
              <w:rPr>
                <w:b w:val="0"/>
                <w:color w:val="auto"/>
              </w:rPr>
              <w:t>≥95.00%</w:t>
            </w:r>
          </w:p>
          <w:p w14:paraId="20443D66" w14:textId="7C25B482" w:rsidR="000D2586" w:rsidRPr="00685583" w:rsidRDefault="000D2586" w:rsidP="00940FC3">
            <w:pPr>
              <w:pStyle w:val="Tableheadingrowmeasures85pt"/>
              <w:keepNext/>
              <w:keepLines/>
              <w:rPr>
                <w:b w:val="0"/>
                <w:color w:val="auto"/>
              </w:rPr>
            </w:pPr>
            <w:r w:rsidRPr="008725B5">
              <w:rPr>
                <w:b w:val="0"/>
                <w:color w:val="auto"/>
              </w:rPr>
              <w:t>To be set in 2022 following b</w:t>
            </w:r>
            <w:r w:rsidR="00762AB8">
              <w:rPr>
                <w:b w:val="0"/>
                <w:color w:val="auto"/>
              </w:rPr>
              <w:t>aseline being set based on 2021–</w:t>
            </w:r>
            <w:r w:rsidRPr="008725B5">
              <w:rPr>
                <w:b w:val="0"/>
                <w:color w:val="auto"/>
              </w:rPr>
              <w:t>22 data</w:t>
            </w:r>
          </w:p>
        </w:tc>
      </w:tr>
      <w:tr w:rsidR="000D2586" w:rsidRPr="00685583" w14:paraId="710F49CC" w14:textId="77777777" w:rsidTr="009E39BD">
        <w:trPr>
          <w:jc w:val="center"/>
        </w:trPr>
        <w:tc>
          <w:tcPr>
            <w:tcW w:w="1536" w:type="dxa"/>
            <w:shd w:val="clear" w:color="auto" w:fill="auto"/>
            <w:vAlign w:val="center"/>
          </w:tcPr>
          <w:p w14:paraId="5A387AAF" w14:textId="7F1E6AAB" w:rsidR="000D2586" w:rsidRPr="00685583" w:rsidRDefault="00762AB8" w:rsidP="000D2586">
            <w:pPr>
              <w:pStyle w:val="Tableheadingrowmeasures85pt"/>
              <w:rPr>
                <w:color w:val="auto"/>
              </w:rPr>
            </w:pPr>
            <w:r>
              <w:rPr>
                <w:color w:val="auto"/>
              </w:rPr>
              <w:t>2021–</w:t>
            </w:r>
            <w:r w:rsidR="000D2586">
              <w:rPr>
                <w:color w:val="auto"/>
              </w:rPr>
              <w:t>22</w:t>
            </w:r>
            <w:r w:rsidR="000D2586">
              <w:rPr>
                <w:color w:val="auto"/>
              </w:rPr>
              <w:br/>
              <w:t>Expected Performance Result</w:t>
            </w:r>
          </w:p>
        </w:tc>
        <w:tc>
          <w:tcPr>
            <w:tcW w:w="1536" w:type="dxa"/>
            <w:vMerge/>
            <w:shd w:val="clear" w:color="auto" w:fill="auto"/>
            <w:vAlign w:val="center"/>
          </w:tcPr>
          <w:p w14:paraId="19F29BCB"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B4F6AB4"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0BD3876"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568CC285" w14:textId="0E0CBE71" w:rsidR="000D2586" w:rsidRPr="00685583" w:rsidRDefault="000D2586" w:rsidP="000D2586">
            <w:pPr>
              <w:pStyle w:val="Tableheadingrowmeasures85pt"/>
              <w:rPr>
                <w:b w:val="0"/>
                <w:color w:val="auto"/>
              </w:rPr>
            </w:pPr>
          </w:p>
        </w:tc>
      </w:tr>
      <w:tr w:rsidR="000D2586" w:rsidRPr="00685583" w14:paraId="4E8018F0" w14:textId="77777777" w:rsidTr="009E39BD">
        <w:trPr>
          <w:trHeight w:val="447"/>
          <w:jc w:val="center"/>
        </w:trPr>
        <w:tc>
          <w:tcPr>
            <w:tcW w:w="1536" w:type="dxa"/>
            <w:shd w:val="clear" w:color="auto" w:fill="auto"/>
          </w:tcPr>
          <w:p w14:paraId="0E086496" w14:textId="77777777" w:rsidR="000D2586" w:rsidRPr="00834082" w:rsidRDefault="000D2586" w:rsidP="000D2586">
            <w:pPr>
              <w:pStyle w:val="Tableheadingrow9pt"/>
              <w:rPr>
                <w:b w:val="0"/>
                <w:color w:val="auto"/>
                <w:sz w:val="17"/>
                <w:szCs w:val="17"/>
              </w:rPr>
            </w:pPr>
            <w:r w:rsidRPr="00834082">
              <w:rPr>
                <w:b w:val="0"/>
                <w:color w:val="auto"/>
                <w:sz w:val="17"/>
                <w:szCs w:val="17"/>
              </w:rPr>
              <w:t>a. ≥95.00%</w:t>
            </w:r>
          </w:p>
          <w:p w14:paraId="73078BB5" w14:textId="77777777" w:rsidR="000D2586" w:rsidRPr="00685583" w:rsidRDefault="000D2586" w:rsidP="000D2586">
            <w:pPr>
              <w:pStyle w:val="Tableheadingrow9pt"/>
              <w:rPr>
                <w:b w:val="0"/>
                <w:color w:val="auto"/>
                <w:sz w:val="17"/>
                <w:szCs w:val="17"/>
              </w:rPr>
            </w:pPr>
            <w:r w:rsidRPr="00685583">
              <w:rPr>
                <w:b w:val="0"/>
                <w:color w:val="auto"/>
                <w:sz w:val="17"/>
                <w:szCs w:val="17"/>
              </w:rPr>
              <w:t>b</w:t>
            </w:r>
            <w:r w:rsidRPr="00245C85">
              <w:rPr>
                <w:b w:val="0"/>
                <w:color w:val="auto"/>
                <w:sz w:val="17"/>
                <w:szCs w:val="17"/>
              </w:rPr>
              <w:t xml:space="preserve">. </w:t>
            </w:r>
            <w:r w:rsidRPr="00052BBE">
              <w:rPr>
                <w:b w:val="0"/>
                <w:color w:val="auto"/>
                <w:sz w:val="17"/>
                <w:szCs w:val="17"/>
              </w:rPr>
              <w:t>9</w:t>
            </w:r>
            <w:r>
              <w:rPr>
                <w:b w:val="0"/>
                <w:color w:val="auto"/>
                <w:sz w:val="17"/>
                <w:szCs w:val="17"/>
              </w:rPr>
              <w:t>2</w:t>
            </w:r>
            <w:r w:rsidRPr="00052BBE">
              <w:rPr>
                <w:b w:val="0"/>
                <w:color w:val="auto"/>
                <w:sz w:val="17"/>
                <w:szCs w:val="17"/>
              </w:rPr>
              <w:t>.</w:t>
            </w:r>
            <w:r>
              <w:rPr>
                <w:b w:val="0"/>
                <w:color w:val="auto"/>
                <w:sz w:val="17"/>
                <w:szCs w:val="17"/>
              </w:rPr>
              <w:t>9</w:t>
            </w:r>
            <w:r w:rsidRPr="00052BBE">
              <w:rPr>
                <w:b w:val="0"/>
                <w:color w:val="auto"/>
                <w:sz w:val="17"/>
                <w:szCs w:val="17"/>
              </w:rPr>
              <w:t>0%</w:t>
            </w:r>
          </w:p>
          <w:p w14:paraId="728EFD02" w14:textId="7F26A638" w:rsidR="00EB630B" w:rsidRPr="00685583" w:rsidRDefault="000D2586" w:rsidP="004A1538">
            <w:pPr>
              <w:pStyle w:val="Tableheadingrow9pt"/>
              <w:ind w:left="198" w:hanging="198"/>
              <w:rPr>
                <w:b w:val="0"/>
                <w:color w:val="auto"/>
                <w:sz w:val="17"/>
                <w:szCs w:val="17"/>
              </w:rPr>
            </w:pPr>
            <w:r w:rsidRPr="00685583">
              <w:rPr>
                <w:b w:val="0"/>
                <w:color w:val="auto"/>
                <w:sz w:val="17"/>
                <w:szCs w:val="17"/>
              </w:rPr>
              <w:t xml:space="preserve">c. </w:t>
            </w:r>
            <w:r w:rsidRPr="00052BBE">
              <w:rPr>
                <w:b w:val="0"/>
                <w:color w:val="auto"/>
                <w:sz w:val="17"/>
                <w:szCs w:val="17"/>
              </w:rPr>
              <w:t xml:space="preserve">Project scoping commencing </w:t>
            </w:r>
            <w:r w:rsidR="00F664C1">
              <w:rPr>
                <w:b w:val="0"/>
                <w:color w:val="auto"/>
                <w:sz w:val="17"/>
                <w:szCs w:val="17"/>
              </w:rPr>
              <w:t xml:space="preserve">in the first half of </w:t>
            </w:r>
            <w:r w:rsidRPr="00052BBE">
              <w:rPr>
                <w:b w:val="0"/>
                <w:color w:val="auto"/>
                <w:sz w:val="17"/>
                <w:szCs w:val="17"/>
              </w:rPr>
              <w:t>2022</w:t>
            </w:r>
          </w:p>
        </w:tc>
        <w:tc>
          <w:tcPr>
            <w:tcW w:w="1536" w:type="dxa"/>
            <w:vMerge/>
            <w:shd w:val="clear" w:color="auto" w:fill="auto"/>
          </w:tcPr>
          <w:p w14:paraId="5B4DCC66" w14:textId="77777777" w:rsidR="000D2586" w:rsidRPr="00685583" w:rsidRDefault="000D2586" w:rsidP="000D2586">
            <w:pPr>
              <w:pStyle w:val="Tableheadingrow9pt"/>
              <w:rPr>
                <w:b w:val="0"/>
                <w:color w:val="auto"/>
              </w:rPr>
            </w:pPr>
          </w:p>
        </w:tc>
        <w:tc>
          <w:tcPr>
            <w:tcW w:w="1536" w:type="dxa"/>
            <w:vMerge/>
            <w:shd w:val="clear" w:color="auto" w:fill="auto"/>
          </w:tcPr>
          <w:p w14:paraId="52A755AC" w14:textId="77777777" w:rsidR="000D2586" w:rsidRPr="00685583" w:rsidRDefault="000D2586" w:rsidP="000D2586">
            <w:pPr>
              <w:pStyle w:val="Tableheadingrow9pt"/>
              <w:rPr>
                <w:b w:val="0"/>
                <w:color w:val="auto"/>
              </w:rPr>
            </w:pPr>
          </w:p>
        </w:tc>
        <w:tc>
          <w:tcPr>
            <w:tcW w:w="1536" w:type="dxa"/>
            <w:vMerge/>
            <w:shd w:val="clear" w:color="auto" w:fill="auto"/>
          </w:tcPr>
          <w:p w14:paraId="788E818C" w14:textId="77777777" w:rsidR="000D2586" w:rsidRPr="00685583" w:rsidRDefault="000D2586" w:rsidP="000D2586">
            <w:pPr>
              <w:pStyle w:val="Tableheadingrow9pt"/>
              <w:rPr>
                <w:b w:val="0"/>
                <w:color w:val="auto"/>
              </w:rPr>
            </w:pPr>
          </w:p>
        </w:tc>
        <w:tc>
          <w:tcPr>
            <w:tcW w:w="1536" w:type="dxa"/>
            <w:vMerge/>
            <w:shd w:val="clear" w:color="auto" w:fill="auto"/>
          </w:tcPr>
          <w:p w14:paraId="2E88BB24" w14:textId="56E64765" w:rsidR="000D2586" w:rsidRPr="00685583" w:rsidRDefault="000D2586" w:rsidP="000D2586">
            <w:pPr>
              <w:pStyle w:val="Tableheadingrow9pt"/>
              <w:rPr>
                <w:b w:val="0"/>
                <w:color w:val="auto"/>
              </w:rPr>
            </w:pPr>
          </w:p>
        </w:tc>
      </w:tr>
      <w:tr w:rsidR="00685583" w:rsidRPr="00685583" w14:paraId="4344D83F" w14:textId="77777777" w:rsidTr="0059792F">
        <w:trPr>
          <w:jc w:val="center"/>
        </w:trPr>
        <w:tc>
          <w:tcPr>
            <w:tcW w:w="7680" w:type="dxa"/>
            <w:gridSpan w:val="5"/>
            <w:shd w:val="clear" w:color="auto" w:fill="auto"/>
          </w:tcPr>
          <w:p w14:paraId="64718DC3" w14:textId="06E2B0AD" w:rsidR="0059792F" w:rsidRPr="00685583" w:rsidRDefault="006B6CF1" w:rsidP="0059792F">
            <w:pPr>
              <w:pStyle w:val="Tableheadingrow9pt"/>
              <w:rPr>
                <w:color w:val="auto"/>
              </w:rPr>
            </w:pPr>
            <w:r w:rsidRPr="00685583">
              <w:rPr>
                <w:color w:val="auto"/>
              </w:rPr>
              <w:t>Material changes to Program 1.9</w:t>
            </w:r>
            <w:r w:rsidR="0059792F" w:rsidRPr="00685583">
              <w:rPr>
                <w:color w:val="auto"/>
              </w:rPr>
              <w:t xml:space="preserve"> resulting from the following measures:</w:t>
            </w:r>
          </w:p>
          <w:p w14:paraId="379AA8A7" w14:textId="5256CA1C" w:rsidR="0059792F" w:rsidRPr="00685583" w:rsidRDefault="00C8347D" w:rsidP="00C8347D">
            <w:pPr>
              <w:rPr>
                <w:color w:val="auto"/>
              </w:rPr>
            </w:pPr>
            <w:r w:rsidRPr="00473719">
              <w:rPr>
                <w:sz w:val="17"/>
                <w:szCs w:val="17"/>
              </w:rPr>
              <w:t xml:space="preserve">There are no material changes to Program </w:t>
            </w:r>
            <w:r>
              <w:rPr>
                <w:sz w:val="17"/>
                <w:szCs w:val="17"/>
              </w:rPr>
              <w:t>1</w:t>
            </w:r>
            <w:r w:rsidRPr="00473719">
              <w:rPr>
                <w:sz w:val="17"/>
                <w:szCs w:val="17"/>
              </w:rPr>
              <w:t>.</w:t>
            </w:r>
            <w:r>
              <w:rPr>
                <w:sz w:val="17"/>
                <w:szCs w:val="17"/>
              </w:rPr>
              <w:t>9</w:t>
            </w:r>
            <w:r w:rsidRPr="00473719">
              <w:rPr>
                <w:sz w:val="17"/>
                <w:szCs w:val="17"/>
              </w:rPr>
              <w:t xml:space="preserve"> resulting from measures.</w:t>
            </w:r>
          </w:p>
        </w:tc>
      </w:tr>
    </w:tbl>
    <w:p w14:paraId="59CF649B" w14:textId="34BDF593" w:rsidR="00834082" w:rsidRDefault="00834082">
      <w:pPr>
        <w:spacing w:before="0" w:after="160" w:line="259" w:lineRule="auto"/>
        <w:rPr>
          <w:color w:val="auto"/>
          <w:szCs w:val="20"/>
        </w:rPr>
      </w:pPr>
    </w:p>
    <w:p w14:paraId="33C21F40" w14:textId="77777777" w:rsidR="00F76F6B" w:rsidRPr="00685583" w:rsidRDefault="00F76F6B" w:rsidP="00F76F6B">
      <w:pPr>
        <w:pStyle w:val="NormalBookAntiqua"/>
        <w:rPr>
          <w:rFonts w:ascii="Arial" w:hAnsi="Arial"/>
          <w:color w:val="auto"/>
          <w:sz w:val="18"/>
        </w:rPr>
      </w:pPr>
    </w:p>
    <w:sectPr w:rsidR="00F76F6B" w:rsidRPr="00685583" w:rsidSect="00D260A3">
      <w:headerReference w:type="even" r:id="rId8"/>
      <w:headerReference w:type="default" r:id="rId9"/>
      <w:footerReference w:type="even" r:id="rId10"/>
      <w:footerReference w:type="default" r:id="rId11"/>
      <w:type w:val="continuous"/>
      <w:pgSz w:w="11906" w:h="16838"/>
      <w:pgMar w:top="2466" w:right="2268" w:bottom="2126" w:left="2268" w:header="1899" w:footer="1899"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9D0935" w:rsidRDefault="009D0935" w:rsidP="00DE27DD">
      <w:r>
        <w:separator/>
      </w:r>
    </w:p>
  </w:endnote>
  <w:endnote w:type="continuationSeparator" w:id="0">
    <w:p w14:paraId="6BD9A8DC" w14:textId="77777777" w:rsidR="009D0935" w:rsidRDefault="009D0935"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89503"/>
      <w:docPartObj>
        <w:docPartGallery w:val="Page Numbers (Bottom of Page)"/>
        <w:docPartUnique/>
      </w:docPartObj>
    </w:sdtPr>
    <w:sdtEndPr>
      <w:rPr>
        <w:rStyle w:val="Heading1Char"/>
      </w:rPr>
    </w:sdtEndPr>
    <w:sdtContent>
      <w:p w14:paraId="536BA8A2" w14:textId="020BA919" w:rsidR="009D0935" w:rsidRPr="00897B40" w:rsidRDefault="009D0935" w:rsidP="002660D9">
        <w:pPr>
          <w:pStyle w:val="Footer"/>
          <w:pBdr>
            <w:top w:val="single" w:sz="4" w:space="1" w:color="auto"/>
          </w:pBdr>
          <w:spacing w:before="0"/>
          <w:jc w:val="center"/>
          <w:rPr>
            <w:rStyle w:val="Heading1Char"/>
          </w:rPr>
        </w:pPr>
        <w:r w:rsidRPr="00897B40">
          <w:rPr>
            <w:rStyle w:val="Heading1Char"/>
          </w:rPr>
          <w:fldChar w:fldCharType="begin"/>
        </w:r>
        <w:r w:rsidRPr="00897B40">
          <w:rPr>
            <w:rStyle w:val="Heading1Char"/>
          </w:rPr>
          <w:instrText xml:space="preserve"> PAGE   \* MERGEFORMAT </w:instrText>
        </w:r>
        <w:r w:rsidRPr="00897B40">
          <w:rPr>
            <w:rStyle w:val="Heading1Char"/>
          </w:rPr>
          <w:fldChar w:fldCharType="separate"/>
        </w:r>
        <w:r w:rsidR="00152C04">
          <w:rPr>
            <w:rStyle w:val="Heading1Char"/>
            <w:noProof/>
          </w:rPr>
          <w:t>82</w:t>
        </w:r>
        <w:r w:rsidRPr="00897B40">
          <w:rPr>
            <w:rStyle w:val="Heading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9981" w14:textId="77777777" w:rsidR="009D0935" w:rsidRPr="00A40C24" w:rsidRDefault="009D0935" w:rsidP="000A74AA">
    <w:pPr>
      <w:framePr w:w="851" w:h="1701" w:hRule="exact" w:wrap="around" w:vAnchor="page" w:hAnchor="margin" w:x="7939" w:y="2666"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1</w:t>
    </w:r>
  </w:p>
  <w:sdt>
    <w:sdtPr>
      <w:id w:val="2133986380"/>
      <w:docPartObj>
        <w:docPartGallery w:val="Page Numbers (Bottom of Page)"/>
        <w:docPartUnique/>
      </w:docPartObj>
    </w:sdtPr>
    <w:sdtEndPr>
      <w:rPr>
        <w:noProof/>
      </w:rPr>
    </w:sdtEndPr>
    <w:sdtContent>
      <w:p w14:paraId="2647DB62" w14:textId="37CCFFFD" w:rsidR="009D0935" w:rsidRDefault="009D0935" w:rsidP="00C07DB4">
        <w:pPr>
          <w:pStyle w:val="Heading1"/>
          <w:pBdr>
            <w:top w:val="single" w:sz="4" w:space="1" w:color="auto"/>
          </w:pBdr>
          <w:spacing w:before="0"/>
        </w:pPr>
        <w:r>
          <w:fldChar w:fldCharType="begin"/>
        </w:r>
        <w:r>
          <w:instrText xml:space="preserve"> PAGE   \* MERGEFORMAT </w:instrText>
        </w:r>
        <w:r>
          <w:fldChar w:fldCharType="separate"/>
        </w:r>
        <w:r w:rsidR="00152C04">
          <w:rPr>
            <w:noProof/>
          </w:rPr>
          <w:t>81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9D0935" w:rsidRDefault="009D0935" w:rsidP="00DE27DD">
      <w:r>
        <w:separator/>
      </w:r>
    </w:p>
  </w:footnote>
  <w:footnote w:type="continuationSeparator" w:id="0">
    <w:p w14:paraId="3505F9CB" w14:textId="77777777" w:rsidR="009D0935" w:rsidRDefault="009D0935" w:rsidP="00DE27DD">
      <w:r>
        <w:continuationSeparator/>
      </w:r>
    </w:p>
  </w:footnote>
  <w:footnote w:id="1">
    <w:p w14:paraId="7607AE30" w14:textId="77777777" w:rsidR="009D0935" w:rsidRDefault="009D0935" w:rsidP="00482C42">
      <w:pPr>
        <w:pStyle w:val="FootnoteText"/>
        <w:spacing w:before="0"/>
        <w:ind w:left="284" w:hanging="284"/>
      </w:pPr>
      <w:r>
        <w:rPr>
          <w:rStyle w:val="FootnoteReference"/>
        </w:rPr>
        <w:footnoteRef/>
      </w:r>
      <w:r>
        <w:tab/>
      </w:r>
      <w:r w:rsidRPr="003B1379">
        <w:t xml:space="preserve">Refer to the </w:t>
      </w:r>
      <w:r>
        <w:t>ACSQHC</w:t>
      </w:r>
      <w:r w:rsidRPr="003B1379">
        <w:t xml:space="preserve"> chapter in these Portfolio Budget Statement</w:t>
      </w:r>
      <w:r>
        <w:t>s (PB Statements)</w:t>
      </w:r>
      <w:r w:rsidRPr="003B1379">
        <w:t xml:space="preserve"> for further information on the work of this entity.</w:t>
      </w:r>
    </w:p>
  </w:footnote>
  <w:footnote w:id="2">
    <w:p w14:paraId="1FB25942" w14:textId="77777777" w:rsidR="009D0935" w:rsidRDefault="009D0935" w:rsidP="00482C42">
      <w:pPr>
        <w:pStyle w:val="FootnoteText"/>
        <w:spacing w:before="0"/>
      </w:pPr>
      <w:r>
        <w:rPr>
          <w:rStyle w:val="FootnoteReference"/>
        </w:rPr>
        <w:footnoteRef/>
      </w:r>
      <w:r>
        <w:tab/>
        <w:t xml:space="preserve">Refer to the Digital Health </w:t>
      </w:r>
      <w:r w:rsidRPr="00BD52AE">
        <w:t xml:space="preserve">chapter in these </w:t>
      </w:r>
      <w:r>
        <w:t>PB Statements for further information on the work of this entity</w:t>
      </w:r>
      <w:r w:rsidRPr="00BD52AE">
        <w:t>.</w:t>
      </w:r>
    </w:p>
  </w:footnote>
  <w:footnote w:id="3">
    <w:p w14:paraId="1816E929" w14:textId="77777777" w:rsidR="009D0935" w:rsidRDefault="009D0935" w:rsidP="00482C42">
      <w:pPr>
        <w:pStyle w:val="FootnoteText"/>
        <w:spacing w:before="0"/>
      </w:pPr>
      <w:r>
        <w:rPr>
          <w:rStyle w:val="FootnoteReference"/>
        </w:rPr>
        <w:footnoteRef/>
      </w:r>
      <w:r>
        <w:tab/>
        <w:t>Refer</w:t>
      </w:r>
      <w:r w:rsidRPr="00BD52AE">
        <w:t xml:space="preserve"> to the </w:t>
      </w:r>
      <w:r>
        <w:t>AIHW</w:t>
      </w:r>
      <w:r w:rsidRPr="00A87BDC">
        <w:t xml:space="preserve"> </w:t>
      </w:r>
      <w:r w:rsidRPr="00BD52AE">
        <w:t xml:space="preserve">chapter in these </w:t>
      </w:r>
      <w:r>
        <w:t>PB Statements for further information on the work of this entity</w:t>
      </w:r>
      <w:r w:rsidRPr="00BD52AE">
        <w:t>.</w:t>
      </w:r>
    </w:p>
  </w:footnote>
  <w:footnote w:id="4">
    <w:p w14:paraId="2DC2FA59" w14:textId="77777777" w:rsidR="009D0935" w:rsidRDefault="009D0935" w:rsidP="00482C42">
      <w:pPr>
        <w:pStyle w:val="FootnoteText"/>
        <w:spacing w:before="0"/>
        <w:ind w:left="284" w:hanging="284"/>
      </w:pPr>
      <w:r>
        <w:rPr>
          <w:rStyle w:val="FootnoteReference"/>
        </w:rPr>
        <w:footnoteRef/>
      </w:r>
      <w:r>
        <w:tab/>
        <w:t>Refer to the ARPANSA chapter in these PB Statements for further information on the work of this entity.</w:t>
      </w:r>
    </w:p>
  </w:footnote>
  <w:footnote w:id="5">
    <w:p w14:paraId="428043E7" w14:textId="77777777" w:rsidR="009D0935" w:rsidRDefault="009D0935" w:rsidP="00482C42">
      <w:pPr>
        <w:pStyle w:val="FootnoteText"/>
        <w:spacing w:before="0"/>
        <w:ind w:left="284" w:hanging="284"/>
      </w:pPr>
      <w:r>
        <w:rPr>
          <w:rStyle w:val="FootnoteReference"/>
        </w:rPr>
        <w:footnoteRef/>
      </w:r>
      <w:r>
        <w:tab/>
      </w:r>
      <w:r w:rsidRPr="00E10DF8">
        <w:t xml:space="preserve">Refer to the Cancer Australia chapter in these </w:t>
      </w:r>
      <w:r>
        <w:t>PB Statements</w:t>
      </w:r>
      <w:r w:rsidRPr="00E10DF8">
        <w:t xml:space="preserve"> for further information on the work of this entity.</w:t>
      </w:r>
    </w:p>
  </w:footnote>
  <w:footnote w:id="6">
    <w:p w14:paraId="41FB7581" w14:textId="67678688" w:rsidR="009D0935" w:rsidRDefault="009D0935" w:rsidP="00482C42">
      <w:pPr>
        <w:pStyle w:val="FootnoteText"/>
        <w:spacing w:before="0"/>
        <w:ind w:left="284" w:hanging="284"/>
      </w:pPr>
      <w:r>
        <w:rPr>
          <w:rStyle w:val="FootnoteReference"/>
        </w:rPr>
        <w:footnoteRef/>
      </w:r>
      <w:r>
        <w:tab/>
      </w:r>
      <w:r w:rsidRPr="00163065">
        <w:t>For Budget estimates relating to the National Partnership component of the program, refer to</w:t>
      </w:r>
      <w:r>
        <w:t xml:space="preserve"> </w:t>
      </w:r>
      <w:r w:rsidRPr="00284930">
        <w:t>Budget Paper No. 3</w:t>
      </w:r>
      <w:r>
        <w:t xml:space="preserve"> or Program 1.9 of</w:t>
      </w:r>
      <w:r w:rsidRPr="00163065">
        <w:t xml:space="preserve"> Treasury’s PB Statements</w:t>
      </w:r>
      <w:r>
        <w:t>.</w:t>
      </w:r>
    </w:p>
  </w:footnote>
  <w:footnote w:id="7">
    <w:p w14:paraId="40244BE9" w14:textId="77777777" w:rsidR="009D0935" w:rsidRDefault="009D0935" w:rsidP="00482C42">
      <w:pPr>
        <w:pStyle w:val="FootnoteText"/>
        <w:spacing w:before="0"/>
      </w:pPr>
      <w:r>
        <w:rPr>
          <w:rStyle w:val="FootnoteReference"/>
        </w:rPr>
        <w:footnoteRef/>
      </w:r>
      <w:r>
        <w:tab/>
      </w:r>
      <w:r w:rsidRPr="00C11898">
        <w:t xml:space="preserve">Refer to the FSANZ chapter in these </w:t>
      </w:r>
      <w:r>
        <w:t>PB Statements</w:t>
      </w:r>
      <w:r w:rsidRPr="00C11898">
        <w:t xml:space="preserve"> for further information on the work of this entity.</w:t>
      </w:r>
    </w:p>
  </w:footnote>
  <w:footnote w:id="8">
    <w:p w14:paraId="1E93E1BA" w14:textId="77777777" w:rsidR="009D0935" w:rsidRDefault="009D0935" w:rsidP="00482C42">
      <w:pPr>
        <w:pStyle w:val="FootnoteText"/>
        <w:spacing w:before="0"/>
      </w:pPr>
      <w:r>
        <w:rPr>
          <w:rStyle w:val="FootnoteReference"/>
        </w:rPr>
        <w:footnoteRef/>
      </w:r>
      <w:r>
        <w:tab/>
      </w:r>
      <w:r w:rsidRPr="00C11898">
        <w:t xml:space="preserve">Refer to the </w:t>
      </w:r>
      <w:r>
        <w:t>IHPA</w:t>
      </w:r>
      <w:r w:rsidRPr="00C11898">
        <w:t xml:space="preserve"> chapter in these </w:t>
      </w:r>
      <w:r>
        <w:t>PB Statements</w:t>
      </w:r>
      <w:r w:rsidRPr="00C11898">
        <w:t xml:space="preserve"> for further information on the work of this entity.</w:t>
      </w:r>
    </w:p>
  </w:footnote>
  <w:footnote w:id="9">
    <w:p w14:paraId="0909012B" w14:textId="77777777" w:rsidR="009D0935" w:rsidRDefault="009D0935" w:rsidP="00482C42">
      <w:pPr>
        <w:pStyle w:val="FootnoteText"/>
        <w:spacing w:before="0"/>
      </w:pPr>
      <w:r>
        <w:rPr>
          <w:rStyle w:val="FootnoteReference"/>
        </w:rPr>
        <w:footnoteRef/>
      </w:r>
      <w:r>
        <w:tab/>
      </w:r>
      <w:r w:rsidRPr="003B1379">
        <w:t xml:space="preserve">Refer to the </w:t>
      </w:r>
      <w:r>
        <w:t>NBA</w:t>
      </w:r>
      <w:r w:rsidRPr="003B1379">
        <w:t xml:space="preserve"> chapter in these </w:t>
      </w:r>
      <w:r>
        <w:t>PB Statements</w:t>
      </w:r>
      <w:r w:rsidRPr="003B1379">
        <w:t xml:space="preserve"> for further information on the work of this entity.</w:t>
      </w:r>
    </w:p>
  </w:footnote>
  <w:footnote w:id="10">
    <w:p w14:paraId="7E197AF6" w14:textId="77777777" w:rsidR="009D0935" w:rsidRDefault="009D0935" w:rsidP="00482C42">
      <w:pPr>
        <w:pStyle w:val="FootnoteText"/>
        <w:spacing w:before="0"/>
      </w:pPr>
      <w:r>
        <w:rPr>
          <w:rStyle w:val="FootnoteReference"/>
        </w:rPr>
        <w:footnoteRef/>
      </w:r>
      <w:r>
        <w:tab/>
      </w:r>
      <w:r w:rsidRPr="003B1379">
        <w:t xml:space="preserve">Refer to the </w:t>
      </w:r>
      <w:r>
        <w:t>NHMRC</w:t>
      </w:r>
      <w:r w:rsidRPr="003B1379">
        <w:t xml:space="preserve"> chapter in these </w:t>
      </w:r>
      <w:r>
        <w:t>PB Statements</w:t>
      </w:r>
      <w:r w:rsidRPr="003B1379">
        <w:t xml:space="preserve"> for further information on the work of this entity.</w:t>
      </w:r>
    </w:p>
  </w:footnote>
  <w:footnote w:id="11">
    <w:p w14:paraId="397E8C96" w14:textId="77777777" w:rsidR="009D0935" w:rsidRDefault="009D0935" w:rsidP="00482C42">
      <w:pPr>
        <w:pStyle w:val="FootnoteText"/>
        <w:spacing w:before="0"/>
      </w:pPr>
      <w:r>
        <w:rPr>
          <w:rStyle w:val="FootnoteReference"/>
        </w:rPr>
        <w:footnoteRef/>
      </w:r>
      <w:r>
        <w:tab/>
      </w:r>
      <w:r w:rsidRPr="00C11898">
        <w:t xml:space="preserve">Refer to the </w:t>
      </w:r>
      <w:r>
        <w:t>NHFB</w:t>
      </w:r>
      <w:r w:rsidRPr="00C11898">
        <w:t xml:space="preserve"> chapter in these </w:t>
      </w:r>
      <w:r>
        <w:t>PB Statements</w:t>
      </w:r>
      <w:r w:rsidRPr="00C11898">
        <w:t xml:space="preserve"> for further information on the work of this entity.</w:t>
      </w:r>
    </w:p>
  </w:footnote>
  <w:footnote w:id="12">
    <w:p w14:paraId="28304E55" w14:textId="77777777" w:rsidR="009D0935" w:rsidRDefault="009D0935" w:rsidP="00482C42">
      <w:pPr>
        <w:pStyle w:val="FootnoteText"/>
        <w:spacing w:before="0"/>
      </w:pPr>
      <w:r>
        <w:rPr>
          <w:rStyle w:val="FootnoteReference"/>
        </w:rPr>
        <w:footnoteRef/>
      </w:r>
      <w:r>
        <w:tab/>
      </w:r>
      <w:r w:rsidRPr="00E10DF8">
        <w:t xml:space="preserve">Refer to the </w:t>
      </w:r>
      <w:r>
        <w:t>NMHC</w:t>
      </w:r>
      <w:r w:rsidRPr="00E10DF8">
        <w:t xml:space="preserve"> chapter in these </w:t>
      </w:r>
      <w:r>
        <w:t>PB Statements</w:t>
      </w:r>
      <w:r w:rsidRPr="00E10DF8">
        <w:t xml:space="preserve"> for further information on the work of this entity.</w:t>
      </w:r>
    </w:p>
  </w:footnote>
  <w:footnote w:id="13">
    <w:p w14:paraId="3C5E1032" w14:textId="77777777" w:rsidR="009D0935" w:rsidRDefault="009D0935" w:rsidP="00482C42">
      <w:pPr>
        <w:pStyle w:val="FootnoteText"/>
        <w:spacing w:before="0"/>
      </w:pPr>
      <w:r>
        <w:rPr>
          <w:rStyle w:val="FootnoteReference"/>
        </w:rPr>
        <w:footnoteRef/>
      </w:r>
      <w:r>
        <w:tab/>
      </w:r>
      <w:r w:rsidRPr="00163065">
        <w:t xml:space="preserve">Refer to the </w:t>
      </w:r>
      <w:r>
        <w:t>OTA</w:t>
      </w:r>
      <w:r w:rsidRPr="00163065">
        <w:t xml:space="preserve"> chapter in these </w:t>
      </w:r>
      <w:r>
        <w:t>PB Statements</w:t>
      </w:r>
      <w:r w:rsidRPr="00163065">
        <w:t xml:space="preserve"> for further information on the work of this entity.</w:t>
      </w:r>
    </w:p>
  </w:footnote>
  <w:footnote w:id="14">
    <w:p w14:paraId="5CE65E58" w14:textId="67C1E7CE"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15">
    <w:p w14:paraId="031F5C63" w14:textId="3CCEA887" w:rsidR="009D0935" w:rsidRDefault="009D0935" w:rsidP="009A54AE">
      <w:pPr>
        <w:pStyle w:val="FootnoteText"/>
        <w:spacing w:before="0"/>
      </w:pPr>
      <w:r>
        <w:rPr>
          <w:rStyle w:val="FootnoteReference"/>
        </w:rPr>
        <w:footnoteRef/>
      </w:r>
      <w:r>
        <w:t xml:space="preserve"> </w:t>
      </w:r>
      <w:r>
        <w:tab/>
        <w:t>Refers to a new key activity that will be reflected in the 2022–23 Corporate Plan.</w:t>
      </w:r>
    </w:p>
  </w:footnote>
  <w:footnote w:id="16">
    <w:p w14:paraId="34F51A28" w14:textId="36430703" w:rsidR="009D0935" w:rsidRDefault="009D0935">
      <w:pPr>
        <w:pStyle w:val="FootnoteText"/>
      </w:pPr>
      <w:r>
        <w:rPr>
          <w:rStyle w:val="FootnoteReference"/>
        </w:rPr>
        <w:footnoteRef/>
      </w:r>
      <w:r>
        <w:t xml:space="preserve"> </w:t>
      </w:r>
      <w:r>
        <w:tab/>
        <w:t>Ibid.</w:t>
      </w:r>
    </w:p>
  </w:footnote>
  <w:footnote w:id="17">
    <w:p w14:paraId="4AD87FA3" w14:textId="1A8FC237" w:rsidR="009D0935" w:rsidRDefault="009D0935">
      <w:pPr>
        <w:pStyle w:val="FootnoteText"/>
      </w:pPr>
      <w:r>
        <w:rPr>
          <w:rStyle w:val="FootnoteReference"/>
        </w:rPr>
        <w:footnoteRef/>
      </w:r>
      <w:r>
        <w:t xml:space="preserve"> </w:t>
      </w:r>
      <w:r>
        <w:tab/>
        <w:t>Ibid.</w:t>
      </w:r>
    </w:p>
  </w:footnote>
  <w:footnote w:id="18">
    <w:p w14:paraId="4A5AB54A" w14:textId="566C3D7F" w:rsidR="009D0935" w:rsidRDefault="009D0935">
      <w:pPr>
        <w:pStyle w:val="FootnoteText"/>
      </w:pPr>
      <w:r>
        <w:rPr>
          <w:rStyle w:val="FootnoteReference"/>
        </w:rPr>
        <w:footnoteRef/>
      </w:r>
      <w:r>
        <w:t xml:space="preserve"> </w:t>
      </w:r>
      <w:r>
        <w:tab/>
        <w:t>Ibid.</w:t>
      </w:r>
    </w:p>
  </w:footnote>
  <w:footnote w:id="19">
    <w:p w14:paraId="6BBABBAC" w14:textId="0A9BE404"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20">
    <w:p w14:paraId="71965161" w14:textId="5C5913EF" w:rsidR="009D0935" w:rsidRDefault="009D0935">
      <w:pPr>
        <w:pStyle w:val="FootnoteText"/>
      </w:pPr>
      <w:r>
        <w:rPr>
          <w:rStyle w:val="FootnoteReference"/>
        </w:rPr>
        <w:footnoteRef/>
      </w:r>
      <w:r>
        <w:t xml:space="preserve"> </w:t>
      </w:r>
      <w:r>
        <w:tab/>
        <w:t>Refers to a new key activity that will be reflected in the 2022–23 Corporate Plan.</w:t>
      </w:r>
    </w:p>
  </w:footnote>
  <w:footnote w:id="21">
    <w:p w14:paraId="73D6A912" w14:textId="3CD50D8C" w:rsidR="009D0935" w:rsidRDefault="009D0935">
      <w:pPr>
        <w:pStyle w:val="FootnoteText"/>
      </w:pPr>
      <w:r>
        <w:rPr>
          <w:rStyle w:val="FootnoteReference"/>
        </w:rPr>
        <w:footnoteRef/>
      </w:r>
      <w:r>
        <w:t xml:space="preserve"> </w:t>
      </w:r>
      <w:r>
        <w:tab/>
        <w:t>Ibid.</w:t>
      </w:r>
    </w:p>
  </w:footnote>
  <w:footnote w:id="22">
    <w:p w14:paraId="57183DF1" w14:textId="238874B5"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23">
    <w:p w14:paraId="1A8F5AB7" w14:textId="44F1FC53" w:rsidR="009D0935" w:rsidRDefault="009D0935">
      <w:pPr>
        <w:pStyle w:val="FootnoteText"/>
      </w:pPr>
      <w:r>
        <w:rPr>
          <w:rStyle w:val="FootnoteReference"/>
        </w:rPr>
        <w:footnoteRef/>
      </w:r>
      <w:r>
        <w:t xml:space="preserve"> </w:t>
      </w:r>
      <w:r>
        <w:tab/>
        <w:t>Ibid.</w:t>
      </w:r>
    </w:p>
  </w:footnote>
  <w:footnote w:id="24">
    <w:p w14:paraId="25D5EDF1" w14:textId="1D0CDB28" w:rsidR="009D0935" w:rsidRDefault="009D0935">
      <w:pPr>
        <w:pStyle w:val="FootnoteText"/>
      </w:pPr>
      <w:r>
        <w:rPr>
          <w:rStyle w:val="FootnoteReference"/>
        </w:rPr>
        <w:footnoteRef/>
      </w:r>
      <w:r>
        <w:t xml:space="preserve"> </w:t>
      </w:r>
      <w:r>
        <w:tab/>
        <w:t>Refers to a new key activity that will be reflected in the 2022–23 Corporate Plan.</w:t>
      </w:r>
    </w:p>
  </w:footnote>
  <w:footnote w:id="25">
    <w:p w14:paraId="61E3178D" w14:textId="2AEDAC50" w:rsidR="009D0935" w:rsidRDefault="009D0935">
      <w:pPr>
        <w:pStyle w:val="FootnoteText"/>
      </w:pPr>
      <w:r>
        <w:rPr>
          <w:rStyle w:val="FootnoteReference"/>
        </w:rPr>
        <w:footnoteRef/>
      </w:r>
      <w:r>
        <w:t xml:space="preserve"> </w:t>
      </w:r>
      <w:r>
        <w:tab/>
        <w:t>Ibid.</w:t>
      </w:r>
    </w:p>
  </w:footnote>
  <w:footnote w:id="26">
    <w:p w14:paraId="05AB23CA" w14:textId="020F59C4" w:rsidR="009D0935" w:rsidRDefault="009D0935">
      <w:pPr>
        <w:pStyle w:val="FootnoteText"/>
      </w:pPr>
      <w:r>
        <w:rPr>
          <w:rStyle w:val="FootnoteReference"/>
        </w:rPr>
        <w:footnoteRef/>
      </w:r>
      <w:r>
        <w:t xml:space="preserve"> </w:t>
      </w:r>
      <w:r>
        <w:tab/>
        <w:t>Ibid.</w:t>
      </w:r>
    </w:p>
  </w:footnote>
  <w:footnote w:id="27">
    <w:p w14:paraId="7018E772" w14:textId="373AFD4F"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28">
    <w:p w14:paraId="49708E0D" w14:textId="7462A9F5" w:rsidR="009D0935" w:rsidRDefault="009D0935">
      <w:pPr>
        <w:pStyle w:val="FootnoteText"/>
      </w:pPr>
      <w:r>
        <w:rPr>
          <w:rStyle w:val="FootnoteReference"/>
        </w:rPr>
        <w:footnoteRef/>
      </w:r>
      <w:r>
        <w:t xml:space="preserve"> </w:t>
      </w:r>
      <w:r>
        <w:tab/>
        <w:t>Refers to new key activities that will be reflected in the 2022–23 Corporate Plan.</w:t>
      </w:r>
    </w:p>
  </w:footnote>
  <w:footnote w:id="29">
    <w:p w14:paraId="6E8514E1" w14:textId="59930D73" w:rsidR="009D0935" w:rsidRDefault="009D0935" w:rsidP="00482C42">
      <w:pPr>
        <w:pStyle w:val="FootnoteText"/>
        <w:spacing w:before="0"/>
        <w:ind w:left="284" w:hanging="284"/>
      </w:pPr>
      <w:r>
        <w:rPr>
          <w:rStyle w:val="FootnoteReference"/>
        </w:rPr>
        <w:footnoteRef/>
      </w:r>
      <w:r>
        <w:t xml:space="preserve"> </w:t>
      </w:r>
      <w:r>
        <w:tab/>
        <w:t>Medical Benefits Scheme</w:t>
      </w:r>
      <w:r w:rsidRPr="00C57D45">
        <w:t xml:space="preserve"> claims data</w:t>
      </w:r>
      <w:r>
        <w:t xml:space="preserve"> 2013–14 to 2020</w:t>
      </w:r>
      <w:r w:rsidRPr="00C57D45">
        <w:t xml:space="preserve"> (date of processing)</w:t>
      </w:r>
      <w:r>
        <w:t>.</w:t>
      </w:r>
    </w:p>
  </w:footnote>
  <w:footnote w:id="30">
    <w:p w14:paraId="1D9DE0DA" w14:textId="21F1C675" w:rsidR="009D0935" w:rsidRDefault="009D0935" w:rsidP="00482C42">
      <w:pPr>
        <w:pStyle w:val="FootnoteText"/>
        <w:spacing w:before="0"/>
        <w:ind w:left="284" w:hanging="284"/>
      </w:pPr>
      <w:r>
        <w:rPr>
          <w:rStyle w:val="FootnoteReference"/>
        </w:rPr>
        <w:footnoteRef/>
      </w:r>
      <w:r>
        <w:t xml:space="preserve"> </w:t>
      </w:r>
      <w:r>
        <w:tab/>
        <w:t>Ibid.</w:t>
      </w:r>
    </w:p>
  </w:footnote>
  <w:footnote w:id="31">
    <w:p w14:paraId="670E5C40" w14:textId="0C7C8E2E" w:rsidR="009D0935" w:rsidRDefault="009D0935" w:rsidP="00482C42">
      <w:pPr>
        <w:pStyle w:val="FootnoteText"/>
        <w:spacing w:before="0"/>
        <w:ind w:left="284" w:hanging="284"/>
      </w:pPr>
      <w:r>
        <w:rPr>
          <w:rStyle w:val="FootnoteReference"/>
        </w:rPr>
        <w:footnoteRef/>
      </w:r>
      <w:r>
        <w:t xml:space="preserve"> </w:t>
      </w:r>
      <w:r>
        <w:tab/>
      </w:r>
      <w:r w:rsidRPr="00C57D45">
        <w:t>National Health Workforce Datasets (NHWDS), Medical Practitioners, 2013</w:t>
      </w:r>
      <w:r w:rsidRPr="00D271B7">
        <w:t>–</w:t>
      </w:r>
      <w:r>
        <w:t>2020.</w:t>
      </w:r>
    </w:p>
  </w:footnote>
  <w:footnote w:id="32">
    <w:p w14:paraId="711BAF96" w14:textId="04D619CA" w:rsidR="009D0935" w:rsidRDefault="009D0935" w:rsidP="001D79C1">
      <w:pPr>
        <w:pStyle w:val="FootnoteText"/>
        <w:spacing w:before="0"/>
        <w:ind w:left="284" w:hanging="284"/>
      </w:pPr>
      <w:r>
        <w:rPr>
          <w:rStyle w:val="FootnoteReference"/>
        </w:rPr>
        <w:footnoteRef/>
      </w:r>
      <w:r>
        <w:t xml:space="preserve"> </w:t>
      </w:r>
      <w:r>
        <w:tab/>
        <w:t>NHWDS</w:t>
      </w:r>
      <w:r w:rsidRPr="00C57D45">
        <w:t>, Nurses and Midwives, 2013</w:t>
      </w:r>
      <w:r w:rsidRPr="00D271B7">
        <w:t>–</w:t>
      </w:r>
      <w:r>
        <w:t>2020.</w:t>
      </w:r>
    </w:p>
  </w:footnote>
  <w:footnote w:id="33">
    <w:p w14:paraId="39374931" w14:textId="09F2DC07" w:rsidR="009D0935" w:rsidRDefault="009D0935" w:rsidP="00482C42">
      <w:pPr>
        <w:pStyle w:val="FootnoteText"/>
        <w:spacing w:before="0"/>
        <w:ind w:left="284" w:hanging="284"/>
      </w:pPr>
      <w:r>
        <w:rPr>
          <w:rStyle w:val="FootnoteReference"/>
        </w:rPr>
        <w:footnoteRef/>
      </w:r>
      <w:r>
        <w:t xml:space="preserve"> </w:t>
      </w:r>
      <w:r>
        <w:tab/>
        <w:t>NHWDS</w:t>
      </w:r>
      <w:r w:rsidRPr="00C57D45">
        <w:t>, Allied Health, 2013</w:t>
      </w:r>
      <w:r w:rsidRPr="00D271B7">
        <w:t>–</w:t>
      </w:r>
      <w:r>
        <w:t>2020.</w:t>
      </w:r>
    </w:p>
  </w:footnote>
  <w:footnote w:id="34">
    <w:p w14:paraId="2AA92829" w14:textId="66F7115F" w:rsidR="009D0935" w:rsidRDefault="009D0935" w:rsidP="00482C42">
      <w:pPr>
        <w:pStyle w:val="FootnoteText"/>
        <w:spacing w:before="0"/>
        <w:ind w:left="284" w:hanging="284"/>
      </w:pPr>
      <w:r>
        <w:rPr>
          <w:rStyle w:val="FootnoteReference"/>
        </w:rPr>
        <w:footnoteRef/>
      </w:r>
      <w:r>
        <w:t xml:space="preserve"> </w:t>
      </w:r>
      <w:r>
        <w:tab/>
      </w:r>
      <w:r w:rsidRPr="00C57D45">
        <w:t>Austra</w:t>
      </w:r>
      <w:r>
        <w:t xml:space="preserve">lian General Practice Training </w:t>
      </w:r>
      <w:r w:rsidRPr="00C57D45">
        <w:t xml:space="preserve">Program 2020 training year data (as at 15 February </w:t>
      </w:r>
      <w:r>
        <w:t xml:space="preserve">2021) </w:t>
      </w:r>
      <w:r w:rsidRPr="00C57D45">
        <w:t>and Rural V</w:t>
      </w:r>
      <w:r>
        <w:t>ocational Training Scheme</w:t>
      </w:r>
      <w:r w:rsidRPr="00C57D45">
        <w:t xml:space="preserve"> data (as at 31 Dec</w:t>
      </w:r>
      <w:r>
        <w:t>ember</w:t>
      </w:r>
      <w:r w:rsidRPr="00C57D45">
        <w:t xml:space="preserve"> 2020 and assuming </w:t>
      </w:r>
      <w:r>
        <w:t>one</w:t>
      </w:r>
      <w:r w:rsidRPr="00C57D45">
        <w:t xml:space="preserve"> headcount = </w:t>
      </w:r>
      <w:r>
        <w:t>one</w:t>
      </w:r>
      <w:r w:rsidRPr="00C57D45">
        <w:t xml:space="preserve"> FTE).</w:t>
      </w:r>
    </w:p>
  </w:footnote>
  <w:footnote w:id="35">
    <w:p w14:paraId="1F20EF63" w14:textId="71ECB063" w:rsidR="009D0935" w:rsidRDefault="009D0935" w:rsidP="00482C42">
      <w:pPr>
        <w:pStyle w:val="FootnoteText"/>
        <w:spacing w:before="0"/>
      </w:pPr>
      <w:r>
        <w:rPr>
          <w:rStyle w:val="FootnoteReference"/>
        </w:rPr>
        <w:footnoteRef/>
      </w:r>
      <w:r>
        <w:t xml:space="preserve"> </w:t>
      </w:r>
      <w:r>
        <w:tab/>
      </w:r>
      <w:r w:rsidRPr="004D63D4">
        <w:t>Geography: Cities (MM1) and rural (MM2-7) based on Modified Monash Model 2019</w:t>
      </w:r>
      <w:r>
        <w:t>.</w:t>
      </w:r>
    </w:p>
  </w:footnote>
  <w:footnote w:id="36">
    <w:p w14:paraId="531A227F" w14:textId="7928B299"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37">
    <w:p w14:paraId="5B24EC1F" w14:textId="21E20422" w:rsidR="009D0935" w:rsidRDefault="009D0935">
      <w:pPr>
        <w:pStyle w:val="FootnoteText"/>
      </w:pPr>
      <w:r>
        <w:rPr>
          <w:rStyle w:val="FootnoteReference"/>
        </w:rPr>
        <w:footnoteRef/>
      </w:r>
      <w:r>
        <w:t xml:space="preserve"> </w:t>
      </w:r>
      <w:r>
        <w:tab/>
        <w:t>Ibid.</w:t>
      </w:r>
    </w:p>
  </w:footnote>
  <w:footnote w:id="38">
    <w:p w14:paraId="75AA7209" w14:textId="026B8674" w:rsidR="009D0935" w:rsidRDefault="009D0935">
      <w:pPr>
        <w:pStyle w:val="FootnoteText"/>
      </w:pPr>
      <w:r>
        <w:rPr>
          <w:rStyle w:val="FootnoteReference"/>
        </w:rPr>
        <w:footnoteRef/>
      </w:r>
      <w:r>
        <w:t xml:space="preserve"> </w:t>
      </w:r>
      <w:r>
        <w:tab/>
        <w:t>Refers to a new key activity that will be reflected in the 2022–23 Corporate Plan.</w:t>
      </w:r>
    </w:p>
  </w:footnote>
  <w:footnote w:id="39">
    <w:p w14:paraId="30F0EDFB" w14:textId="134DD956" w:rsidR="009D0935" w:rsidRDefault="009D0935" w:rsidP="002709BC">
      <w:pPr>
        <w:pStyle w:val="FootnoteText"/>
        <w:spacing w:before="0"/>
        <w:ind w:left="284" w:hanging="284"/>
      </w:pPr>
      <w:r>
        <w:rPr>
          <w:rStyle w:val="FootnoteReference"/>
        </w:rPr>
        <w:footnoteRef/>
      </w:r>
      <w:r>
        <w:t xml:space="preserve"> </w:t>
      </w:r>
      <w:r>
        <w:tab/>
      </w:r>
      <w:r w:rsidRPr="006F2F60">
        <w:t>Baseline figure used from data in the A</w:t>
      </w:r>
      <w:r>
        <w:t xml:space="preserve">ustralian </w:t>
      </w:r>
      <w:r w:rsidRPr="006F2F60">
        <w:t>B</w:t>
      </w:r>
      <w:r>
        <w:t xml:space="preserve">ureau of </w:t>
      </w:r>
      <w:r w:rsidRPr="006F2F60">
        <w:t>S</w:t>
      </w:r>
      <w:r>
        <w:t>tatistics (ABS)</w:t>
      </w:r>
      <w:r w:rsidRPr="006F2F60">
        <w:t xml:space="preserve"> National </w:t>
      </w:r>
      <w:r>
        <w:t>Health Survey in 2017–</w:t>
      </w:r>
      <w:r w:rsidRPr="006F2F60">
        <w:t>18.</w:t>
      </w:r>
    </w:p>
  </w:footnote>
  <w:footnote w:id="40">
    <w:p w14:paraId="204EC03F" w14:textId="3FBEADEB" w:rsidR="009D0935" w:rsidRDefault="009D0935" w:rsidP="00A75DD6">
      <w:pPr>
        <w:pStyle w:val="FootnoteText"/>
        <w:spacing w:before="0"/>
        <w:ind w:left="284" w:hanging="284"/>
      </w:pPr>
      <w:r>
        <w:rPr>
          <w:rStyle w:val="FootnoteReference"/>
        </w:rPr>
        <w:footnoteRef/>
      </w:r>
      <w:r>
        <w:t xml:space="preserve"> </w:t>
      </w:r>
      <w:r>
        <w:tab/>
      </w:r>
      <w:r w:rsidRPr="006F2F60">
        <w:t xml:space="preserve">Baseline figure used from the most recent data in the 2019 National Drug Strategy Household Survey and analysis conducted by </w:t>
      </w:r>
      <w:r>
        <w:t>the Australian Institute of Health and Welfare (</w:t>
      </w:r>
      <w:r w:rsidRPr="006F2F60">
        <w:t>AIHW</w:t>
      </w:r>
      <w:r>
        <w:t>)</w:t>
      </w:r>
      <w:r w:rsidRPr="006F2F60">
        <w:t xml:space="preserve"> in mapping data to updated </w:t>
      </w:r>
      <w:r>
        <w:t>a</w:t>
      </w:r>
      <w:r w:rsidRPr="006F2F60">
        <w:t>lcohol guidelines.</w:t>
      </w:r>
    </w:p>
  </w:footnote>
  <w:footnote w:id="41">
    <w:p w14:paraId="4CE8E24C" w14:textId="77777777" w:rsidR="009D0935" w:rsidRDefault="009D0935" w:rsidP="009E2742">
      <w:pPr>
        <w:pStyle w:val="FootnoteText"/>
        <w:spacing w:before="0"/>
      </w:pPr>
      <w:r>
        <w:rPr>
          <w:rStyle w:val="FootnoteReference"/>
        </w:rPr>
        <w:footnoteRef/>
      </w:r>
      <w:r>
        <w:t xml:space="preserve"> </w:t>
      </w:r>
      <w:r>
        <w:tab/>
      </w:r>
      <w:r w:rsidRPr="006F2F60">
        <w:t>Baseline figure from the most recent national data in the 2019 National Drug Strategy Household Survey.</w:t>
      </w:r>
    </w:p>
  </w:footnote>
  <w:footnote w:id="42">
    <w:p w14:paraId="39189C12" w14:textId="7200DFF4" w:rsidR="009D0935" w:rsidRDefault="009D0935" w:rsidP="009E2742">
      <w:pPr>
        <w:pStyle w:val="FootnoteText"/>
        <w:spacing w:before="0"/>
        <w:ind w:left="284" w:hanging="284"/>
      </w:pPr>
      <w:r>
        <w:rPr>
          <w:rStyle w:val="FootnoteReference"/>
        </w:rPr>
        <w:footnoteRef/>
      </w:r>
      <w:r>
        <w:t xml:space="preserve"> </w:t>
      </w:r>
      <w:r>
        <w:tab/>
        <w:t>Figure used from the most recent ABS data released in December 2021, which combines current smoker status information from the National Health Survey in 2020–21, Survey of Income and Housing 2020–21, General Social Survey 2021, Time Use Survey 2020–21 and the National Study of Mental Health and Wellbeing 2020–21.</w:t>
      </w:r>
    </w:p>
  </w:footnote>
  <w:footnote w:id="43">
    <w:p w14:paraId="00CD571E" w14:textId="69A2E905" w:rsidR="009D0935" w:rsidRDefault="009D0935" w:rsidP="009E2742">
      <w:pPr>
        <w:pStyle w:val="FootnoteText"/>
        <w:spacing w:before="0"/>
      </w:pPr>
      <w:r>
        <w:rPr>
          <w:rStyle w:val="FootnoteReference"/>
        </w:rPr>
        <w:footnoteRef/>
      </w:r>
      <w:r>
        <w:t xml:space="preserve"> </w:t>
      </w:r>
      <w:r>
        <w:tab/>
        <w:t>The latest estimates from the AIHW National Bowel Cancer Screening Program monitoring report 2021.</w:t>
      </w:r>
    </w:p>
  </w:footnote>
  <w:footnote w:id="44">
    <w:p w14:paraId="6093C80D" w14:textId="1122DE13" w:rsidR="009D0935" w:rsidRDefault="009D0935" w:rsidP="009E2742">
      <w:pPr>
        <w:pStyle w:val="FootnoteText"/>
        <w:spacing w:before="0"/>
      </w:pPr>
      <w:r>
        <w:rPr>
          <w:rStyle w:val="FootnoteReference"/>
        </w:rPr>
        <w:footnoteRef/>
      </w:r>
      <w:r>
        <w:t xml:space="preserve">    The latest estimates from the AIHW National Cervical Screening Program monitoring report 2021.</w:t>
      </w:r>
    </w:p>
  </w:footnote>
  <w:footnote w:id="45">
    <w:p w14:paraId="06C8E718" w14:textId="7700BC4F" w:rsidR="009D0935" w:rsidRDefault="009D0935" w:rsidP="003F0B48">
      <w:pPr>
        <w:pStyle w:val="FootnoteText"/>
        <w:ind w:left="284" w:hanging="284"/>
      </w:pPr>
      <w:r>
        <w:rPr>
          <w:rStyle w:val="FootnoteReference"/>
        </w:rPr>
        <w:footnoteRef/>
      </w:r>
      <w:r>
        <w:t xml:space="preserve"> </w:t>
      </w:r>
      <w:r>
        <w:tab/>
        <w:t>Data not yet available from the Australian Institute of Health and Welfare. When available, results will be published in the Department of Health Annual Report.</w:t>
      </w:r>
    </w:p>
  </w:footnote>
  <w:footnote w:id="46">
    <w:p w14:paraId="785FB33F" w14:textId="5F8E6DBA" w:rsidR="009D0935" w:rsidRDefault="009D0935">
      <w:pPr>
        <w:pStyle w:val="FootnoteText"/>
      </w:pPr>
      <w:r>
        <w:rPr>
          <w:rStyle w:val="FootnoteReference"/>
        </w:rPr>
        <w:footnoteRef/>
      </w:r>
      <w:r>
        <w:t xml:space="preserve"> </w:t>
      </w:r>
      <w:r>
        <w:tab/>
        <w:t>Refers to a new key activity that will be reflected in the 2022–23 Corporate Plan.</w:t>
      </w:r>
    </w:p>
  </w:footnote>
  <w:footnote w:id="47">
    <w:p w14:paraId="59F7B613" w14:textId="0247D22A" w:rsidR="009D0935" w:rsidRDefault="009D0935">
      <w:pPr>
        <w:pStyle w:val="FootnoteText"/>
      </w:pPr>
      <w:r>
        <w:rPr>
          <w:rStyle w:val="FootnoteReference"/>
        </w:rPr>
        <w:footnoteRef/>
      </w:r>
      <w:r>
        <w:t xml:space="preserve"> </w:t>
      </w:r>
      <w:r>
        <w:tab/>
        <w:t>Refers to updated key activities that will be reflected in the 2022–23 Corporate Plan.</w:t>
      </w:r>
    </w:p>
  </w:footnote>
  <w:footnote w:id="48">
    <w:p w14:paraId="23948116" w14:textId="503F7254" w:rsidR="009D0935" w:rsidRDefault="009D0935">
      <w:pPr>
        <w:pStyle w:val="FootnoteText"/>
      </w:pPr>
      <w:r>
        <w:rPr>
          <w:rStyle w:val="FootnoteReference"/>
        </w:rPr>
        <w:footnoteRef/>
      </w:r>
      <w:r>
        <w:t xml:space="preserve"> </w:t>
      </w:r>
      <w:r>
        <w:tab/>
        <w:t>Ibid.</w:t>
      </w:r>
    </w:p>
  </w:footnote>
  <w:footnote w:id="49">
    <w:p w14:paraId="3E0E9223" w14:textId="0127D1B3" w:rsidR="009D0935" w:rsidRDefault="009D0935" w:rsidP="00762AB8">
      <w:pPr>
        <w:pStyle w:val="FootnoteText"/>
      </w:pPr>
      <w:r>
        <w:rPr>
          <w:rStyle w:val="FootnoteReference"/>
        </w:rPr>
        <w:footnoteRef/>
      </w:r>
      <w:r>
        <w:t xml:space="preserve"> </w:t>
      </w:r>
      <w:r>
        <w:tab/>
        <w:t>Refers to a new key activity that will be reflected in the 2022–23 Corporate Plan.</w:t>
      </w:r>
    </w:p>
  </w:footnote>
  <w:footnote w:id="50">
    <w:p w14:paraId="0F8A39D6" w14:textId="4AC05F4C" w:rsidR="009D0935" w:rsidRDefault="009D0935">
      <w:pPr>
        <w:pStyle w:val="FootnoteText"/>
      </w:pPr>
      <w:r>
        <w:rPr>
          <w:rStyle w:val="FootnoteReference"/>
        </w:rPr>
        <w:footnoteRef/>
      </w:r>
      <w:r>
        <w:t xml:space="preserve"> </w:t>
      </w:r>
      <w:r>
        <w:tab/>
        <w:t>Ibid.</w:t>
      </w:r>
    </w:p>
  </w:footnote>
  <w:footnote w:id="51">
    <w:p w14:paraId="627CF497" w14:textId="6FD8DDB0" w:rsidR="009D0935" w:rsidRDefault="009D0935">
      <w:pPr>
        <w:pStyle w:val="FootnoteText"/>
      </w:pPr>
      <w:r>
        <w:rPr>
          <w:rStyle w:val="FootnoteReference"/>
        </w:rPr>
        <w:footnoteRef/>
      </w:r>
      <w:r>
        <w:t xml:space="preserve"> </w:t>
      </w:r>
      <w:r>
        <w:tab/>
        <w:t>Refers to a new key activity that will be reflected in the 2022–23 Corporate Plan.</w:t>
      </w:r>
    </w:p>
  </w:footnote>
  <w:footnote w:id="52">
    <w:p w14:paraId="1013B792" w14:textId="32E5BD2E" w:rsidR="009D0935" w:rsidRDefault="009D0935" w:rsidP="00C8347D">
      <w:pPr>
        <w:pStyle w:val="FootnoteText"/>
        <w:spacing w:before="0"/>
        <w:ind w:left="284" w:hanging="284"/>
      </w:pPr>
      <w:r>
        <w:rPr>
          <w:rStyle w:val="FootnoteReference"/>
        </w:rPr>
        <w:footnoteRef/>
      </w:r>
      <w:r>
        <w:t xml:space="preserve"> </w:t>
      </w:r>
      <w:r>
        <w:tab/>
      </w:r>
      <w:r w:rsidRPr="005F4FA5">
        <w:t xml:space="preserve">Amendments to the </w:t>
      </w:r>
      <w:r w:rsidRPr="00B351C3">
        <w:rPr>
          <w:i/>
        </w:rPr>
        <w:t>Australian Immunisation Register Act 2015</w:t>
      </w:r>
      <w:r>
        <w:t xml:space="preserve"> make it mandatory to report</w:t>
      </w:r>
      <w:r w:rsidRPr="005F4FA5">
        <w:t xml:space="preserve"> COVID</w:t>
      </w:r>
      <w:r>
        <w:t>-</w:t>
      </w:r>
      <w:r w:rsidRPr="005F4FA5">
        <w:t xml:space="preserve">19 vaccinations to </w:t>
      </w:r>
      <w:r>
        <w:t xml:space="preserve">the Australian Immunisation Register </w:t>
      </w:r>
      <w:r w:rsidRPr="005F4FA5">
        <w:t>from 20 February 2021</w:t>
      </w:r>
      <w:r>
        <w:t>, and</w:t>
      </w:r>
      <w:r w:rsidRPr="005F4FA5">
        <w:t xml:space="preserve"> influenza vaccinations from 1 March 2021</w:t>
      </w:r>
      <w:r>
        <w:t xml:space="preserve">. </w:t>
      </w:r>
      <w:r w:rsidRPr="005F4FA5">
        <w:t xml:space="preserve">Accordingly, </w:t>
      </w:r>
      <w:r>
        <w:t>future targets will be determined using</w:t>
      </w:r>
      <w:r w:rsidRPr="005F4FA5">
        <w:t xml:space="preserve"> a baseline </w:t>
      </w:r>
      <w:r>
        <w:t>set in 2022 based on 2021–22 data</w:t>
      </w:r>
      <w:r w:rsidRPr="005F4FA5">
        <w:t>.</w:t>
      </w:r>
    </w:p>
  </w:footnote>
  <w:footnote w:id="53">
    <w:p w14:paraId="7D19B47C" w14:textId="63ADAB3F" w:rsidR="009D0935" w:rsidRDefault="009D0935" w:rsidP="009C33CF">
      <w:pPr>
        <w:pStyle w:val="FootnoteText"/>
        <w:spacing w:before="0"/>
        <w:ind w:left="284" w:hanging="284"/>
      </w:pPr>
      <w:r>
        <w:rPr>
          <w:rStyle w:val="FootnoteReference"/>
        </w:rPr>
        <w:footnoteRef/>
      </w:r>
      <w:r>
        <w:t xml:space="preserve"> </w:t>
      </w:r>
      <w:r>
        <w:tab/>
        <w:t>2022–23 planned performance result to be published in the Department’s 2022–23 Portfolio Additional Estimates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9766" w14:textId="0953C89C" w:rsidR="009D0935" w:rsidRDefault="009D0935" w:rsidP="00A7565C">
    <w:pPr>
      <w:pStyle w:val="Header2-Left-Even"/>
      <w:spacing w:before="0" w:after="40"/>
    </w:pPr>
    <w:r>
      <w:t>2022–23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9AEE" w14:textId="67FD3B14" w:rsidR="009D0935" w:rsidRPr="00A51285" w:rsidRDefault="009D0935" w:rsidP="00A7565C">
    <w:pPr>
      <w:pStyle w:val="Header1-Right-Odd"/>
      <w:spacing w:before="0" w:after="40"/>
    </w:pPr>
    <w:r w:rsidRPr="00F76F6B">
      <w:t>Sec</w:t>
    </w:r>
    <w:r>
      <w:t>tion 2 – Department Outcomes – 1</w:t>
    </w:r>
    <w:r w:rsidRPr="00F76F6B">
      <w:t>:</w:t>
    </w:r>
    <w:r>
      <w:t xml:space="preserve"> </w:t>
    </w:r>
    <w:r w:rsidRPr="00FC7329">
      <w:t>Health Policy, Access and Support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6CD"/>
    <w:multiLevelType w:val="hybridMultilevel"/>
    <w:tmpl w:val="A4FE3D58"/>
    <w:lvl w:ilvl="0" w:tplc="D32E4214">
      <w:start w:val="1"/>
      <w:numFmt w:val="lowerLetter"/>
      <w:lvlText w:val="%1."/>
      <w:lvlJc w:val="left"/>
      <w:pPr>
        <w:ind w:left="360" w:hanging="360"/>
      </w:pPr>
      <w:rPr>
        <w:rFonts w:ascii="Arial" w:eastAsia="Times New Roman" w:hAnsi="Arial" w:cs="Arial"/>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F238C"/>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F2EE0"/>
    <w:multiLevelType w:val="hybridMultilevel"/>
    <w:tmpl w:val="4620CC0C"/>
    <w:lvl w:ilvl="0" w:tplc="462EA3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24213"/>
    <w:multiLevelType w:val="hybridMultilevel"/>
    <w:tmpl w:val="0E844A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D0626C"/>
    <w:multiLevelType w:val="hybridMultilevel"/>
    <w:tmpl w:val="325EB1B4"/>
    <w:lvl w:ilvl="0" w:tplc="38687CE6">
      <w:start w:val="1"/>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8A15E3"/>
    <w:multiLevelType w:val="hybridMultilevel"/>
    <w:tmpl w:val="CC50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35B61"/>
    <w:multiLevelType w:val="hybridMultilevel"/>
    <w:tmpl w:val="485AFC7C"/>
    <w:lvl w:ilvl="0" w:tplc="A9B06F34">
      <w:start w:val="1"/>
      <w:numFmt w:val="lowerLetter"/>
      <w:lvlText w:val="%1."/>
      <w:lvlJc w:val="left"/>
      <w:pPr>
        <w:ind w:left="383" w:hanging="360"/>
      </w:pPr>
      <w:rPr>
        <w:rFonts w:ascii="Arial" w:eastAsia="Times New Roman" w:hAnsi="Arial" w:cs="Arial"/>
        <w:b/>
      </w:rPr>
    </w:lvl>
    <w:lvl w:ilvl="1" w:tplc="944496FA">
      <w:start w:val="1"/>
      <w:numFmt w:val="lowerRoman"/>
      <w:lvlText w:val="%2."/>
      <w:lvlJc w:val="right"/>
      <w:pPr>
        <w:ind w:left="761" w:hanging="360"/>
      </w:pPr>
      <w:rPr>
        <w:rFonts w:ascii="Arial" w:hAnsi="Arial" w:cs="Arial" w:hint="default"/>
      </w:r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7" w15:restartNumberingAfterBreak="0">
    <w:nsid w:val="0F6D0836"/>
    <w:multiLevelType w:val="hybridMultilevel"/>
    <w:tmpl w:val="53D0CAB8"/>
    <w:lvl w:ilvl="0" w:tplc="62666E3A">
      <w:start w:val="1"/>
      <w:numFmt w:val="bullet"/>
      <w:lvlText w:val="-"/>
      <w:lvlJc w:val="left"/>
      <w:pPr>
        <w:ind w:left="1027" w:hanging="360"/>
      </w:pPr>
      <w:rPr>
        <w:rFonts w:ascii="Courier New" w:hAnsi="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8" w15:restartNumberingAfterBreak="0">
    <w:nsid w:val="0FCA6FF4"/>
    <w:multiLevelType w:val="hybridMultilevel"/>
    <w:tmpl w:val="0BD09EC2"/>
    <w:lvl w:ilvl="0" w:tplc="0FA233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2C0289"/>
    <w:multiLevelType w:val="hybridMultilevel"/>
    <w:tmpl w:val="D38E8796"/>
    <w:lvl w:ilvl="0" w:tplc="386629CE">
      <w:start w:val="1"/>
      <w:numFmt w:val="lowerRoman"/>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C97466"/>
    <w:multiLevelType w:val="hybridMultilevel"/>
    <w:tmpl w:val="7D2A3C16"/>
    <w:lvl w:ilvl="0" w:tplc="3CB452D8">
      <w:start w:val="1"/>
      <w:numFmt w:val="bullet"/>
      <w:lvlText w:val=""/>
      <w:lvlJc w:val="left"/>
      <w:pPr>
        <w:ind w:left="1027" w:hanging="360"/>
      </w:pPr>
      <w:rPr>
        <w:rFonts w:ascii="Symbol" w:hAnsi="Symbol" w:hint="default"/>
        <w:color w:val="auto"/>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1" w15:restartNumberingAfterBreak="0">
    <w:nsid w:val="1A25359F"/>
    <w:multiLevelType w:val="hybridMultilevel"/>
    <w:tmpl w:val="80722202"/>
    <w:lvl w:ilvl="0" w:tplc="0FA2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711EB9"/>
    <w:multiLevelType w:val="hybridMultilevel"/>
    <w:tmpl w:val="CF940222"/>
    <w:lvl w:ilvl="0" w:tplc="2A6608C6">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6A685A"/>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617CD6"/>
    <w:multiLevelType w:val="hybridMultilevel"/>
    <w:tmpl w:val="FF0029AE"/>
    <w:lvl w:ilvl="0" w:tplc="0FA233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62133E"/>
    <w:multiLevelType w:val="hybridMultilevel"/>
    <w:tmpl w:val="B29C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C043F"/>
    <w:multiLevelType w:val="hybridMultilevel"/>
    <w:tmpl w:val="465E0448"/>
    <w:lvl w:ilvl="0" w:tplc="3E4A1D80">
      <w:start w:val="1"/>
      <w:numFmt w:val="bullet"/>
      <w:lvlText w:val="-"/>
      <w:lvlJc w:val="left"/>
      <w:pPr>
        <w:ind w:left="360" w:hanging="360"/>
      </w:pPr>
      <w:rPr>
        <w:rFonts w:ascii="Courier New" w:hAnsi="Courier New"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B86987"/>
    <w:multiLevelType w:val="hybridMultilevel"/>
    <w:tmpl w:val="AFFCD910"/>
    <w:lvl w:ilvl="0" w:tplc="BAAE17F0">
      <w:start w:val="1"/>
      <w:numFmt w:val="lowerRoman"/>
      <w:lvlText w:val="%1)"/>
      <w:lvlJc w:val="left"/>
      <w:pPr>
        <w:ind w:left="688" w:hanging="720"/>
      </w:pPr>
      <w:rPr>
        <w:rFonts w:hint="default"/>
      </w:rPr>
    </w:lvl>
    <w:lvl w:ilvl="1" w:tplc="0C090019" w:tentative="1">
      <w:start w:val="1"/>
      <w:numFmt w:val="lowerLetter"/>
      <w:lvlText w:val="%2."/>
      <w:lvlJc w:val="left"/>
      <w:pPr>
        <w:ind w:left="1048" w:hanging="360"/>
      </w:pPr>
    </w:lvl>
    <w:lvl w:ilvl="2" w:tplc="0C09001B" w:tentative="1">
      <w:start w:val="1"/>
      <w:numFmt w:val="lowerRoman"/>
      <w:lvlText w:val="%3."/>
      <w:lvlJc w:val="right"/>
      <w:pPr>
        <w:ind w:left="1768" w:hanging="180"/>
      </w:pPr>
    </w:lvl>
    <w:lvl w:ilvl="3" w:tplc="0C09000F" w:tentative="1">
      <w:start w:val="1"/>
      <w:numFmt w:val="decimal"/>
      <w:lvlText w:val="%4."/>
      <w:lvlJc w:val="left"/>
      <w:pPr>
        <w:ind w:left="2488" w:hanging="360"/>
      </w:pPr>
    </w:lvl>
    <w:lvl w:ilvl="4" w:tplc="0C090019" w:tentative="1">
      <w:start w:val="1"/>
      <w:numFmt w:val="lowerLetter"/>
      <w:lvlText w:val="%5."/>
      <w:lvlJc w:val="left"/>
      <w:pPr>
        <w:ind w:left="3208" w:hanging="360"/>
      </w:pPr>
    </w:lvl>
    <w:lvl w:ilvl="5" w:tplc="0C09001B" w:tentative="1">
      <w:start w:val="1"/>
      <w:numFmt w:val="lowerRoman"/>
      <w:lvlText w:val="%6."/>
      <w:lvlJc w:val="right"/>
      <w:pPr>
        <w:ind w:left="3928" w:hanging="180"/>
      </w:pPr>
    </w:lvl>
    <w:lvl w:ilvl="6" w:tplc="0C09000F" w:tentative="1">
      <w:start w:val="1"/>
      <w:numFmt w:val="decimal"/>
      <w:lvlText w:val="%7."/>
      <w:lvlJc w:val="left"/>
      <w:pPr>
        <w:ind w:left="4648" w:hanging="360"/>
      </w:pPr>
    </w:lvl>
    <w:lvl w:ilvl="7" w:tplc="0C090019" w:tentative="1">
      <w:start w:val="1"/>
      <w:numFmt w:val="lowerLetter"/>
      <w:lvlText w:val="%8."/>
      <w:lvlJc w:val="left"/>
      <w:pPr>
        <w:ind w:left="5368" w:hanging="360"/>
      </w:pPr>
    </w:lvl>
    <w:lvl w:ilvl="8" w:tplc="0C09001B" w:tentative="1">
      <w:start w:val="1"/>
      <w:numFmt w:val="lowerRoman"/>
      <w:lvlText w:val="%9."/>
      <w:lvlJc w:val="right"/>
      <w:pPr>
        <w:ind w:left="6088" w:hanging="180"/>
      </w:pPr>
    </w:lvl>
  </w:abstractNum>
  <w:abstractNum w:abstractNumId="18" w15:restartNumberingAfterBreak="0">
    <w:nsid w:val="293E6C20"/>
    <w:multiLevelType w:val="hybridMultilevel"/>
    <w:tmpl w:val="D16257F4"/>
    <w:lvl w:ilvl="0" w:tplc="C652CFA2">
      <w:start w:val="1"/>
      <w:numFmt w:val="bullet"/>
      <w:lvlText w:val="-"/>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C91DC0"/>
    <w:multiLevelType w:val="hybridMultilevel"/>
    <w:tmpl w:val="9EB875A4"/>
    <w:lvl w:ilvl="0" w:tplc="0C090003">
      <w:start w:val="1"/>
      <w:numFmt w:val="bullet"/>
      <w:lvlText w:val="o"/>
      <w:lvlJc w:val="left"/>
      <w:pPr>
        <w:ind w:left="1027" w:hanging="360"/>
      </w:pPr>
      <w:rPr>
        <w:rFonts w:ascii="Courier New" w:hAnsi="Courier New" w:cs="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0" w15:restartNumberingAfterBreak="0">
    <w:nsid w:val="2DB35579"/>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632DD8"/>
    <w:multiLevelType w:val="hybridMultilevel"/>
    <w:tmpl w:val="EF2CEE5E"/>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44172C"/>
    <w:multiLevelType w:val="hybridMultilevel"/>
    <w:tmpl w:val="B66E3AC6"/>
    <w:lvl w:ilvl="0" w:tplc="62666E3A">
      <w:start w:val="1"/>
      <w:numFmt w:val="bullet"/>
      <w:lvlText w:val="-"/>
      <w:lvlJc w:val="left"/>
      <w:pPr>
        <w:ind w:left="767" w:hanging="360"/>
      </w:pPr>
      <w:rPr>
        <w:rFonts w:ascii="Courier New" w:hAnsi="Courier New"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3" w15:restartNumberingAfterBreak="0">
    <w:nsid w:val="467F3361"/>
    <w:multiLevelType w:val="hybridMultilevel"/>
    <w:tmpl w:val="FB267986"/>
    <w:lvl w:ilvl="0" w:tplc="95BA9A90">
      <w:start w:val="2"/>
      <w:numFmt w:val="lowerRoman"/>
      <w:lvlText w:val="%1."/>
      <w:lvlJc w:val="left"/>
      <w:pPr>
        <w:ind w:left="743" w:hanging="720"/>
      </w:pPr>
      <w:rPr>
        <w:rFonts w:hint="default"/>
      </w:rPr>
    </w:lvl>
    <w:lvl w:ilvl="1" w:tplc="0C090019" w:tentative="1">
      <w:start w:val="1"/>
      <w:numFmt w:val="lowerLetter"/>
      <w:lvlText w:val="%2."/>
      <w:lvlJc w:val="left"/>
      <w:pPr>
        <w:ind w:left="1103" w:hanging="360"/>
      </w:p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24" w15:restartNumberingAfterBreak="0">
    <w:nsid w:val="473B6208"/>
    <w:multiLevelType w:val="hybridMultilevel"/>
    <w:tmpl w:val="FF0029AE"/>
    <w:lvl w:ilvl="0" w:tplc="0FA233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5009F5"/>
    <w:multiLevelType w:val="hybridMultilevel"/>
    <w:tmpl w:val="CBD0907C"/>
    <w:lvl w:ilvl="0" w:tplc="462EA3B4">
      <w:start w:val="1"/>
      <w:numFmt w:val="lowerRoman"/>
      <w:lvlText w:val="%1)"/>
      <w:lvlJc w:val="left"/>
      <w:pPr>
        <w:ind w:left="688" w:hanging="720"/>
      </w:pPr>
      <w:rPr>
        <w:rFonts w:hint="default"/>
      </w:rPr>
    </w:lvl>
    <w:lvl w:ilvl="1" w:tplc="0C090019" w:tentative="1">
      <w:start w:val="1"/>
      <w:numFmt w:val="lowerLetter"/>
      <w:lvlText w:val="%2."/>
      <w:lvlJc w:val="left"/>
      <w:pPr>
        <w:ind w:left="1048" w:hanging="360"/>
      </w:pPr>
    </w:lvl>
    <w:lvl w:ilvl="2" w:tplc="0C09001B" w:tentative="1">
      <w:start w:val="1"/>
      <w:numFmt w:val="lowerRoman"/>
      <w:lvlText w:val="%3."/>
      <w:lvlJc w:val="right"/>
      <w:pPr>
        <w:ind w:left="1768" w:hanging="180"/>
      </w:pPr>
    </w:lvl>
    <w:lvl w:ilvl="3" w:tplc="0C09000F" w:tentative="1">
      <w:start w:val="1"/>
      <w:numFmt w:val="decimal"/>
      <w:lvlText w:val="%4."/>
      <w:lvlJc w:val="left"/>
      <w:pPr>
        <w:ind w:left="2488" w:hanging="360"/>
      </w:pPr>
    </w:lvl>
    <w:lvl w:ilvl="4" w:tplc="0C090019" w:tentative="1">
      <w:start w:val="1"/>
      <w:numFmt w:val="lowerLetter"/>
      <w:lvlText w:val="%5."/>
      <w:lvlJc w:val="left"/>
      <w:pPr>
        <w:ind w:left="3208" w:hanging="360"/>
      </w:pPr>
    </w:lvl>
    <w:lvl w:ilvl="5" w:tplc="0C09001B" w:tentative="1">
      <w:start w:val="1"/>
      <w:numFmt w:val="lowerRoman"/>
      <w:lvlText w:val="%6."/>
      <w:lvlJc w:val="right"/>
      <w:pPr>
        <w:ind w:left="3928" w:hanging="180"/>
      </w:pPr>
    </w:lvl>
    <w:lvl w:ilvl="6" w:tplc="0C09000F" w:tentative="1">
      <w:start w:val="1"/>
      <w:numFmt w:val="decimal"/>
      <w:lvlText w:val="%7."/>
      <w:lvlJc w:val="left"/>
      <w:pPr>
        <w:ind w:left="4648" w:hanging="360"/>
      </w:pPr>
    </w:lvl>
    <w:lvl w:ilvl="7" w:tplc="0C090019" w:tentative="1">
      <w:start w:val="1"/>
      <w:numFmt w:val="lowerLetter"/>
      <w:lvlText w:val="%8."/>
      <w:lvlJc w:val="left"/>
      <w:pPr>
        <w:ind w:left="5368" w:hanging="360"/>
      </w:pPr>
    </w:lvl>
    <w:lvl w:ilvl="8" w:tplc="0C09001B" w:tentative="1">
      <w:start w:val="1"/>
      <w:numFmt w:val="lowerRoman"/>
      <w:lvlText w:val="%9."/>
      <w:lvlJc w:val="right"/>
      <w:pPr>
        <w:ind w:left="6088" w:hanging="180"/>
      </w:pPr>
    </w:lvl>
  </w:abstractNum>
  <w:abstractNum w:abstractNumId="26" w15:restartNumberingAfterBreak="0">
    <w:nsid w:val="49CB3EC4"/>
    <w:multiLevelType w:val="hybridMultilevel"/>
    <w:tmpl w:val="AE0C901E"/>
    <w:lvl w:ilvl="0" w:tplc="014054FC">
      <w:start w:val="1"/>
      <w:numFmt w:val="lowerRoman"/>
      <w:lvlText w:val="%1)"/>
      <w:lvlJc w:val="left"/>
      <w:pPr>
        <w:ind w:left="688" w:hanging="720"/>
      </w:pPr>
      <w:rPr>
        <w:rFonts w:hint="default"/>
      </w:rPr>
    </w:lvl>
    <w:lvl w:ilvl="1" w:tplc="0C090019" w:tentative="1">
      <w:start w:val="1"/>
      <w:numFmt w:val="lowerLetter"/>
      <w:lvlText w:val="%2."/>
      <w:lvlJc w:val="left"/>
      <w:pPr>
        <w:ind w:left="1048" w:hanging="360"/>
      </w:pPr>
    </w:lvl>
    <w:lvl w:ilvl="2" w:tplc="0C09001B" w:tentative="1">
      <w:start w:val="1"/>
      <w:numFmt w:val="lowerRoman"/>
      <w:lvlText w:val="%3."/>
      <w:lvlJc w:val="right"/>
      <w:pPr>
        <w:ind w:left="1768" w:hanging="180"/>
      </w:pPr>
    </w:lvl>
    <w:lvl w:ilvl="3" w:tplc="0C09000F" w:tentative="1">
      <w:start w:val="1"/>
      <w:numFmt w:val="decimal"/>
      <w:lvlText w:val="%4."/>
      <w:lvlJc w:val="left"/>
      <w:pPr>
        <w:ind w:left="2488" w:hanging="360"/>
      </w:pPr>
    </w:lvl>
    <w:lvl w:ilvl="4" w:tplc="0C090019" w:tentative="1">
      <w:start w:val="1"/>
      <w:numFmt w:val="lowerLetter"/>
      <w:lvlText w:val="%5."/>
      <w:lvlJc w:val="left"/>
      <w:pPr>
        <w:ind w:left="3208" w:hanging="360"/>
      </w:pPr>
    </w:lvl>
    <w:lvl w:ilvl="5" w:tplc="0C09001B" w:tentative="1">
      <w:start w:val="1"/>
      <w:numFmt w:val="lowerRoman"/>
      <w:lvlText w:val="%6."/>
      <w:lvlJc w:val="right"/>
      <w:pPr>
        <w:ind w:left="3928" w:hanging="180"/>
      </w:pPr>
    </w:lvl>
    <w:lvl w:ilvl="6" w:tplc="0C09000F" w:tentative="1">
      <w:start w:val="1"/>
      <w:numFmt w:val="decimal"/>
      <w:lvlText w:val="%7."/>
      <w:lvlJc w:val="left"/>
      <w:pPr>
        <w:ind w:left="4648" w:hanging="360"/>
      </w:pPr>
    </w:lvl>
    <w:lvl w:ilvl="7" w:tplc="0C090019" w:tentative="1">
      <w:start w:val="1"/>
      <w:numFmt w:val="lowerLetter"/>
      <w:lvlText w:val="%8."/>
      <w:lvlJc w:val="left"/>
      <w:pPr>
        <w:ind w:left="5368" w:hanging="360"/>
      </w:pPr>
    </w:lvl>
    <w:lvl w:ilvl="8" w:tplc="0C09001B" w:tentative="1">
      <w:start w:val="1"/>
      <w:numFmt w:val="lowerRoman"/>
      <w:lvlText w:val="%9."/>
      <w:lvlJc w:val="right"/>
      <w:pPr>
        <w:ind w:left="6088" w:hanging="180"/>
      </w:pPr>
    </w:lvl>
  </w:abstractNum>
  <w:abstractNum w:abstractNumId="27" w15:restartNumberingAfterBreak="0">
    <w:nsid w:val="4A7064A1"/>
    <w:multiLevelType w:val="hybridMultilevel"/>
    <w:tmpl w:val="F17473A2"/>
    <w:lvl w:ilvl="0" w:tplc="9DB46EBC">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E36D52"/>
    <w:multiLevelType w:val="hybridMultilevel"/>
    <w:tmpl w:val="218E878E"/>
    <w:lvl w:ilvl="0" w:tplc="DF72D0B0">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481579"/>
    <w:multiLevelType w:val="hybridMultilevel"/>
    <w:tmpl w:val="CBD0907C"/>
    <w:lvl w:ilvl="0" w:tplc="462EA3B4">
      <w:start w:val="1"/>
      <w:numFmt w:val="lowerRoman"/>
      <w:lvlText w:val="%1)"/>
      <w:lvlJc w:val="left"/>
      <w:pPr>
        <w:ind w:left="688" w:hanging="720"/>
      </w:pPr>
      <w:rPr>
        <w:rFonts w:hint="default"/>
      </w:rPr>
    </w:lvl>
    <w:lvl w:ilvl="1" w:tplc="0C090019" w:tentative="1">
      <w:start w:val="1"/>
      <w:numFmt w:val="lowerLetter"/>
      <w:lvlText w:val="%2."/>
      <w:lvlJc w:val="left"/>
      <w:pPr>
        <w:ind w:left="1048" w:hanging="360"/>
      </w:pPr>
    </w:lvl>
    <w:lvl w:ilvl="2" w:tplc="0C09001B" w:tentative="1">
      <w:start w:val="1"/>
      <w:numFmt w:val="lowerRoman"/>
      <w:lvlText w:val="%3."/>
      <w:lvlJc w:val="right"/>
      <w:pPr>
        <w:ind w:left="1768" w:hanging="180"/>
      </w:pPr>
    </w:lvl>
    <w:lvl w:ilvl="3" w:tplc="0C09000F" w:tentative="1">
      <w:start w:val="1"/>
      <w:numFmt w:val="decimal"/>
      <w:lvlText w:val="%4."/>
      <w:lvlJc w:val="left"/>
      <w:pPr>
        <w:ind w:left="2488" w:hanging="360"/>
      </w:pPr>
    </w:lvl>
    <w:lvl w:ilvl="4" w:tplc="0C090019" w:tentative="1">
      <w:start w:val="1"/>
      <w:numFmt w:val="lowerLetter"/>
      <w:lvlText w:val="%5."/>
      <w:lvlJc w:val="left"/>
      <w:pPr>
        <w:ind w:left="3208" w:hanging="360"/>
      </w:pPr>
    </w:lvl>
    <w:lvl w:ilvl="5" w:tplc="0C09001B" w:tentative="1">
      <w:start w:val="1"/>
      <w:numFmt w:val="lowerRoman"/>
      <w:lvlText w:val="%6."/>
      <w:lvlJc w:val="right"/>
      <w:pPr>
        <w:ind w:left="3928" w:hanging="180"/>
      </w:pPr>
    </w:lvl>
    <w:lvl w:ilvl="6" w:tplc="0C09000F" w:tentative="1">
      <w:start w:val="1"/>
      <w:numFmt w:val="decimal"/>
      <w:lvlText w:val="%7."/>
      <w:lvlJc w:val="left"/>
      <w:pPr>
        <w:ind w:left="4648" w:hanging="360"/>
      </w:pPr>
    </w:lvl>
    <w:lvl w:ilvl="7" w:tplc="0C090019" w:tentative="1">
      <w:start w:val="1"/>
      <w:numFmt w:val="lowerLetter"/>
      <w:lvlText w:val="%8."/>
      <w:lvlJc w:val="left"/>
      <w:pPr>
        <w:ind w:left="5368" w:hanging="360"/>
      </w:pPr>
    </w:lvl>
    <w:lvl w:ilvl="8" w:tplc="0C09001B" w:tentative="1">
      <w:start w:val="1"/>
      <w:numFmt w:val="lowerRoman"/>
      <w:lvlText w:val="%9."/>
      <w:lvlJc w:val="right"/>
      <w:pPr>
        <w:ind w:left="6088" w:hanging="180"/>
      </w:pPr>
    </w:lvl>
  </w:abstractNum>
  <w:abstractNum w:abstractNumId="30" w15:restartNumberingAfterBreak="0">
    <w:nsid w:val="54E23B01"/>
    <w:multiLevelType w:val="hybridMultilevel"/>
    <w:tmpl w:val="9D16FC0C"/>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A0C08"/>
    <w:multiLevelType w:val="hybridMultilevel"/>
    <w:tmpl w:val="264C91E0"/>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32" w15:restartNumberingAfterBreak="0">
    <w:nsid w:val="5F2D06F4"/>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8F24D3"/>
    <w:multiLevelType w:val="hybridMultilevel"/>
    <w:tmpl w:val="0BD09EC2"/>
    <w:lvl w:ilvl="0" w:tplc="0FA233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9C3DBC"/>
    <w:multiLevelType w:val="hybridMultilevel"/>
    <w:tmpl w:val="4620CC0C"/>
    <w:lvl w:ilvl="0" w:tplc="462EA3B4">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6AF92702"/>
    <w:multiLevelType w:val="hybridMultilevel"/>
    <w:tmpl w:val="5F0CE8BA"/>
    <w:lvl w:ilvl="0" w:tplc="26225F2E">
      <w:start w:val="2"/>
      <w:numFmt w:val="lowerRoman"/>
      <w:lvlText w:val="%1)"/>
      <w:lvlJc w:val="left"/>
      <w:pPr>
        <w:ind w:left="38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77044E"/>
    <w:multiLevelType w:val="hybridMultilevel"/>
    <w:tmpl w:val="C2AE2552"/>
    <w:lvl w:ilvl="0" w:tplc="38FA5204">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634BE6"/>
    <w:multiLevelType w:val="hybridMultilevel"/>
    <w:tmpl w:val="789A3CF6"/>
    <w:lvl w:ilvl="0" w:tplc="B5C4BF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481841"/>
    <w:multiLevelType w:val="hybridMultilevel"/>
    <w:tmpl w:val="E83CFEB6"/>
    <w:lvl w:ilvl="0" w:tplc="6B449CB2">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7E6DD4"/>
    <w:multiLevelType w:val="hybridMultilevel"/>
    <w:tmpl w:val="38382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926BC"/>
    <w:multiLevelType w:val="hybridMultilevel"/>
    <w:tmpl w:val="53427592"/>
    <w:lvl w:ilvl="0" w:tplc="0C090003">
      <w:start w:val="1"/>
      <w:numFmt w:val="bullet"/>
      <w:lvlText w:val="o"/>
      <w:lvlJc w:val="left"/>
      <w:pPr>
        <w:ind w:left="1027" w:hanging="360"/>
      </w:pPr>
      <w:rPr>
        <w:rFonts w:ascii="Courier New" w:hAnsi="Courier New" w:cs="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41" w15:restartNumberingAfterBreak="0">
    <w:nsid w:val="7B1B0647"/>
    <w:multiLevelType w:val="hybridMultilevel"/>
    <w:tmpl w:val="FC34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8"/>
  </w:num>
  <w:num w:numId="4">
    <w:abstractNumId w:val="16"/>
  </w:num>
  <w:num w:numId="5">
    <w:abstractNumId w:val="41"/>
  </w:num>
  <w:num w:numId="6">
    <w:abstractNumId w:val="40"/>
  </w:num>
  <w:num w:numId="7">
    <w:abstractNumId w:val="3"/>
  </w:num>
  <w:num w:numId="8">
    <w:abstractNumId w:val="0"/>
  </w:num>
  <w:num w:numId="9">
    <w:abstractNumId w:val="27"/>
  </w:num>
  <w:num w:numId="10">
    <w:abstractNumId w:val="36"/>
  </w:num>
  <w:num w:numId="11">
    <w:abstractNumId w:val="19"/>
  </w:num>
  <w:num w:numId="12">
    <w:abstractNumId w:val="6"/>
  </w:num>
  <w:num w:numId="13">
    <w:abstractNumId w:val="24"/>
  </w:num>
  <w:num w:numId="14">
    <w:abstractNumId w:val="14"/>
  </w:num>
  <w:num w:numId="15">
    <w:abstractNumId w:val="33"/>
  </w:num>
  <w:num w:numId="16">
    <w:abstractNumId w:val="8"/>
  </w:num>
  <w:num w:numId="17">
    <w:abstractNumId w:val="25"/>
  </w:num>
  <w:num w:numId="18">
    <w:abstractNumId w:val="26"/>
  </w:num>
  <w:num w:numId="19">
    <w:abstractNumId w:val="17"/>
  </w:num>
  <w:num w:numId="20">
    <w:abstractNumId w:val="11"/>
  </w:num>
  <w:num w:numId="21">
    <w:abstractNumId w:val="38"/>
  </w:num>
  <w:num w:numId="22">
    <w:abstractNumId w:val="22"/>
  </w:num>
  <w:num w:numId="23">
    <w:abstractNumId w:val="29"/>
  </w:num>
  <w:num w:numId="24">
    <w:abstractNumId w:val="34"/>
  </w:num>
  <w:num w:numId="25">
    <w:abstractNumId w:val="37"/>
  </w:num>
  <w:num w:numId="26">
    <w:abstractNumId w:val="2"/>
  </w:num>
  <w:num w:numId="27">
    <w:abstractNumId w:val="35"/>
  </w:num>
  <w:num w:numId="28">
    <w:abstractNumId w:val="23"/>
  </w:num>
  <w:num w:numId="29">
    <w:abstractNumId w:val="4"/>
  </w:num>
  <w:num w:numId="30">
    <w:abstractNumId w:val="13"/>
  </w:num>
  <w:num w:numId="31">
    <w:abstractNumId w:val="20"/>
  </w:num>
  <w:num w:numId="32">
    <w:abstractNumId w:val="9"/>
  </w:num>
  <w:num w:numId="33">
    <w:abstractNumId w:val="32"/>
  </w:num>
  <w:num w:numId="34">
    <w:abstractNumId w:val="1"/>
  </w:num>
  <w:num w:numId="35">
    <w:abstractNumId w:val="7"/>
  </w:num>
  <w:num w:numId="36">
    <w:abstractNumId w:val="15"/>
  </w:num>
  <w:num w:numId="37">
    <w:abstractNumId w:val="10"/>
  </w:num>
  <w:num w:numId="38">
    <w:abstractNumId w:val="30"/>
  </w:num>
  <w:num w:numId="39">
    <w:abstractNumId w:val="39"/>
  </w:num>
  <w:num w:numId="4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8"/>
  </w:num>
  <w:num w:numId="4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AE3"/>
    <w:rsid w:val="00000D8E"/>
    <w:rsid w:val="0001182E"/>
    <w:rsid w:val="00011B39"/>
    <w:rsid w:val="000140B5"/>
    <w:rsid w:val="000156D3"/>
    <w:rsid w:val="00022E3D"/>
    <w:rsid w:val="00023111"/>
    <w:rsid w:val="00023F14"/>
    <w:rsid w:val="00024AB1"/>
    <w:rsid w:val="00026236"/>
    <w:rsid w:val="00032F2F"/>
    <w:rsid w:val="000335C9"/>
    <w:rsid w:val="00037B82"/>
    <w:rsid w:val="00043BEB"/>
    <w:rsid w:val="00046090"/>
    <w:rsid w:val="00046363"/>
    <w:rsid w:val="0005014E"/>
    <w:rsid w:val="00051039"/>
    <w:rsid w:val="00055C80"/>
    <w:rsid w:val="00061B76"/>
    <w:rsid w:val="00061E6F"/>
    <w:rsid w:val="000653F1"/>
    <w:rsid w:val="00073FBF"/>
    <w:rsid w:val="00076265"/>
    <w:rsid w:val="00076483"/>
    <w:rsid w:val="00081150"/>
    <w:rsid w:val="00081925"/>
    <w:rsid w:val="00081CC4"/>
    <w:rsid w:val="00086DA1"/>
    <w:rsid w:val="00091656"/>
    <w:rsid w:val="00091E37"/>
    <w:rsid w:val="000923A3"/>
    <w:rsid w:val="00093AD3"/>
    <w:rsid w:val="00093E16"/>
    <w:rsid w:val="00094FCD"/>
    <w:rsid w:val="00096750"/>
    <w:rsid w:val="000A0DA1"/>
    <w:rsid w:val="000A64FB"/>
    <w:rsid w:val="000A7480"/>
    <w:rsid w:val="000A74AA"/>
    <w:rsid w:val="000B51FB"/>
    <w:rsid w:val="000B6ABB"/>
    <w:rsid w:val="000B7B69"/>
    <w:rsid w:val="000C1B8D"/>
    <w:rsid w:val="000C1B9B"/>
    <w:rsid w:val="000C1C67"/>
    <w:rsid w:val="000D2586"/>
    <w:rsid w:val="000D4381"/>
    <w:rsid w:val="000D4CEE"/>
    <w:rsid w:val="000E0CF7"/>
    <w:rsid w:val="000E19D9"/>
    <w:rsid w:val="000E19EC"/>
    <w:rsid w:val="000E518D"/>
    <w:rsid w:val="000E6183"/>
    <w:rsid w:val="000E75EF"/>
    <w:rsid w:val="000F0F37"/>
    <w:rsid w:val="000F34D6"/>
    <w:rsid w:val="000F7A14"/>
    <w:rsid w:val="00100A44"/>
    <w:rsid w:val="001055DE"/>
    <w:rsid w:val="0010713E"/>
    <w:rsid w:val="0011026B"/>
    <w:rsid w:val="00114D73"/>
    <w:rsid w:val="0011679F"/>
    <w:rsid w:val="00120304"/>
    <w:rsid w:val="0012137A"/>
    <w:rsid w:val="0012632E"/>
    <w:rsid w:val="00135143"/>
    <w:rsid w:val="00140EDB"/>
    <w:rsid w:val="00141C9E"/>
    <w:rsid w:val="00143B7D"/>
    <w:rsid w:val="001445F5"/>
    <w:rsid w:val="0015013B"/>
    <w:rsid w:val="00152C04"/>
    <w:rsid w:val="00154033"/>
    <w:rsid w:val="00154357"/>
    <w:rsid w:val="0016475F"/>
    <w:rsid w:val="00165050"/>
    <w:rsid w:val="0016761D"/>
    <w:rsid w:val="00170FF2"/>
    <w:rsid w:val="0017162C"/>
    <w:rsid w:val="00171C93"/>
    <w:rsid w:val="00175E58"/>
    <w:rsid w:val="001763F4"/>
    <w:rsid w:val="00176F3E"/>
    <w:rsid w:val="00177B4A"/>
    <w:rsid w:val="0018159D"/>
    <w:rsid w:val="001817D0"/>
    <w:rsid w:val="00185223"/>
    <w:rsid w:val="0019379B"/>
    <w:rsid w:val="00194C56"/>
    <w:rsid w:val="001954D9"/>
    <w:rsid w:val="00196239"/>
    <w:rsid w:val="00197CA9"/>
    <w:rsid w:val="001A4373"/>
    <w:rsid w:val="001B2F49"/>
    <w:rsid w:val="001B3692"/>
    <w:rsid w:val="001B36AC"/>
    <w:rsid w:val="001B4521"/>
    <w:rsid w:val="001B45D8"/>
    <w:rsid w:val="001B788D"/>
    <w:rsid w:val="001B7D08"/>
    <w:rsid w:val="001C6058"/>
    <w:rsid w:val="001C7248"/>
    <w:rsid w:val="001D2771"/>
    <w:rsid w:val="001D79C1"/>
    <w:rsid w:val="001E08BB"/>
    <w:rsid w:val="001E617E"/>
    <w:rsid w:val="001F53E6"/>
    <w:rsid w:val="001F5F29"/>
    <w:rsid w:val="001F7A93"/>
    <w:rsid w:val="001F7D91"/>
    <w:rsid w:val="00201047"/>
    <w:rsid w:val="00204452"/>
    <w:rsid w:val="002044F3"/>
    <w:rsid w:val="00204A77"/>
    <w:rsid w:val="00207AAE"/>
    <w:rsid w:val="0021263D"/>
    <w:rsid w:val="00217AAB"/>
    <w:rsid w:val="00220468"/>
    <w:rsid w:val="00220B7A"/>
    <w:rsid w:val="002221E5"/>
    <w:rsid w:val="00225F2A"/>
    <w:rsid w:val="002276E2"/>
    <w:rsid w:val="00236AF3"/>
    <w:rsid w:val="00240D96"/>
    <w:rsid w:val="00241758"/>
    <w:rsid w:val="0024283D"/>
    <w:rsid w:val="002437E4"/>
    <w:rsid w:val="00244D0B"/>
    <w:rsid w:val="00255704"/>
    <w:rsid w:val="00255C94"/>
    <w:rsid w:val="00261DAC"/>
    <w:rsid w:val="002659DE"/>
    <w:rsid w:val="002660D9"/>
    <w:rsid w:val="002674F9"/>
    <w:rsid w:val="0027006F"/>
    <w:rsid w:val="002709BC"/>
    <w:rsid w:val="0027184D"/>
    <w:rsid w:val="002747F2"/>
    <w:rsid w:val="00274F56"/>
    <w:rsid w:val="00275826"/>
    <w:rsid w:val="00277089"/>
    <w:rsid w:val="0027754C"/>
    <w:rsid w:val="00280050"/>
    <w:rsid w:val="00280F88"/>
    <w:rsid w:val="002823A4"/>
    <w:rsid w:val="00287A66"/>
    <w:rsid w:val="00297974"/>
    <w:rsid w:val="002A2168"/>
    <w:rsid w:val="002A6848"/>
    <w:rsid w:val="002B2315"/>
    <w:rsid w:val="002B4431"/>
    <w:rsid w:val="002C3B42"/>
    <w:rsid w:val="002C52F7"/>
    <w:rsid w:val="002C5831"/>
    <w:rsid w:val="002D10FE"/>
    <w:rsid w:val="002D1A09"/>
    <w:rsid w:val="002D294D"/>
    <w:rsid w:val="002D34E9"/>
    <w:rsid w:val="002D5783"/>
    <w:rsid w:val="002D75B4"/>
    <w:rsid w:val="002E1455"/>
    <w:rsid w:val="002E30CB"/>
    <w:rsid w:val="002E3AE7"/>
    <w:rsid w:val="002E71B0"/>
    <w:rsid w:val="002E744B"/>
    <w:rsid w:val="002F08A6"/>
    <w:rsid w:val="002F0E93"/>
    <w:rsid w:val="002F3B91"/>
    <w:rsid w:val="002F7014"/>
    <w:rsid w:val="002F7AF4"/>
    <w:rsid w:val="00301D37"/>
    <w:rsid w:val="003120CF"/>
    <w:rsid w:val="0031259B"/>
    <w:rsid w:val="0031555F"/>
    <w:rsid w:val="00315903"/>
    <w:rsid w:val="00316AB9"/>
    <w:rsid w:val="00317A14"/>
    <w:rsid w:val="00323259"/>
    <w:rsid w:val="00323BFE"/>
    <w:rsid w:val="00324033"/>
    <w:rsid w:val="00324B10"/>
    <w:rsid w:val="00325C12"/>
    <w:rsid w:val="00327A56"/>
    <w:rsid w:val="003309A7"/>
    <w:rsid w:val="00332BB1"/>
    <w:rsid w:val="00334D13"/>
    <w:rsid w:val="00335B80"/>
    <w:rsid w:val="00337225"/>
    <w:rsid w:val="00340B9E"/>
    <w:rsid w:val="00342869"/>
    <w:rsid w:val="00342D36"/>
    <w:rsid w:val="00344710"/>
    <w:rsid w:val="0034679C"/>
    <w:rsid w:val="00347697"/>
    <w:rsid w:val="0035436D"/>
    <w:rsid w:val="003570CE"/>
    <w:rsid w:val="00357636"/>
    <w:rsid w:val="003610B3"/>
    <w:rsid w:val="00362D81"/>
    <w:rsid w:val="003648C5"/>
    <w:rsid w:val="0037037F"/>
    <w:rsid w:val="0037158E"/>
    <w:rsid w:val="00376D18"/>
    <w:rsid w:val="00383B35"/>
    <w:rsid w:val="0038668D"/>
    <w:rsid w:val="00386E2F"/>
    <w:rsid w:val="00387FAC"/>
    <w:rsid w:val="0039060A"/>
    <w:rsid w:val="00391D00"/>
    <w:rsid w:val="00394942"/>
    <w:rsid w:val="003A1A07"/>
    <w:rsid w:val="003A224C"/>
    <w:rsid w:val="003A63CD"/>
    <w:rsid w:val="003A6E39"/>
    <w:rsid w:val="003A7DE9"/>
    <w:rsid w:val="003B0A69"/>
    <w:rsid w:val="003C1BB8"/>
    <w:rsid w:val="003C6056"/>
    <w:rsid w:val="003C6243"/>
    <w:rsid w:val="003C6608"/>
    <w:rsid w:val="003C6712"/>
    <w:rsid w:val="003C776A"/>
    <w:rsid w:val="003D0522"/>
    <w:rsid w:val="003D2AEB"/>
    <w:rsid w:val="003D39EF"/>
    <w:rsid w:val="003D6A22"/>
    <w:rsid w:val="003E3615"/>
    <w:rsid w:val="003E394B"/>
    <w:rsid w:val="003E61A0"/>
    <w:rsid w:val="003E6D04"/>
    <w:rsid w:val="003F0B48"/>
    <w:rsid w:val="003F1246"/>
    <w:rsid w:val="0040134B"/>
    <w:rsid w:val="00402730"/>
    <w:rsid w:val="00410595"/>
    <w:rsid w:val="00410C54"/>
    <w:rsid w:val="0041150D"/>
    <w:rsid w:val="0041231A"/>
    <w:rsid w:val="00412512"/>
    <w:rsid w:val="00412E39"/>
    <w:rsid w:val="004146AB"/>
    <w:rsid w:val="00415570"/>
    <w:rsid w:val="0042005C"/>
    <w:rsid w:val="0042092C"/>
    <w:rsid w:val="00426A83"/>
    <w:rsid w:val="00430444"/>
    <w:rsid w:val="00431760"/>
    <w:rsid w:val="00432900"/>
    <w:rsid w:val="00432F36"/>
    <w:rsid w:val="00433752"/>
    <w:rsid w:val="00436E5C"/>
    <w:rsid w:val="0043798F"/>
    <w:rsid w:val="00437C9F"/>
    <w:rsid w:val="00441370"/>
    <w:rsid w:val="00445AFF"/>
    <w:rsid w:val="00446C07"/>
    <w:rsid w:val="00446FED"/>
    <w:rsid w:val="004561BA"/>
    <w:rsid w:val="00462D2A"/>
    <w:rsid w:val="004643A4"/>
    <w:rsid w:val="0046470F"/>
    <w:rsid w:val="0046648C"/>
    <w:rsid w:val="00467B88"/>
    <w:rsid w:val="004708D7"/>
    <w:rsid w:val="004711EF"/>
    <w:rsid w:val="00474CBA"/>
    <w:rsid w:val="004764EE"/>
    <w:rsid w:val="0048010D"/>
    <w:rsid w:val="00482C42"/>
    <w:rsid w:val="004864A5"/>
    <w:rsid w:val="00486F6C"/>
    <w:rsid w:val="00487CA2"/>
    <w:rsid w:val="004A1538"/>
    <w:rsid w:val="004A74ED"/>
    <w:rsid w:val="004A7564"/>
    <w:rsid w:val="004B0DD0"/>
    <w:rsid w:val="004B28D9"/>
    <w:rsid w:val="004B75D4"/>
    <w:rsid w:val="004C7AD5"/>
    <w:rsid w:val="004D03D0"/>
    <w:rsid w:val="004D077D"/>
    <w:rsid w:val="004D092A"/>
    <w:rsid w:val="004D1ECE"/>
    <w:rsid w:val="004D5FCB"/>
    <w:rsid w:val="004D63D4"/>
    <w:rsid w:val="004D748F"/>
    <w:rsid w:val="004E20D1"/>
    <w:rsid w:val="004E20F4"/>
    <w:rsid w:val="004E4D6A"/>
    <w:rsid w:val="004F36E2"/>
    <w:rsid w:val="00503EFF"/>
    <w:rsid w:val="00504F68"/>
    <w:rsid w:val="00505AE5"/>
    <w:rsid w:val="005068C9"/>
    <w:rsid w:val="00513560"/>
    <w:rsid w:val="00515E5F"/>
    <w:rsid w:val="00520428"/>
    <w:rsid w:val="005227B0"/>
    <w:rsid w:val="005236C2"/>
    <w:rsid w:val="0052697B"/>
    <w:rsid w:val="0053267F"/>
    <w:rsid w:val="00543068"/>
    <w:rsid w:val="00544AB1"/>
    <w:rsid w:val="005458F8"/>
    <w:rsid w:val="00547523"/>
    <w:rsid w:val="00550279"/>
    <w:rsid w:val="00552143"/>
    <w:rsid w:val="00553192"/>
    <w:rsid w:val="0055331A"/>
    <w:rsid w:val="00563362"/>
    <w:rsid w:val="00563CE2"/>
    <w:rsid w:val="00563FD3"/>
    <w:rsid w:val="00564360"/>
    <w:rsid w:val="00564EA0"/>
    <w:rsid w:val="0056523C"/>
    <w:rsid w:val="0056536E"/>
    <w:rsid w:val="0057022A"/>
    <w:rsid w:val="00575E50"/>
    <w:rsid w:val="005822D2"/>
    <w:rsid w:val="0058473C"/>
    <w:rsid w:val="005851A8"/>
    <w:rsid w:val="00587923"/>
    <w:rsid w:val="005904FE"/>
    <w:rsid w:val="00590E3E"/>
    <w:rsid w:val="00590E90"/>
    <w:rsid w:val="005912AB"/>
    <w:rsid w:val="00593D99"/>
    <w:rsid w:val="0059792F"/>
    <w:rsid w:val="005A1089"/>
    <w:rsid w:val="005A1AD4"/>
    <w:rsid w:val="005A1C5A"/>
    <w:rsid w:val="005A20B4"/>
    <w:rsid w:val="005A75A9"/>
    <w:rsid w:val="005A7A10"/>
    <w:rsid w:val="005B02EE"/>
    <w:rsid w:val="005B1C10"/>
    <w:rsid w:val="005B4B8B"/>
    <w:rsid w:val="005B66ED"/>
    <w:rsid w:val="005B7624"/>
    <w:rsid w:val="005C05DC"/>
    <w:rsid w:val="005C39EE"/>
    <w:rsid w:val="005C4747"/>
    <w:rsid w:val="005C6A76"/>
    <w:rsid w:val="005D1EAE"/>
    <w:rsid w:val="005D1FF7"/>
    <w:rsid w:val="005D4974"/>
    <w:rsid w:val="005D52B5"/>
    <w:rsid w:val="005D7C67"/>
    <w:rsid w:val="005D7E98"/>
    <w:rsid w:val="005E7399"/>
    <w:rsid w:val="005E78AE"/>
    <w:rsid w:val="005F32D5"/>
    <w:rsid w:val="005F4FA5"/>
    <w:rsid w:val="005F6002"/>
    <w:rsid w:val="00601ED0"/>
    <w:rsid w:val="00603D55"/>
    <w:rsid w:val="00606C53"/>
    <w:rsid w:val="00610C25"/>
    <w:rsid w:val="00612AE8"/>
    <w:rsid w:val="006135C9"/>
    <w:rsid w:val="00614A24"/>
    <w:rsid w:val="00622278"/>
    <w:rsid w:val="00626CB8"/>
    <w:rsid w:val="0062754A"/>
    <w:rsid w:val="006358DF"/>
    <w:rsid w:val="0064022E"/>
    <w:rsid w:val="00640F80"/>
    <w:rsid w:val="006426C1"/>
    <w:rsid w:val="0064273E"/>
    <w:rsid w:val="00642D2B"/>
    <w:rsid w:val="00646318"/>
    <w:rsid w:val="00650ECB"/>
    <w:rsid w:val="00652447"/>
    <w:rsid w:val="006550BF"/>
    <w:rsid w:val="006617AF"/>
    <w:rsid w:val="00661C22"/>
    <w:rsid w:val="0066322A"/>
    <w:rsid w:val="00663FDD"/>
    <w:rsid w:val="00664C43"/>
    <w:rsid w:val="006662A0"/>
    <w:rsid w:val="00666686"/>
    <w:rsid w:val="00670159"/>
    <w:rsid w:val="00673865"/>
    <w:rsid w:val="006778FA"/>
    <w:rsid w:val="0068054B"/>
    <w:rsid w:val="006808F3"/>
    <w:rsid w:val="00685583"/>
    <w:rsid w:val="006A18D6"/>
    <w:rsid w:val="006A286C"/>
    <w:rsid w:val="006A2AAF"/>
    <w:rsid w:val="006A5EF4"/>
    <w:rsid w:val="006A7785"/>
    <w:rsid w:val="006B66C3"/>
    <w:rsid w:val="006B6A2A"/>
    <w:rsid w:val="006B6CF1"/>
    <w:rsid w:val="006C50E3"/>
    <w:rsid w:val="006C6586"/>
    <w:rsid w:val="006D0933"/>
    <w:rsid w:val="006D2CA0"/>
    <w:rsid w:val="006D78C0"/>
    <w:rsid w:val="006D79E5"/>
    <w:rsid w:val="006E461E"/>
    <w:rsid w:val="006E7604"/>
    <w:rsid w:val="006F17D4"/>
    <w:rsid w:val="006F2F60"/>
    <w:rsid w:val="006F5655"/>
    <w:rsid w:val="0070235D"/>
    <w:rsid w:val="00703C9E"/>
    <w:rsid w:val="00707ED7"/>
    <w:rsid w:val="007145DA"/>
    <w:rsid w:val="00714EDA"/>
    <w:rsid w:val="00715577"/>
    <w:rsid w:val="0072032E"/>
    <w:rsid w:val="0072192B"/>
    <w:rsid w:val="00721BD8"/>
    <w:rsid w:val="00721F90"/>
    <w:rsid w:val="00723F47"/>
    <w:rsid w:val="00725A54"/>
    <w:rsid w:val="007269C9"/>
    <w:rsid w:val="0073056A"/>
    <w:rsid w:val="0073538B"/>
    <w:rsid w:val="00740BBB"/>
    <w:rsid w:val="00740DDB"/>
    <w:rsid w:val="0074140B"/>
    <w:rsid w:val="007416BC"/>
    <w:rsid w:val="00744F92"/>
    <w:rsid w:val="00746CD8"/>
    <w:rsid w:val="00750947"/>
    <w:rsid w:val="0075579C"/>
    <w:rsid w:val="0076055B"/>
    <w:rsid w:val="00760E14"/>
    <w:rsid w:val="00762AB8"/>
    <w:rsid w:val="00770010"/>
    <w:rsid w:val="00770F10"/>
    <w:rsid w:val="007713A5"/>
    <w:rsid w:val="007754BC"/>
    <w:rsid w:val="00775C04"/>
    <w:rsid w:val="00777558"/>
    <w:rsid w:val="00784F3B"/>
    <w:rsid w:val="00791AFE"/>
    <w:rsid w:val="00793820"/>
    <w:rsid w:val="00793C71"/>
    <w:rsid w:val="007A4913"/>
    <w:rsid w:val="007A69E3"/>
    <w:rsid w:val="007A7070"/>
    <w:rsid w:val="007B33FA"/>
    <w:rsid w:val="007B465B"/>
    <w:rsid w:val="007B4BCB"/>
    <w:rsid w:val="007B7F47"/>
    <w:rsid w:val="007C2D4C"/>
    <w:rsid w:val="007C3CE4"/>
    <w:rsid w:val="007C77AA"/>
    <w:rsid w:val="007C7805"/>
    <w:rsid w:val="007D036D"/>
    <w:rsid w:val="007D270B"/>
    <w:rsid w:val="007D313A"/>
    <w:rsid w:val="007D7A24"/>
    <w:rsid w:val="007E4640"/>
    <w:rsid w:val="007E6379"/>
    <w:rsid w:val="007F19B9"/>
    <w:rsid w:val="007F2E84"/>
    <w:rsid w:val="007F6C6A"/>
    <w:rsid w:val="008055C8"/>
    <w:rsid w:val="00805A41"/>
    <w:rsid w:val="00811221"/>
    <w:rsid w:val="00812A19"/>
    <w:rsid w:val="008175E4"/>
    <w:rsid w:val="008231E5"/>
    <w:rsid w:val="008255FE"/>
    <w:rsid w:val="00825648"/>
    <w:rsid w:val="00826BF1"/>
    <w:rsid w:val="00830E24"/>
    <w:rsid w:val="00831C85"/>
    <w:rsid w:val="008320B3"/>
    <w:rsid w:val="00832927"/>
    <w:rsid w:val="0083305C"/>
    <w:rsid w:val="00834082"/>
    <w:rsid w:val="00835727"/>
    <w:rsid w:val="00837E76"/>
    <w:rsid w:val="00846C28"/>
    <w:rsid w:val="00846EA4"/>
    <w:rsid w:val="0085261F"/>
    <w:rsid w:val="00852ECC"/>
    <w:rsid w:val="00853464"/>
    <w:rsid w:val="00856056"/>
    <w:rsid w:val="00856E20"/>
    <w:rsid w:val="008606A0"/>
    <w:rsid w:val="00861C0A"/>
    <w:rsid w:val="00863DFB"/>
    <w:rsid w:val="00864DCD"/>
    <w:rsid w:val="008653F0"/>
    <w:rsid w:val="00865691"/>
    <w:rsid w:val="008663B7"/>
    <w:rsid w:val="008678E7"/>
    <w:rsid w:val="00871291"/>
    <w:rsid w:val="00876552"/>
    <w:rsid w:val="0088066F"/>
    <w:rsid w:val="008907AC"/>
    <w:rsid w:val="008918A0"/>
    <w:rsid w:val="00891D28"/>
    <w:rsid w:val="00893822"/>
    <w:rsid w:val="00897B40"/>
    <w:rsid w:val="008A15D2"/>
    <w:rsid w:val="008A1F2D"/>
    <w:rsid w:val="008A2540"/>
    <w:rsid w:val="008A358C"/>
    <w:rsid w:val="008A4DA0"/>
    <w:rsid w:val="008B23B4"/>
    <w:rsid w:val="008B5B56"/>
    <w:rsid w:val="008C08FF"/>
    <w:rsid w:val="008C2218"/>
    <w:rsid w:val="008C34FC"/>
    <w:rsid w:val="008C6340"/>
    <w:rsid w:val="008C6DF8"/>
    <w:rsid w:val="008D42BD"/>
    <w:rsid w:val="008E0921"/>
    <w:rsid w:val="008E4F5A"/>
    <w:rsid w:val="008E5CC1"/>
    <w:rsid w:val="008F05DC"/>
    <w:rsid w:val="008F0E08"/>
    <w:rsid w:val="008F1CF0"/>
    <w:rsid w:val="008F21BD"/>
    <w:rsid w:val="008F304E"/>
    <w:rsid w:val="008F43D0"/>
    <w:rsid w:val="008F6239"/>
    <w:rsid w:val="0090083A"/>
    <w:rsid w:val="00903700"/>
    <w:rsid w:val="009057D9"/>
    <w:rsid w:val="00912617"/>
    <w:rsid w:val="00914517"/>
    <w:rsid w:val="0091535A"/>
    <w:rsid w:val="009159E8"/>
    <w:rsid w:val="00917297"/>
    <w:rsid w:val="00917D72"/>
    <w:rsid w:val="009315BF"/>
    <w:rsid w:val="00935302"/>
    <w:rsid w:val="00935EA3"/>
    <w:rsid w:val="00940652"/>
    <w:rsid w:val="00940FC3"/>
    <w:rsid w:val="00941259"/>
    <w:rsid w:val="0094165A"/>
    <w:rsid w:val="0094281D"/>
    <w:rsid w:val="00946FE8"/>
    <w:rsid w:val="00947E5A"/>
    <w:rsid w:val="009513DB"/>
    <w:rsid w:val="009520A4"/>
    <w:rsid w:val="00952456"/>
    <w:rsid w:val="00953858"/>
    <w:rsid w:val="00955135"/>
    <w:rsid w:val="00955714"/>
    <w:rsid w:val="00963135"/>
    <w:rsid w:val="00964194"/>
    <w:rsid w:val="0096448B"/>
    <w:rsid w:val="009648C4"/>
    <w:rsid w:val="00966D63"/>
    <w:rsid w:val="00967703"/>
    <w:rsid w:val="00967A74"/>
    <w:rsid w:val="00971582"/>
    <w:rsid w:val="009728FD"/>
    <w:rsid w:val="00974D9E"/>
    <w:rsid w:val="00980B4B"/>
    <w:rsid w:val="0098154D"/>
    <w:rsid w:val="0098203F"/>
    <w:rsid w:val="0098262C"/>
    <w:rsid w:val="009834FC"/>
    <w:rsid w:val="009914D0"/>
    <w:rsid w:val="009921BF"/>
    <w:rsid w:val="00994C0B"/>
    <w:rsid w:val="009A2277"/>
    <w:rsid w:val="009A38B0"/>
    <w:rsid w:val="009A3E36"/>
    <w:rsid w:val="009A54AE"/>
    <w:rsid w:val="009B28AA"/>
    <w:rsid w:val="009C33CF"/>
    <w:rsid w:val="009C4E14"/>
    <w:rsid w:val="009C60D4"/>
    <w:rsid w:val="009D08EE"/>
    <w:rsid w:val="009D0935"/>
    <w:rsid w:val="009E0D6B"/>
    <w:rsid w:val="009E2742"/>
    <w:rsid w:val="009E39BD"/>
    <w:rsid w:val="009E3DA4"/>
    <w:rsid w:val="009E3E5F"/>
    <w:rsid w:val="009E45A3"/>
    <w:rsid w:val="009E5CF3"/>
    <w:rsid w:val="009F00AD"/>
    <w:rsid w:val="009F53D9"/>
    <w:rsid w:val="009F5ABD"/>
    <w:rsid w:val="009F6D43"/>
    <w:rsid w:val="00A00258"/>
    <w:rsid w:val="00A02B80"/>
    <w:rsid w:val="00A0365C"/>
    <w:rsid w:val="00A073A6"/>
    <w:rsid w:val="00A11199"/>
    <w:rsid w:val="00A11DB7"/>
    <w:rsid w:val="00A12316"/>
    <w:rsid w:val="00A15B46"/>
    <w:rsid w:val="00A17DD2"/>
    <w:rsid w:val="00A2050D"/>
    <w:rsid w:val="00A21B82"/>
    <w:rsid w:val="00A223D9"/>
    <w:rsid w:val="00A22433"/>
    <w:rsid w:val="00A2265E"/>
    <w:rsid w:val="00A236A6"/>
    <w:rsid w:val="00A2483F"/>
    <w:rsid w:val="00A255B0"/>
    <w:rsid w:val="00A308F5"/>
    <w:rsid w:val="00A30E52"/>
    <w:rsid w:val="00A33F7F"/>
    <w:rsid w:val="00A344AC"/>
    <w:rsid w:val="00A348E6"/>
    <w:rsid w:val="00A36697"/>
    <w:rsid w:val="00A37590"/>
    <w:rsid w:val="00A37808"/>
    <w:rsid w:val="00A3781A"/>
    <w:rsid w:val="00A406E9"/>
    <w:rsid w:val="00A4182E"/>
    <w:rsid w:val="00A41875"/>
    <w:rsid w:val="00A41C0C"/>
    <w:rsid w:val="00A41E27"/>
    <w:rsid w:val="00A435B8"/>
    <w:rsid w:val="00A4377F"/>
    <w:rsid w:val="00A4482F"/>
    <w:rsid w:val="00A45EE2"/>
    <w:rsid w:val="00A46C73"/>
    <w:rsid w:val="00A50579"/>
    <w:rsid w:val="00A51038"/>
    <w:rsid w:val="00A51285"/>
    <w:rsid w:val="00A5284D"/>
    <w:rsid w:val="00A56208"/>
    <w:rsid w:val="00A563E8"/>
    <w:rsid w:val="00A57180"/>
    <w:rsid w:val="00A57BBA"/>
    <w:rsid w:val="00A61539"/>
    <w:rsid w:val="00A62695"/>
    <w:rsid w:val="00A644F1"/>
    <w:rsid w:val="00A668BF"/>
    <w:rsid w:val="00A7565C"/>
    <w:rsid w:val="00A75DD6"/>
    <w:rsid w:val="00A76853"/>
    <w:rsid w:val="00A816D8"/>
    <w:rsid w:val="00A81D48"/>
    <w:rsid w:val="00A83204"/>
    <w:rsid w:val="00A83694"/>
    <w:rsid w:val="00A842BE"/>
    <w:rsid w:val="00A86ED3"/>
    <w:rsid w:val="00A9499C"/>
    <w:rsid w:val="00AA650B"/>
    <w:rsid w:val="00AA6E7F"/>
    <w:rsid w:val="00AB114F"/>
    <w:rsid w:val="00AB213C"/>
    <w:rsid w:val="00AB5369"/>
    <w:rsid w:val="00AB5A2F"/>
    <w:rsid w:val="00AC2DD8"/>
    <w:rsid w:val="00AC4661"/>
    <w:rsid w:val="00AC4765"/>
    <w:rsid w:val="00AD3874"/>
    <w:rsid w:val="00AD5BA8"/>
    <w:rsid w:val="00AD65AB"/>
    <w:rsid w:val="00AE38ED"/>
    <w:rsid w:val="00AE4037"/>
    <w:rsid w:val="00AE5740"/>
    <w:rsid w:val="00AF1639"/>
    <w:rsid w:val="00AF1885"/>
    <w:rsid w:val="00AF446F"/>
    <w:rsid w:val="00AF49A7"/>
    <w:rsid w:val="00AF7A33"/>
    <w:rsid w:val="00AF7A63"/>
    <w:rsid w:val="00B02213"/>
    <w:rsid w:val="00B049F5"/>
    <w:rsid w:val="00B059C9"/>
    <w:rsid w:val="00B0652E"/>
    <w:rsid w:val="00B10BB9"/>
    <w:rsid w:val="00B10F67"/>
    <w:rsid w:val="00B274FF"/>
    <w:rsid w:val="00B30779"/>
    <w:rsid w:val="00B3283A"/>
    <w:rsid w:val="00B32B98"/>
    <w:rsid w:val="00B335FF"/>
    <w:rsid w:val="00B34392"/>
    <w:rsid w:val="00B351C3"/>
    <w:rsid w:val="00B40285"/>
    <w:rsid w:val="00B409ED"/>
    <w:rsid w:val="00B41EF2"/>
    <w:rsid w:val="00B43582"/>
    <w:rsid w:val="00B44DD0"/>
    <w:rsid w:val="00B47D0F"/>
    <w:rsid w:val="00B537DD"/>
    <w:rsid w:val="00B555ED"/>
    <w:rsid w:val="00B56952"/>
    <w:rsid w:val="00B617AB"/>
    <w:rsid w:val="00B6277A"/>
    <w:rsid w:val="00B637E4"/>
    <w:rsid w:val="00B649A3"/>
    <w:rsid w:val="00B66A95"/>
    <w:rsid w:val="00B66B27"/>
    <w:rsid w:val="00B711FC"/>
    <w:rsid w:val="00B7405A"/>
    <w:rsid w:val="00B74909"/>
    <w:rsid w:val="00B75A5F"/>
    <w:rsid w:val="00B767CE"/>
    <w:rsid w:val="00B849ED"/>
    <w:rsid w:val="00B910B6"/>
    <w:rsid w:val="00B9259F"/>
    <w:rsid w:val="00B92FF6"/>
    <w:rsid w:val="00B9431E"/>
    <w:rsid w:val="00B94E05"/>
    <w:rsid w:val="00B9520D"/>
    <w:rsid w:val="00B96C46"/>
    <w:rsid w:val="00BA11F4"/>
    <w:rsid w:val="00BA1412"/>
    <w:rsid w:val="00BA22FD"/>
    <w:rsid w:val="00BA60BA"/>
    <w:rsid w:val="00BB01F1"/>
    <w:rsid w:val="00BB054C"/>
    <w:rsid w:val="00BB32E7"/>
    <w:rsid w:val="00BB5C51"/>
    <w:rsid w:val="00BC05C5"/>
    <w:rsid w:val="00BC6297"/>
    <w:rsid w:val="00BC760B"/>
    <w:rsid w:val="00BD086B"/>
    <w:rsid w:val="00BD32A4"/>
    <w:rsid w:val="00BE027A"/>
    <w:rsid w:val="00BE10DF"/>
    <w:rsid w:val="00BE12E1"/>
    <w:rsid w:val="00BE1376"/>
    <w:rsid w:val="00BE4CE7"/>
    <w:rsid w:val="00BF0B74"/>
    <w:rsid w:val="00BF3C2A"/>
    <w:rsid w:val="00BF3D30"/>
    <w:rsid w:val="00BF780A"/>
    <w:rsid w:val="00C004D1"/>
    <w:rsid w:val="00C02CAD"/>
    <w:rsid w:val="00C05E3A"/>
    <w:rsid w:val="00C0664F"/>
    <w:rsid w:val="00C06B78"/>
    <w:rsid w:val="00C07DB4"/>
    <w:rsid w:val="00C10C49"/>
    <w:rsid w:val="00C10F04"/>
    <w:rsid w:val="00C16E4E"/>
    <w:rsid w:val="00C17425"/>
    <w:rsid w:val="00C20D72"/>
    <w:rsid w:val="00C2574E"/>
    <w:rsid w:val="00C27140"/>
    <w:rsid w:val="00C323C6"/>
    <w:rsid w:val="00C32FD3"/>
    <w:rsid w:val="00C33B35"/>
    <w:rsid w:val="00C34D34"/>
    <w:rsid w:val="00C36740"/>
    <w:rsid w:val="00C411A1"/>
    <w:rsid w:val="00C4457F"/>
    <w:rsid w:val="00C4550D"/>
    <w:rsid w:val="00C51D58"/>
    <w:rsid w:val="00C565D6"/>
    <w:rsid w:val="00C56CE1"/>
    <w:rsid w:val="00C57D45"/>
    <w:rsid w:val="00C613A7"/>
    <w:rsid w:val="00C6150E"/>
    <w:rsid w:val="00C722B9"/>
    <w:rsid w:val="00C73D87"/>
    <w:rsid w:val="00C77657"/>
    <w:rsid w:val="00C80BA4"/>
    <w:rsid w:val="00C8347D"/>
    <w:rsid w:val="00C83E9F"/>
    <w:rsid w:val="00C850BB"/>
    <w:rsid w:val="00C9062A"/>
    <w:rsid w:val="00C93370"/>
    <w:rsid w:val="00C93A1A"/>
    <w:rsid w:val="00C9435F"/>
    <w:rsid w:val="00C96A80"/>
    <w:rsid w:val="00CA1D74"/>
    <w:rsid w:val="00CA20E8"/>
    <w:rsid w:val="00CA65FF"/>
    <w:rsid w:val="00CB03E9"/>
    <w:rsid w:val="00CB0B2E"/>
    <w:rsid w:val="00CB5B65"/>
    <w:rsid w:val="00CB6782"/>
    <w:rsid w:val="00CB6971"/>
    <w:rsid w:val="00CC2E28"/>
    <w:rsid w:val="00CC3F1B"/>
    <w:rsid w:val="00CC420F"/>
    <w:rsid w:val="00CD0944"/>
    <w:rsid w:val="00CD224A"/>
    <w:rsid w:val="00CD2423"/>
    <w:rsid w:val="00CD3623"/>
    <w:rsid w:val="00CD3725"/>
    <w:rsid w:val="00CD5D2B"/>
    <w:rsid w:val="00CE0213"/>
    <w:rsid w:val="00CE21C1"/>
    <w:rsid w:val="00CE2F67"/>
    <w:rsid w:val="00CE3C8E"/>
    <w:rsid w:val="00CE4DC4"/>
    <w:rsid w:val="00CE5473"/>
    <w:rsid w:val="00CE5578"/>
    <w:rsid w:val="00CF0476"/>
    <w:rsid w:val="00CF22F4"/>
    <w:rsid w:val="00CF5591"/>
    <w:rsid w:val="00CF66AA"/>
    <w:rsid w:val="00D12339"/>
    <w:rsid w:val="00D12571"/>
    <w:rsid w:val="00D1316A"/>
    <w:rsid w:val="00D2587A"/>
    <w:rsid w:val="00D260A3"/>
    <w:rsid w:val="00D26822"/>
    <w:rsid w:val="00D26B6C"/>
    <w:rsid w:val="00D271B7"/>
    <w:rsid w:val="00D300A0"/>
    <w:rsid w:val="00D33B41"/>
    <w:rsid w:val="00D35FF8"/>
    <w:rsid w:val="00D4227B"/>
    <w:rsid w:val="00D476CA"/>
    <w:rsid w:val="00D511DE"/>
    <w:rsid w:val="00D5131D"/>
    <w:rsid w:val="00D532C8"/>
    <w:rsid w:val="00D55439"/>
    <w:rsid w:val="00D55EC4"/>
    <w:rsid w:val="00D5709B"/>
    <w:rsid w:val="00D62393"/>
    <w:rsid w:val="00D628C2"/>
    <w:rsid w:val="00D62C52"/>
    <w:rsid w:val="00D64341"/>
    <w:rsid w:val="00D64426"/>
    <w:rsid w:val="00D65AB5"/>
    <w:rsid w:val="00D6606C"/>
    <w:rsid w:val="00D66E11"/>
    <w:rsid w:val="00D67BCF"/>
    <w:rsid w:val="00D7620E"/>
    <w:rsid w:val="00D762C6"/>
    <w:rsid w:val="00D80451"/>
    <w:rsid w:val="00D8136F"/>
    <w:rsid w:val="00D8612F"/>
    <w:rsid w:val="00D86D5E"/>
    <w:rsid w:val="00D91B03"/>
    <w:rsid w:val="00D93C09"/>
    <w:rsid w:val="00D93C4B"/>
    <w:rsid w:val="00D941DC"/>
    <w:rsid w:val="00D95A97"/>
    <w:rsid w:val="00D96879"/>
    <w:rsid w:val="00D96DAB"/>
    <w:rsid w:val="00DA2F4F"/>
    <w:rsid w:val="00DA74E4"/>
    <w:rsid w:val="00DB086A"/>
    <w:rsid w:val="00DB09B6"/>
    <w:rsid w:val="00DB7B63"/>
    <w:rsid w:val="00DC049B"/>
    <w:rsid w:val="00DC0988"/>
    <w:rsid w:val="00DC1823"/>
    <w:rsid w:val="00DC5575"/>
    <w:rsid w:val="00DC5AAD"/>
    <w:rsid w:val="00DD1AF2"/>
    <w:rsid w:val="00DD312D"/>
    <w:rsid w:val="00DD7954"/>
    <w:rsid w:val="00DE0B82"/>
    <w:rsid w:val="00DE27DD"/>
    <w:rsid w:val="00DE453C"/>
    <w:rsid w:val="00DE45CA"/>
    <w:rsid w:val="00DE52F7"/>
    <w:rsid w:val="00DE7CAE"/>
    <w:rsid w:val="00DF0EE9"/>
    <w:rsid w:val="00DF2B3F"/>
    <w:rsid w:val="00DF516D"/>
    <w:rsid w:val="00DF5D11"/>
    <w:rsid w:val="00DF5FCE"/>
    <w:rsid w:val="00E01026"/>
    <w:rsid w:val="00E018C4"/>
    <w:rsid w:val="00E03A85"/>
    <w:rsid w:val="00E07A09"/>
    <w:rsid w:val="00E13BD5"/>
    <w:rsid w:val="00E1512B"/>
    <w:rsid w:val="00E15883"/>
    <w:rsid w:val="00E171BC"/>
    <w:rsid w:val="00E20D5B"/>
    <w:rsid w:val="00E21CCF"/>
    <w:rsid w:val="00E21F99"/>
    <w:rsid w:val="00E23053"/>
    <w:rsid w:val="00E25A31"/>
    <w:rsid w:val="00E329C9"/>
    <w:rsid w:val="00E33112"/>
    <w:rsid w:val="00E34F41"/>
    <w:rsid w:val="00E36510"/>
    <w:rsid w:val="00E4026E"/>
    <w:rsid w:val="00E46F60"/>
    <w:rsid w:val="00E50E88"/>
    <w:rsid w:val="00E70257"/>
    <w:rsid w:val="00E7114F"/>
    <w:rsid w:val="00E7155B"/>
    <w:rsid w:val="00E753EF"/>
    <w:rsid w:val="00E76353"/>
    <w:rsid w:val="00E8128C"/>
    <w:rsid w:val="00E84ACF"/>
    <w:rsid w:val="00E87C2A"/>
    <w:rsid w:val="00E90D3D"/>
    <w:rsid w:val="00E91E36"/>
    <w:rsid w:val="00E92E26"/>
    <w:rsid w:val="00E96695"/>
    <w:rsid w:val="00E97727"/>
    <w:rsid w:val="00EA10DC"/>
    <w:rsid w:val="00EA2674"/>
    <w:rsid w:val="00EA4159"/>
    <w:rsid w:val="00EA4EDA"/>
    <w:rsid w:val="00EA5CD0"/>
    <w:rsid w:val="00EA7987"/>
    <w:rsid w:val="00EB16CA"/>
    <w:rsid w:val="00EB6101"/>
    <w:rsid w:val="00EB630B"/>
    <w:rsid w:val="00EC1696"/>
    <w:rsid w:val="00EC237D"/>
    <w:rsid w:val="00EC37FD"/>
    <w:rsid w:val="00EC4CAF"/>
    <w:rsid w:val="00EC5EA6"/>
    <w:rsid w:val="00ED3E78"/>
    <w:rsid w:val="00ED7923"/>
    <w:rsid w:val="00ED7A0C"/>
    <w:rsid w:val="00EE34B4"/>
    <w:rsid w:val="00EE7AF1"/>
    <w:rsid w:val="00EE7F7A"/>
    <w:rsid w:val="00EF02BB"/>
    <w:rsid w:val="00EF1E62"/>
    <w:rsid w:val="00EF35A6"/>
    <w:rsid w:val="00EF6334"/>
    <w:rsid w:val="00F00217"/>
    <w:rsid w:val="00F00F4A"/>
    <w:rsid w:val="00F04CD5"/>
    <w:rsid w:val="00F078CB"/>
    <w:rsid w:val="00F1064D"/>
    <w:rsid w:val="00F13258"/>
    <w:rsid w:val="00F1370D"/>
    <w:rsid w:val="00F14D6C"/>
    <w:rsid w:val="00F21C80"/>
    <w:rsid w:val="00F22B2A"/>
    <w:rsid w:val="00F31671"/>
    <w:rsid w:val="00F36881"/>
    <w:rsid w:val="00F37027"/>
    <w:rsid w:val="00F448FC"/>
    <w:rsid w:val="00F45B6E"/>
    <w:rsid w:val="00F53F6E"/>
    <w:rsid w:val="00F56B38"/>
    <w:rsid w:val="00F578DA"/>
    <w:rsid w:val="00F64ED9"/>
    <w:rsid w:val="00F653EF"/>
    <w:rsid w:val="00F664C1"/>
    <w:rsid w:val="00F672E0"/>
    <w:rsid w:val="00F7048D"/>
    <w:rsid w:val="00F70F3A"/>
    <w:rsid w:val="00F73FF6"/>
    <w:rsid w:val="00F74487"/>
    <w:rsid w:val="00F76F6B"/>
    <w:rsid w:val="00F77968"/>
    <w:rsid w:val="00F801E4"/>
    <w:rsid w:val="00F805F5"/>
    <w:rsid w:val="00F80E58"/>
    <w:rsid w:val="00F812D1"/>
    <w:rsid w:val="00F82F23"/>
    <w:rsid w:val="00F839E7"/>
    <w:rsid w:val="00F860F4"/>
    <w:rsid w:val="00F92094"/>
    <w:rsid w:val="00F96885"/>
    <w:rsid w:val="00FA06C5"/>
    <w:rsid w:val="00FA1C56"/>
    <w:rsid w:val="00FB095D"/>
    <w:rsid w:val="00FB1D65"/>
    <w:rsid w:val="00FB3E64"/>
    <w:rsid w:val="00FB42BC"/>
    <w:rsid w:val="00FB7C3F"/>
    <w:rsid w:val="00FB7F4E"/>
    <w:rsid w:val="00FC0AFF"/>
    <w:rsid w:val="00FC4239"/>
    <w:rsid w:val="00FC6CBA"/>
    <w:rsid w:val="00FC7329"/>
    <w:rsid w:val="00FD093F"/>
    <w:rsid w:val="00FD17AB"/>
    <w:rsid w:val="00FD1885"/>
    <w:rsid w:val="00FD18E9"/>
    <w:rsid w:val="00FD2E22"/>
    <w:rsid w:val="00FD5324"/>
    <w:rsid w:val="00FD6A79"/>
    <w:rsid w:val="00FD722D"/>
    <w:rsid w:val="00FE23CB"/>
    <w:rsid w:val="00FE29FD"/>
    <w:rsid w:val="00FE4476"/>
    <w:rsid w:val="00FE45EB"/>
    <w:rsid w:val="00FE715D"/>
    <w:rsid w:val="00FF236F"/>
    <w:rsid w:val="00FF2E90"/>
    <w:rsid w:val="00FF3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B02213"/>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semiHidden/>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semiHidden/>
    <w:unhideWhenUsed/>
    <w:rsid w:val="00432F36"/>
    <w:rPr>
      <w:color w:val="0563C1"/>
      <w:u w:val="single"/>
    </w:rPr>
  </w:style>
  <w:style w:type="character" w:styleId="BookTitle">
    <w:name w:val="Book Title"/>
    <w:uiPriority w:val="33"/>
    <w:qFormat/>
    <w:rsid w:val="00C16E4E"/>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8918">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353457273">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1067337436">
      <w:bodyDiv w:val="1"/>
      <w:marLeft w:val="0"/>
      <w:marRight w:val="0"/>
      <w:marTop w:val="0"/>
      <w:marBottom w:val="0"/>
      <w:divBdr>
        <w:top w:val="none" w:sz="0" w:space="0" w:color="auto"/>
        <w:left w:val="none" w:sz="0" w:space="0" w:color="auto"/>
        <w:bottom w:val="none" w:sz="0" w:space="0" w:color="auto"/>
        <w:right w:val="none" w:sz="0" w:space="0" w:color="auto"/>
      </w:divBdr>
    </w:div>
    <w:div w:id="1106776214">
      <w:bodyDiv w:val="1"/>
      <w:marLeft w:val="0"/>
      <w:marRight w:val="0"/>
      <w:marTop w:val="0"/>
      <w:marBottom w:val="0"/>
      <w:divBdr>
        <w:top w:val="none" w:sz="0" w:space="0" w:color="auto"/>
        <w:left w:val="none" w:sz="0" w:space="0" w:color="auto"/>
        <w:bottom w:val="none" w:sz="0" w:space="0" w:color="auto"/>
        <w:right w:val="none" w:sz="0" w:space="0" w:color="auto"/>
      </w:divBdr>
    </w:div>
    <w:div w:id="1123382707">
      <w:bodyDiv w:val="1"/>
      <w:marLeft w:val="0"/>
      <w:marRight w:val="0"/>
      <w:marTop w:val="0"/>
      <w:marBottom w:val="0"/>
      <w:divBdr>
        <w:top w:val="none" w:sz="0" w:space="0" w:color="auto"/>
        <w:left w:val="none" w:sz="0" w:space="0" w:color="auto"/>
        <w:bottom w:val="none" w:sz="0" w:space="0" w:color="auto"/>
        <w:right w:val="none" w:sz="0" w:space="0" w:color="auto"/>
      </w:divBdr>
    </w:div>
    <w:div w:id="1165362443">
      <w:bodyDiv w:val="1"/>
      <w:marLeft w:val="0"/>
      <w:marRight w:val="0"/>
      <w:marTop w:val="0"/>
      <w:marBottom w:val="0"/>
      <w:divBdr>
        <w:top w:val="none" w:sz="0" w:space="0" w:color="auto"/>
        <w:left w:val="none" w:sz="0" w:space="0" w:color="auto"/>
        <w:bottom w:val="none" w:sz="0" w:space="0" w:color="auto"/>
        <w:right w:val="none" w:sz="0" w:space="0" w:color="auto"/>
      </w:divBdr>
    </w:div>
    <w:div w:id="119650749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257667074">
      <w:bodyDiv w:val="1"/>
      <w:marLeft w:val="0"/>
      <w:marRight w:val="0"/>
      <w:marTop w:val="0"/>
      <w:marBottom w:val="0"/>
      <w:divBdr>
        <w:top w:val="none" w:sz="0" w:space="0" w:color="auto"/>
        <w:left w:val="none" w:sz="0" w:space="0" w:color="auto"/>
        <w:bottom w:val="none" w:sz="0" w:space="0" w:color="auto"/>
        <w:right w:val="none" w:sz="0" w:space="0" w:color="auto"/>
      </w:divBdr>
    </w:div>
    <w:div w:id="1417020247">
      <w:bodyDiv w:val="1"/>
      <w:marLeft w:val="0"/>
      <w:marRight w:val="0"/>
      <w:marTop w:val="0"/>
      <w:marBottom w:val="0"/>
      <w:divBdr>
        <w:top w:val="none" w:sz="0" w:space="0" w:color="auto"/>
        <w:left w:val="none" w:sz="0" w:space="0" w:color="auto"/>
        <w:bottom w:val="none" w:sz="0" w:space="0" w:color="auto"/>
        <w:right w:val="none" w:sz="0" w:space="0" w:color="auto"/>
      </w:divBdr>
    </w:div>
    <w:div w:id="1428699124">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587959852">
      <w:bodyDiv w:val="1"/>
      <w:marLeft w:val="0"/>
      <w:marRight w:val="0"/>
      <w:marTop w:val="0"/>
      <w:marBottom w:val="0"/>
      <w:divBdr>
        <w:top w:val="none" w:sz="0" w:space="0" w:color="auto"/>
        <w:left w:val="none" w:sz="0" w:space="0" w:color="auto"/>
        <w:bottom w:val="none" w:sz="0" w:space="0" w:color="auto"/>
        <w:right w:val="none" w:sz="0" w:space="0" w:color="auto"/>
      </w:divBdr>
    </w:div>
    <w:div w:id="1677658451">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818258914">
      <w:bodyDiv w:val="1"/>
      <w:marLeft w:val="0"/>
      <w:marRight w:val="0"/>
      <w:marTop w:val="0"/>
      <w:marBottom w:val="0"/>
      <w:divBdr>
        <w:top w:val="none" w:sz="0" w:space="0" w:color="auto"/>
        <w:left w:val="none" w:sz="0" w:space="0" w:color="auto"/>
        <w:bottom w:val="none" w:sz="0" w:space="0" w:color="auto"/>
        <w:right w:val="none" w:sz="0" w:space="0" w:color="auto"/>
      </w:divBdr>
    </w:div>
    <w:div w:id="1945378687">
      <w:bodyDiv w:val="1"/>
      <w:marLeft w:val="0"/>
      <w:marRight w:val="0"/>
      <w:marTop w:val="0"/>
      <w:marBottom w:val="0"/>
      <w:divBdr>
        <w:top w:val="none" w:sz="0" w:space="0" w:color="auto"/>
        <w:left w:val="none" w:sz="0" w:space="0" w:color="auto"/>
        <w:bottom w:val="none" w:sz="0" w:space="0" w:color="auto"/>
        <w:right w:val="none" w:sz="0" w:space="0" w:color="auto"/>
      </w:divBdr>
    </w:div>
    <w:div w:id="1949314607">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0C45-72A2-46B8-AFBD-40703C84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7797</TotalTime>
  <Pages>32</Pages>
  <Words>9422</Words>
  <Characters>53710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669</cp:revision>
  <cp:lastPrinted>2022-03-23T06:06:00Z</cp:lastPrinted>
  <dcterms:created xsi:type="dcterms:W3CDTF">2021-02-10T03:40:00Z</dcterms:created>
  <dcterms:modified xsi:type="dcterms:W3CDTF">2022-03-29T02:56:00Z</dcterms:modified>
</cp:coreProperties>
</file>