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829C" w14:textId="77777777" w:rsidR="00CF2E99" w:rsidRPr="00EE76CA" w:rsidRDefault="00CF2E99" w:rsidP="008C5D8B">
      <w:pPr>
        <w:pStyle w:val="Heading1"/>
        <w:rPr>
          <w:color w:val="000000" w:themeColor="text1"/>
        </w:rPr>
      </w:pPr>
      <w:r w:rsidRPr="00EE76CA">
        <w:rPr>
          <w:color w:val="000000" w:themeColor="text1"/>
        </w:rPr>
        <w:t>Organ and Tissue Authority</w:t>
      </w:r>
    </w:p>
    <w:p w14:paraId="17927EB4" w14:textId="77777777" w:rsidR="00913388" w:rsidRPr="00EE76CA" w:rsidRDefault="00913388" w:rsidP="00913388">
      <w:pPr>
        <w:pStyle w:val="EntitySubtitle"/>
        <w:rPr>
          <w:color w:val="000000" w:themeColor="text1"/>
        </w:rPr>
      </w:pPr>
      <w:r w:rsidRPr="00EE76CA">
        <w:rPr>
          <w:color w:val="000000" w:themeColor="text1"/>
        </w:rPr>
        <w:t>Entity Resources and Planned Performance</w:t>
      </w:r>
    </w:p>
    <w:p w14:paraId="09FBFFDD" w14:textId="77777777" w:rsidR="00913388" w:rsidRPr="00EE76CA" w:rsidRDefault="00913388" w:rsidP="00913388">
      <w:pPr>
        <w:rPr>
          <w:color w:val="000000" w:themeColor="text1"/>
        </w:rPr>
      </w:pPr>
      <w:r w:rsidRPr="00EE76CA">
        <w:rPr>
          <w:color w:val="000000" w:themeColor="text1"/>
        </w:rPr>
        <w:br w:type="page"/>
      </w:r>
    </w:p>
    <w:p w14:paraId="4C4D0007" w14:textId="6B588F0D" w:rsidR="002D6C1C" w:rsidRPr="00EE76CA" w:rsidRDefault="002D6C1C" w:rsidP="00C51804">
      <w:pPr>
        <w:tabs>
          <w:tab w:val="left" w:pos="4400"/>
        </w:tabs>
        <w:rPr>
          <w:color w:val="000000" w:themeColor="text1"/>
        </w:rPr>
      </w:pPr>
    </w:p>
    <w:p w14:paraId="3F74E939" w14:textId="77777777" w:rsidR="002D6C1C" w:rsidRPr="00EE76CA" w:rsidRDefault="002D6C1C" w:rsidP="00C51804">
      <w:pPr>
        <w:tabs>
          <w:tab w:val="left" w:pos="4400"/>
        </w:tabs>
        <w:rPr>
          <w:color w:val="000000" w:themeColor="text1"/>
        </w:rPr>
        <w:sectPr w:rsidR="002D6C1C" w:rsidRPr="00EE76CA" w:rsidSect="004F7FD0">
          <w:headerReference w:type="even" r:id="rId8"/>
          <w:headerReference w:type="default" r:id="rId9"/>
          <w:footerReference w:type="even" r:id="rId10"/>
          <w:footerReference w:type="default" r:id="rId11"/>
          <w:pgSz w:w="11906" w:h="16838"/>
          <w:pgMar w:top="7053" w:right="2268" w:bottom="2126" w:left="2268" w:header="1899" w:footer="1899" w:gutter="0"/>
          <w:pgNumType w:start="389"/>
          <w:cols w:space="708"/>
          <w:docGrid w:linePitch="360"/>
        </w:sectPr>
      </w:pPr>
    </w:p>
    <w:p w14:paraId="27DF918F" w14:textId="77777777" w:rsidR="00CF2E99" w:rsidRPr="00EE76CA" w:rsidRDefault="00CF2E99" w:rsidP="00CF2E99">
      <w:pPr>
        <w:pStyle w:val="Heading1"/>
        <w:rPr>
          <w:color w:val="000000" w:themeColor="text1"/>
        </w:rPr>
      </w:pPr>
      <w:r w:rsidRPr="00EE76CA">
        <w:rPr>
          <w:color w:val="000000" w:themeColor="text1"/>
        </w:rPr>
        <w:lastRenderedPageBreak/>
        <w:t>Organ and Tissue Authority</w:t>
      </w:r>
    </w:p>
    <w:p w14:paraId="3C534FC2" w14:textId="346D54FD" w:rsidR="00DC4E90" w:rsidRPr="00EE76CA" w:rsidRDefault="00F820ED">
      <w:pPr>
        <w:pStyle w:val="TOC1"/>
        <w:rPr>
          <w:rFonts w:asciiTheme="minorHAnsi" w:eastAsiaTheme="minorEastAsia" w:hAnsiTheme="minorHAnsi" w:cstheme="minorBidi"/>
          <w:b w:val="0"/>
          <w:color w:val="000000" w:themeColor="text1"/>
          <w:sz w:val="22"/>
          <w:szCs w:val="22"/>
        </w:rPr>
      </w:pPr>
      <w:r w:rsidRPr="00EE76CA">
        <w:rPr>
          <w:rFonts w:ascii="Arial" w:hAnsi="Arial" w:cs="Arial"/>
          <w:color w:val="000000" w:themeColor="text1"/>
        </w:rPr>
        <w:fldChar w:fldCharType="begin"/>
      </w:r>
      <w:r w:rsidRPr="00EE76CA">
        <w:rPr>
          <w:rFonts w:ascii="Arial" w:hAnsi="Arial" w:cs="Arial"/>
          <w:color w:val="000000" w:themeColor="text1"/>
        </w:rPr>
        <w:instrText xml:space="preserve"> TOC \h \z \t "Heading 2,1,Heading 3,2" </w:instrText>
      </w:r>
      <w:r w:rsidRPr="00EE76CA">
        <w:rPr>
          <w:rFonts w:ascii="Arial" w:hAnsi="Arial" w:cs="Arial"/>
          <w:color w:val="000000" w:themeColor="text1"/>
        </w:rPr>
        <w:fldChar w:fldCharType="separate"/>
      </w:r>
      <w:hyperlink w:anchor="_Toc71465357" w:history="1">
        <w:r w:rsidR="00DC4E90" w:rsidRPr="00EE76CA">
          <w:rPr>
            <w:rStyle w:val="Hyperlink"/>
            <w:color w:val="000000" w:themeColor="text1"/>
          </w:rPr>
          <w:t>Section 1: Entity Overview and Resources</w:t>
        </w:r>
        <w:r w:rsidR="00DC4E90" w:rsidRPr="00EE76CA">
          <w:rPr>
            <w:webHidden/>
            <w:color w:val="000000" w:themeColor="text1"/>
          </w:rPr>
          <w:tab/>
        </w:r>
        <w:r w:rsidR="00DC4E90" w:rsidRPr="00EE76CA">
          <w:rPr>
            <w:webHidden/>
            <w:color w:val="000000" w:themeColor="text1"/>
          </w:rPr>
          <w:fldChar w:fldCharType="begin"/>
        </w:r>
        <w:r w:rsidR="00DC4E90" w:rsidRPr="00EE76CA">
          <w:rPr>
            <w:webHidden/>
            <w:color w:val="000000" w:themeColor="text1"/>
          </w:rPr>
          <w:instrText xml:space="preserve"> PAGEREF _Toc71465357 \h </w:instrText>
        </w:r>
        <w:r w:rsidR="00DC4E90" w:rsidRPr="00EE76CA">
          <w:rPr>
            <w:webHidden/>
            <w:color w:val="000000" w:themeColor="text1"/>
          </w:rPr>
        </w:r>
        <w:r w:rsidR="00DC4E90" w:rsidRPr="00EE76CA">
          <w:rPr>
            <w:webHidden/>
            <w:color w:val="000000" w:themeColor="text1"/>
          </w:rPr>
          <w:fldChar w:fldCharType="separate"/>
        </w:r>
        <w:r w:rsidR="004F7FD0">
          <w:rPr>
            <w:webHidden/>
            <w:color w:val="000000" w:themeColor="text1"/>
          </w:rPr>
          <w:t>392</w:t>
        </w:r>
        <w:r w:rsidR="00DC4E90" w:rsidRPr="00EE76CA">
          <w:rPr>
            <w:webHidden/>
            <w:color w:val="000000" w:themeColor="text1"/>
          </w:rPr>
          <w:fldChar w:fldCharType="end"/>
        </w:r>
      </w:hyperlink>
    </w:p>
    <w:p w14:paraId="63278889" w14:textId="6817F9E3" w:rsidR="00DC4E90" w:rsidRPr="00EE76CA" w:rsidRDefault="004F7FD0">
      <w:pPr>
        <w:pStyle w:val="TOC2"/>
        <w:rPr>
          <w:rFonts w:asciiTheme="minorHAnsi" w:eastAsiaTheme="minorEastAsia" w:hAnsiTheme="minorHAnsi" w:cstheme="minorBidi"/>
          <w:noProof/>
          <w:color w:val="000000" w:themeColor="text1"/>
          <w:sz w:val="22"/>
          <w:szCs w:val="22"/>
        </w:rPr>
      </w:pPr>
      <w:hyperlink w:anchor="_Toc71465358" w:history="1">
        <w:r w:rsidR="00DC4E90" w:rsidRPr="00EE76CA">
          <w:rPr>
            <w:rStyle w:val="Hyperlink"/>
            <w:noProof/>
            <w:color w:val="000000" w:themeColor="text1"/>
          </w:rPr>
          <w:t>1.1</w:t>
        </w:r>
        <w:r w:rsidR="00DC4E90" w:rsidRPr="00EE76CA">
          <w:rPr>
            <w:rFonts w:asciiTheme="minorHAnsi" w:eastAsiaTheme="minorEastAsia" w:hAnsiTheme="minorHAnsi" w:cstheme="minorBidi"/>
            <w:noProof/>
            <w:color w:val="000000" w:themeColor="text1"/>
            <w:sz w:val="22"/>
            <w:szCs w:val="22"/>
          </w:rPr>
          <w:tab/>
        </w:r>
        <w:r w:rsidR="00DC4E90" w:rsidRPr="00EE76CA">
          <w:rPr>
            <w:rStyle w:val="Hyperlink"/>
            <w:noProof/>
            <w:color w:val="000000" w:themeColor="text1"/>
          </w:rPr>
          <w:t>Strategic Direction Statement</w:t>
        </w:r>
        <w:r w:rsidR="00DC4E90" w:rsidRPr="00EE76CA">
          <w:rPr>
            <w:noProof/>
            <w:webHidden/>
            <w:color w:val="000000" w:themeColor="text1"/>
          </w:rPr>
          <w:tab/>
        </w:r>
        <w:r w:rsidR="00DC4E90" w:rsidRPr="00EE76CA">
          <w:rPr>
            <w:noProof/>
            <w:webHidden/>
            <w:color w:val="000000" w:themeColor="text1"/>
          </w:rPr>
          <w:fldChar w:fldCharType="begin"/>
        </w:r>
        <w:r w:rsidR="00DC4E90" w:rsidRPr="00EE76CA">
          <w:rPr>
            <w:noProof/>
            <w:webHidden/>
            <w:color w:val="000000" w:themeColor="text1"/>
          </w:rPr>
          <w:instrText xml:space="preserve"> PAGEREF _Toc71465358 \h </w:instrText>
        </w:r>
        <w:r w:rsidR="00DC4E90" w:rsidRPr="00EE76CA">
          <w:rPr>
            <w:noProof/>
            <w:webHidden/>
            <w:color w:val="000000" w:themeColor="text1"/>
          </w:rPr>
        </w:r>
        <w:r w:rsidR="00DC4E90" w:rsidRPr="00EE76CA">
          <w:rPr>
            <w:noProof/>
            <w:webHidden/>
            <w:color w:val="000000" w:themeColor="text1"/>
          </w:rPr>
          <w:fldChar w:fldCharType="separate"/>
        </w:r>
        <w:r>
          <w:rPr>
            <w:noProof/>
            <w:webHidden/>
            <w:color w:val="000000" w:themeColor="text1"/>
          </w:rPr>
          <w:t>392</w:t>
        </w:r>
        <w:r w:rsidR="00DC4E90" w:rsidRPr="00EE76CA">
          <w:rPr>
            <w:noProof/>
            <w:webHidden/>
            <w:color w:val="000000" w:themeColor="text1"/>
          </w:rPr>
          <w:fldChar w:fldCharType="end"/>
        </w:r>
      </w:hyperlink>
    </w:p>
    <w:p w14:paraId="7EADDF69" w14:textId="4885EA6A" w:rsidR="00DC4E90" w:rsidRPr="00EE76CA" w:rsidRDefault="004F7FD0">
      <w:pPr>
        <w:pStyle w:val="TOC2"/>
        <w:rPr>
          <w:rFonts w:asciiTheme="minorHAnsi" w:eastAsiaTheme="minorEastAsia" w:hAnsiTheme="minorHAnsi" w:cstheme="minorBidi"/>
          <w:noProof/>
          <w:color w:val="000000" w:themeColor="text1"/>
          <w:sz w:val="22"/>
          <w:szCs w:val="22"/>
        </w:rPr>
      </w:pPr>
      <w:hyperlink w:anchor="_Toc71465359" w:history="1">
        <w:r w:rsidR="00DC4E90" w:rsidRPr="00EE76CA">
          <w:rPr>
            <w:rStyle w:val="Hyperlink"/>
            <w:noProof/>
            <w:color w:val="000000" w:themeColor="text1"/>
          </w:rPr>
          <w:t>1.2</w:t>
        </w:r>
        <w:r w:rsidR="00DC4E90" w:rsidRPr="00EE76CA">
          <w:rPr>
            <w:rFonts w:asciiTheme="minorHAnsi" w:eastAsiaTheme="minorEastAsia" w:hAnsiTheme="minorHAnsi" w:cstheme="minorBidi"/>
            <w:noProof/>
            <w:color w:val="000000" w:themeColor="text1"/>
            <w:sz w:val="22"/>
            <w:szCs w:val="22"/>
          </w:rPr>
          <w:tab/>
        </w:r>
        <w:r w:rsidR="00DC4E90" w:rsidRPr="00EE76CA">
          <w:rPr>
            <w:rStyle w:val="Hyperlink"/>
            <w:noProof/>
            <w:color w:val="000000" w:themeColor="text1"/>
          </w:rPr>
          <w:t>Entity Resource Statement</w:t>
        </w:r>
        <w:r w:rsidR="00DC4E90" w:rsidRPr="00EE76CA">
          <w:rPr>
            <w:noProof/>
            <w:webHidden/>
            <w:color w:val="000000" w:themeColor="text1"/>
          </w:rPr>
          <w:tab/>
        </w:r>
        <w:r w:rsidR="00DC4E90" w:rsidRPr="00EE76CA">
          <w:rPr>
            <w:noProof/>
            <w:webHidden/>
            <w:color w:val="000000" w:themeColor="text1"/>
          </w:rPr>
          <w:fldChar w:fldCharType="begin"/>
        </w:r>
        <w:r w:rsidR="00DC4E90" w:rsidRPr="00EE76CA">
          <w:rPr>
            <w:noProof/>
            <w:webHidden/>
            <w:color w:val="000000" w:themeColor="text1"/>
          </w:rPr>
          <w:instrText xml:space="preserve"> PAGEREF _Toc71465359 \h </w:instrText>
        </w:r>
        <w:r w:rsidR="00DC4E90" w:rsidRPr="00EE76CA">
          <w:rPr>
            <w:noProof/>
            <w:webHidden/>
            <w:color w:val="000000" w:themeColor="text1"/>
          </w:rPr>
        </w:r>
        <w:r w:rsidR="00DC4E90" w:rsidRPr="00EE76CA">
          <w:rPr>
            <w:noProof/>
            <w:webHidden/>
            <w:color w:val="000000" w:themeColor="text1"/>
          </w:rPr>
          <w:fldChar w:fldCharType="separate"/>
        </w:r>
        <w:r>
          <w:rPr>
            <w:noProof/>
            <w:webHidden/>
            <w:color w:val="000000" w:themeColor="text1"/>
          </w:rPr>
          <w:t>393</w:t>
        </w:r>
        <w:r w:rsidR="00DC4E90" w:rsidRPr="00EE76CA">
          <w:rPr>
            <w:noProof/>
            <w:webHidden/>
            <w:color w:val="000000" w:themeColor="text1"/>
          </w:rPr>
          <w:fldChar w:fldCharType="end"/>
        </w:r>
      </w:hyperlink>
    </w:p>
    <w:p w14:paraId="6F60B1B5" w14:textId="2C36551F" w:rsidR="00DC4E90" w:rsidRPr="00EE76CA" w:rsidRDefault="004F7FD0">
      <w:pPr>
        <w:pStyle w:val="TOC2"/>
        <w:rPr>
          <w:rFonts w:asciiTheme="minorHAnsi" w:eastAsiaTheme="minorEastAsia" w:hAnsiTheme="minorHAnsi" w:cstheme="minorBidi"/>
          <w:noProof/>
          <w:color w:val="000000" w:themeColor="text1"/>
          <w:sz w:val="22"/>
          <w:szCs w:val="22"/>
        </w:rPr>
      </w:pPr>
      <w:hyperlink w:anchor="_Toc71465360" w:history="1">
        <w:r w:rsidR="00DC4E90" w:rsidRPr="00EE76CA">
          <w:rPr>
            <w:rStyle w:val="Hyperlink"/>
            <w:noProof/>
            <w:color w:val="000000" w:themeColor="text1"/>
          </w:rPr>
          <w:t>1.3</w:t>
        </w:r>
        <w:r w:rsidR="00DC4E90" w:rsidRPr="00EE76CA">
          <w:rPr>
            <w:rFonts w:asciiTheme="minorHAnsi" w:eastAsiaTheme="minorEastAsia" w:hAnsiTheme="minorHAnsi" w:cstheme="minorBidi"/>
            <w:noProof/>
            <w:color w:val="000000" w:themeColor="text1"/>
            <w:sz w:val="22"/>
            <w:szCs w:val="22"/>
          </w:rPr>
          <w:tab/>
        </w:r>
        <w:r w:rsidR="00DC4E90" w:rsidRPr="00EE76CA">
          <w:rPr>
            <w:rStyle w:val="Hyperlink"/>
            <w:noProof/>
            <w:color w:val="000000" w:themeColor="text1"/>
          </w:rPr>
          <w:t>Budget Measures</w:t>
        </w:r>
        <w:r w:rsidR="00DC4E90" w:rsidRPr="00EE76CA">
          <w:rPr>
            <w:noProof/>
            <w:webHidden/>
            <w:color w:val="000000" w:themeColor="text1"/>
          </w:rPr>
          <w:tab/>
        </w:r>
        <w:r w:rsidR="00DC4E90" w:rsidRPr="00EE76CA">
          <w:rPr>
            <w:noProof/>
            <w:webHidden/>
            <w:color w:val="000000" w:themeColor="text1"/>
          </w:rPr>
          <w:fldChar w:fldCharType="begin"/>
        </w:r>
        <w:r w:rsidR="00DC4E90" w:rsidRPr="00EE76CA">
          <w:rPr>
            <w:noProof/>
            <w:webHidden/>
            <w:color w:val="000000" w:themeColor="text1"/>
          </w:rPr>
          <w:instrText xml:space="preserve"> PAGEREF _Toc71465360 \h </w:instrText>
        </w:r>
        <w:r w:rsidR="00DC4E90" w:rsidRPr="00EE76CA">
          <w:rPr>
            <w:noProof/>
            <w:webHidden/>
            <w:color w:val="000000" w:themeColor="text1"/>
          </w:rPr>
        </w:r>
        <w:r w:rsidR="00DC4E90" w:rsidRPr="00EE76CA">
          <w:rPr>
            <w:noProof/>
            <w:webHidden/>
            <w:color w:val="000000" w:themeColor="text1"/>
          </w:rPr>
          <w:fldChar w:fldCharType="separate"/>
        </w:r>
        <w:r>
          <w:rPr>
            <w:noProof/>
            <w:webHidden/>
            <w:color w:val="000000" w:themeColor="text1"/>
          </w:rPr>
          <w:t>393</w:t>
        </w:r>
        <w:r w:rsidR="00DC4E90" w:rsidRPr="00EE76CA">
          <w:rPr>
            <w:noProof/>
            <w:webHidden/>
            <w:color w:val="000000" w:themeColor="text1"/>
          </w:rPr>
          <w:fldChar w:fldCharType="end"/>
        </w:r>
      </w:hyperlink>
    </w:p>
    <w:p w14:paraId="6B8E629D" w14:textId="2EA9A309" w:rsidR="00DC4E90" w:rsidRPr="00EE76CA" w:rsidRDefault="004F7FD0">
      <w:pPr>
        <w:pStyle w:val="TOC1"/>
        <w:rPr>
          <w:rFonts w:asciiTheme="minorHAnsi" w:eastAsiaTheme="minorEastAsia" w:hAnsiTheme="minorHAnsi" w:cstheme="minorBidi"/>
          <w:b w:val="0"/>
          <w:color w:val="000000" w:themeColor="text1"/>
          <w:sz w:val="22"/>
          <w:szCs w:val="22"/>
        </w:rPr>
      </w:pPr>
      <w:hyperlink w:anchor="_Toc71465361" w:history="1">
        <w:r w:rsidR="00DC4E90" w:rsidRPr="00EE76CA">
          <w:rPr>
            <w:rStyle w:val="Hyperlink"/>
            <w:color w:val="000000" w:themeColor="text1"/>
          </w:rPr>
          <w:t>Section 2: Outcomes and Plan</w:t>
        </w:r>
        <w:bookmarkStart w:id="0" w:name="_GoBack"/>
        <w:bookmarkEnd w:id="0"/>
        <w:r w:rsidR="00DC4E90" w:rsidRPr="00EE76CA">
          <w:rPr>
            <w:rStyle w:val="Hyperlink"/>
            <w:color w:val="000000" w:themeColor="text1"/>
          </w:rPr>
          <w:t>ned Performance</w:t>
        </w:r>
        <w:r w:rsidR="00DC4E90" w:rsidRPr="00EE76CA">
          <w:rPr>
            <w:webHidden/>
            <w:color w:val="000000" w:themeColor="text1"/>
          </w:rPr>
          <w:tab/>
        </w:r>
        <w:r w:rsidR="00DC4E90" w:rsidRPr="00EE76CA">
          <w:rPr>
            <w:webHidden/>
            <w:color w:val="000000" w:themeColor="text1"/>
          </w:rPr>
          <w:fldChar w:fldCharType="begin"/>
        </w:r>
        <w:r w:rsidR="00DC4E90" w:rsidRPr="00EE76CA">
          <w:rPr>
            <w:webHidden/>
            <w:color w:val="000000" w:themeColor="text1"/>
          </w:rPr>
          <w:instrText xml:space="preserve"> PAGEREF _Toc71465361 \h </w:instrText>
        </w:r>
        <w:r w:rsidR="00DC4E90" w:rsidRPr="00EE76CA">
          <w:rPr>
            <w:webHidden/>
            <w:color w:val="000000" w:themeColor="text1"/>
          </w:rPr>
        </w:r>
        <w:r w:rsidR="00DC4E90" w:rsidRPr="00EE76CA">
          <w:rPr>
            <w:webHidden/>
            <w:color w:val="000000" w:themeColor="text1"/>
          </w:rPr>
          <w:fldChar w:fldCharType="separate"/>
        </w:r>
        <w:r>
          <w:rPr>
            <w:webHidden/>
            <w:color w:val="000000" w:themeColor="text1"/>
          </w:rPr>
          <w:t>395</w:t>
        </w:r>
        <w:r w:rsidR="00DC4E90" w:rsidRPr="00EE76CA">
          <w:rPr>
            <w:webHidden/>
            <w:color w:val="000000" w:themeColor="text1"/>
          </w:rPr>
          <w:fldChar w:fldCharType="end"/>
        </w:r>
      </w:hyperlink>
    </w:p>
    <w:p w14:paraId="506A1699" w14:textId="296A628D" w:rsidR="00DC4E90" w:rsidRPr="00EE76CA" w:rsidRDefault="004F7FD0">
      <w:pPr>
        <w:pStyle w:val="TOC2"/>
        <w:rPr>
          <w:rFonts w:asciiTheme="minorHAnsi" w:eastAsiaTheme="minorEastAsia" w:hAnsiTheme="minorHAnsi" w:cstheme="minorBidi"/>
          <w:noProof/>
          <w:color w:val="000000" w:themeColor="text1"/>
          <w:sz w:val="22"/>
          <w:szCs w:val="22"/>
        </w:rPr>
      </w:pPr>
      <w:hyperlink w:anchor="_Toc71465362" w:history="1">
        <w:r w:rsidR="00DC4E90" w:rsidRPr="00EE76CA">
          <w:rPr>
            <w:rStyle w:val="Hyperlink"/>
            <w:noProof/>
            <w:color w:val="000000" w:themeColor="text1"/>
          </w:rPr>
          <w:t>2.1</w:t>
        </w:r>
        <w:r w:rsidR="00DC4E90" w:rsidRPr="00EE76CA">
          <w:rPr>
            <w:rFonts w:asciiTheme="minorHAnsi" w:eastAsiaTheme="minorEastAsia" w:hAnsiTheme="minorHAnsi" w:cstheme="minorBidi"/>
            <w:noProof/>
            <w:color w:val="000000" w:themeColor="text1"/>
            <w:sz w:val="22"/>
            <w:szCs w:val="22"/>
          </w:rPr>
          <w:tab/>
        </w:r>
        <w:r w:rsidR="00DC4E90" w:rsidRPr="00EE76CA">
          <w:rPr>
            <w:rStyle w:val="Hyperlink"/>
            <w:noProof/>
            <w:color w:val="000000" w:themeColor="text1"/>
          </w:rPr>
          <w:t>Budgeted Expenses and Performance</w:t>
        </w:r>
        <w:r w:rsidR="00DC4E90" w:rsidRPr="00EE76CA">
          <w:rPr>
            <w:noProof/>
            <w:webHidden/>
            <w:color w:val="000000" w:themeColor="text1"/>
          </w:rPr>
          <w:tab/>
        </w:r>
        <w:r w:rsidR="00DC4E90" w:rsidRPr="00EE76CA">
          <w:rPr>
            <w:noProof/>
            <w:webHidden/>
            <w:color w:val="000000" w:themeColor="text1"/>
          </w:rPr>
          <w:fldChar w:fldCharType="begin"/>
        </w:r>
        <w:r w:rsidR="00DC4E90" w:rsidRPr="00EE76CA">
          <w:rPr>
            <w:noProof/>
            <w:webHidden/>
            <w:color w:val="000000" w:themeColor="text1"/>
          </w:rPr>
          <w:instrText xml:space="preserve"> PAGEREF _Toc71465362 \h </w:instrText>
        </w:r>
        <w:r w:rsidR="00DC4E90" w:rsidRPr="00EE76CA">
          <w:rPr>
            <w:noProof/>
            <w:webHidden/>
            <w:color w:val="000000" w:themeColor="text1"/>
          </w:rPr>
        </w:r>
        <w:r w:rsidR="00DC4E90" w:rsidRPr="00EE76CA">
          <w:rPr>
            <w:noProof/>
            <w:webHidden/>
            <w:color w:val="000000" w:themeColor="text1"/>
          </w:rPr>
          <w:fldChar w:fldCharType="separate"/>
        </w:r>
        <w:r>
          <w:rPr>
            <w:noProof/>
            <w:webHidden/>
            <w:color w:val="000000" w:themeColor="text1"/>
          </w:rPr>
          <w:t>395</w:t>
        </w:r>
        <w:r w:rsidR="00DC4E90" w:rsidRPr="00EE76CA">
          <w:rPr>
            <w:noProof/>
            <w:webHidden/>
            <w:color w:val="000000" w:themeColor="text1"/>
          </w:rPr>
          <w:fldChar w:fldCharType="end"/>
        </w:r>
      </w:hyperlink>
    </w:p>
    <w:p w14:paraId="10F1C546" w14:textId="1911E1E4" w:rsidR="00DC4E90" w:rsidRPr="00EE76CA" w:rsidRDefault="004F7FD0">
      <w:pPr>
        <w:pStyle w:val="TOC1"/>
        <w:rPr>
          <w:rFonts w:asciiTheme="minorHAnsi" w:eastAsiaTheme="minorEastAsia" w:hAnsiTheme="minorHAnsi" w:cstheme="minorBidi"/>
          <w:b w:val="0"/>
          <w:color w:val="000000" w:themeColor="text1"/>
          <w:sz w:val="22"/>
          <w:szCs w:val="22"/>
        </w:rPr>
      </w:pPr>
      <w:hyperlink w:anchor="_Toc71465363" w:history="1">
        <w:r w:rsidR="00DC4E90" w:rsidRPr="00EE76CA">
          <w:rPr>
            <w:rStyle w:val="Hyperlink"/>
            <w:color w:val="000000" w:themeColor="text1"/>
          </w:rPr>
          <w:t>Section 3: Budgeted Financial Statements</w:t>
        </w:r>
        <w:r w:rsidR="00DC4E90" w:rsidRPr="00EE76CA">
          <w:rPr>
            <w:webHidden/>
            <w:color w:val="000000" w:themeColor="text1"/>
          </w:rPr>
          <w:tab/>
        </w:r>
        <w:r w:rsidR="00DC4E90" w:rsidRPr="00EE76CA">
          <w:rPr>
            <w:webHidden/>
            <w:color w:val="000000" w:themeColor="text1"/>
          </w:rPr>
          <w:fldChar w:fldCharType="begin"/>
        </w:r>
        <w:r w:rsidR="00DC4E90" w:rsidRPr="00EE76CA">
          <w:rPr>
            <w:webHidden/>
            <w:color w:val="000000" w:themeColor="text1"/>
          </w:rPr>
          <w:instrText xml:space="preserve"> PAGEREF _Toc71465363 \h </w:instrText>
        </w:r>
        <w:r w:rsidR="00DC4E90" w:rsidRPr="00EE76CA">
          <w:rPr>
            <w:webHidden/>
            <w:color w:val="000000" w:themeColor="text1"/>
          </w:rPr>
        </w:r>
        <w:r w:rsidR="00DC4E90" w:rsidRPr="00EE76CA">
          <w:rPr>
            <w:webHidden/>
            <w:color w:val="000000" w:themeColor="text1"/>
          </w:rPr>
          <w:fldChar w:fldCharType="separate"/>
        </w:r>
        <w:r>
          <w:rPr>
            <w:webHidden/>
            <w:color w:val="000000" w:themeColor="text1"/>
          </w:rPr>
          <w:t>399</w:t>
        </w:r>
        <w:r w:rsidR="00DC4E90" w:rsidRPr="00EE76CA">
          <w:rPr>
            <w:webHidden/>
            <w:color w:val="000000" w:themeColor="text1"/>
          </w:rPr>
          <w:fldChar w:fldCharType="end"/>
        </w:r>
      </w:hyperlink>
    </w:p>
    <w:p w14:paraId="2629D22B" w14:textId="4CB7476C" w:rsidR="00DC4E90" w:rsidRPr="00EE76CA" w:rsidRDefault="004F7FD0">
      <w:pPr>
        <w:pStyle w:val="TOC2"/>
        <w:rPr>
          <w:rFonts w:asciiTheme="minorHAnsi" w:eastAsiaTheme="minorEastAsia" w:hAnsiTheme="minorHAnsi" w:cstheme="minorBidi"/>
          <w:noProof/>
          <w:color w:val="000000" w:themeColor="text1"/>
          <w:sz w:val="22"/>
          <w:szCs w:val="22"/>
        </w:rPr>
      </w:pPr>
      <w:hyperlink w:anchor="_Toc71465364" w:history="1">
        <w:r w:rsidR="00DC4E90" w:rsidRPr="00EE76CA">
          <w:rPr>
            <w:rStyle w:val="Hyperlink"/>
            <w:noProof/>
            <w:color w:val="000000" w:themeColor="text1"/>
          </w:rPr>
          <w:t>3.1</w:t>
        </w:r>
        <w:r w:rsidR="00DC4E90" w:rsidRPr="00EE76CA">
          <w:rPr>
            <w:rFonts w:asciiTheme="minorHAnsi" w:eastAsiaTheme="minorEastAsia" w:hAnsiTheme="minorHAnsi" w:cstheme="minorBidi"/>
            <w:noProof/>
            <w:color w:val="000000" w:themeColor="text1"/>
            <w:sz w:val="22"/>
            <w:szCs w:val="22"/>
          </w:rPr>
          <w:tab/>
        </w:r>
        <w:r w:rsidR="00DC4E90" w:rsidRPr="00EE76CA">
          <w:rPr>
            <w:rStyle w:val="Hyperlink"/>
            <w:noProof/>
            <w:color w:val="000000" w:themeColor="text1"/>
          </w:rPr>
          <w:t>Budgeted Financial Statements</w:t>
        </w:r>
        <w:r w:rsidR="00DC4E90" w:rsidRPr="00EE76CA">
          <w:rPr>
            <w:noProof/>
            <w:webHidden/>
            <w:color w:val="000000" w:themeColor="text1"/>
          </w:rPr>
          <w:tab/>
        </w:r>
        <w:r w:rsidR="00DC4E90" w:rsidRPr="00EE76CA">
          <w:rPr>
            <w:noProof/>
            <w:webHidden/>
            <w:color w:val="000000" w:themeColor="text1"/>
          </w:rPr>
          <w:fldChar w:fldCharType="begin"/>
        </w:r>
        <w:r w:rsidR="00DC4E90" w:rsidRPr="00EE76CA">
          <w:rPr>
            <w:noProof/>
            <w:webHidden/>
            <w:color w:val="000000" w:themeColor="text1"/>
          </w:rPr>
          <w:instrText xml:space="preserve"> PAGEREF _Toc71465364 \h </w:instrText>
        </w:r>
        <w:r w:rsidR="00DC4E90" w:rsidRPr="00EE76CA">
          <w:rPr>
            <w:noProof/>
            <w:webHidden/>
            <w:color w:val="000000" w:themeColor="text1"/>
          </w:rPr>
        </w:r>
        <w:r w:rsidR="00DC4E90" w:rsidRPr="00EE76CA">
          <w:rPr>
            <w:noProof/>
            <w:webHidden/>
            <w:color w:val="000000" w:themeColor="text1"/>
          </w:rPr>
          <w:fldChar w:fldCharType="separate"/>
        </w:r>
        <w:r>
          <w:rPr>
            <w:noProof/>
            <w:webHidden/>
            <w:color w:val="000000" w:themeColor="text1"/>
          </w:rPr>
          <w:t>399</w:t>
        </w:r>
        <w:r w:rsidR="00DC4E90" w:rsidRPr="00EE76CA">
          <w:rPr>
            <w:noProof/>
            <w:webHidden/>
            <w:color w:val="000000" w:themeColor="text1"/>
          </w:rPr>
          <w:fldChar w:fldCharType="end"/>
        </w:r>
      </w:hyperlink>
    </w:p>
    <w:p w14:paraId="2D7076E4" w14:textId="2E736F3B" w:rsidR="00DC4E90" w:rsidRPr="00EE76CA" w:rsidRDefault="004F7FD0">
      <w:pPr>
        <w:pStyle w:val="TOC2"/>
        <w:rPr>
          <w:rFonts w:asciiTheme="minorHAnsi" w:eastAsiaTheme="minorEastAsia" w:hAnsiTheme="minorHAnsi" w:cstheme="minorBidi"/>
          <w:noProof/>
          <w:color w:val="000000" w:themeColor="text1"/>
          <w:sz w:val="22"/>
          <w:szCs w:val="22"/>
        </w:rPr>
      </w:pPr>
      <w:hyperlink w:anchor="_Toc71465365" w:history="1">
        <w:r w:rsidR="00DC4E90" w:rsidRPr="00EE76CA">
          <w:rPr>
            <w:rStyle w:val="Hyperlink"/>
            <w:noProof/>
            <w:color w:val="000000" w:themeColor="text1"/>
          </w:rPr>
          <w:t>3.2</w:t>
        </w:r>
        <w:r w:rsidR="00DC4E90" w:rsidRPr="00EE76CA">
          <w:rPr>
            <w:rFonts w:asciiTheme="minorHAnsi" w:eastAsiaTheme="minorEastAsia" w:hAnsiTheme="minorHAnsi" w:cstheme="minorBidi"/>
            <w:noProof/>
            <w:color w:val="000000" w:themeColor="text1"/>
            <w:sz w:val="22"/>
            <w:szCs w:val="22"/>
          </w:rPr>
          <w:tab/>
        </w:r>
        <w:r w:rsidR="00DC4E90" w:rsidRPr="00EE76CA">
          <w:rPr>
            <w:rStyle w:val="Hyperlink"/>
            <w:noProof/>
            <w:color w:val="000000" w:themeColor="text1"/>
          </w:rPr>
          <w:t>Budgeted Financial Statements Tables</w:t>
        </w:r>
        <w:r w:rsidR="00DC4E90" w:rsidRPr="00EE76CA">
          <w:rPr>
            <w:noProof/>
            <w:webHidden/>
            <w:color w:val="000000" w:themeColor="text1"/>
          </w:rPr>
          <w:tab/>
        </w:r>
        <w:r w:rsidR="00DC4E90" w:rsidRPr="00EE76CA">
          <w:rPr>
            <w:noProof/>
            <w:webHidden/>
            <w:color w:val="000000" w:themeColor="text1"/>
          </w:rPr>
          <w:fldChar w:fldCharType="begin"/>
        </w:r>
        <w:r w:rsidR="00DC4E90" w:rsidRPr="00EE76CA">
          <w:rPr>
            <w:noProof/>
            <w:webHidden/>
            <w:color w:val="000000" w:themeColor="text1"/>
          </w:rPr>
          <w:instrText xml:space="preserve"> PAGEREF _Toc71465365 \h </w:instrText>
        </w:r>
        <w:r w:rsidR="00DC4E90" w:rsidRPr="00EE76CA">
          <w:rPr>
            <w:noProof/>
            <w:webHidden/>
            <w:color w:val="000000" w:themeColor="text1"/>
          </w:rPr>
        </w:r>
        <w:r w:rsidR="00DC4E90" w:rsidRPr="00EE76CA">
          <w:rPr>
            <w:noProof/>
            <w:webHidden/>
            <w:color w:val="000000" w:themeColor="text1"/>
          </w:rPr>
          <w:fldChar w:fldCharType="separate"/>
        </w:r>
        <w:r>
          <w:rPr>
            <w:noProof/>
            <w:webHidden/>
            <w:color w:val="000000" w:themeColor="text1"/>
          </w:rPr>
          <w:t>400</w:t>
        </w:r>
        <w:r w:rsidR="00DC4E90" w:rsidRPr="00EE76CA">
          <w:rPr>
            <w:noProof/>
            <w:webHidden/>
            <w:color w:val="000000" w:themeColor="text1"/>
          </w:rPr>
          <w:fldChar w:fldCharType="end"/>
        </w:r>
      </w:hyperlink>
    </w:p>
    <w:p w14:paraId="501C42DD" w14:textId="717F5100" w:rsidR="00F820ED" w:rsidRPr="00EE76CA" w:rsidRDefault="00F820ED" w:rsidP="00F820ED">
      <w:pPr>
        <w:rPr>
          <w:rFonts w:ascii="Arial" w:hAnsi="Arial" w:cs="Arial"/>
          <w:b/>
          <w:color w:val="000000" w:themeColor="text1"/>
        </w:rPr>
        <w:sectPr w:rsidR="00F820ED" w:rsidRPr="00EE76CA"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EE76CA">
        <w:rPr>
          <w:rFonts w:ascii="Arial" w:hAnsi="Arial" w:cs="Arial"/>
          <w:b/>
          <w:color w:val="000000" w:themeColor="text1"/>
        </w:rPr>
        <w:fldChar w:fldCharType="end"/>
      </w:r>
    </w:p>
    <w:p w14:paraId="22019EA1" w14:textId="77777777" w:rsidR="0024539A" w:rsidRPr="00EE76CA" w:rsidRDefault="0024539A" w:rsidP="00BC0659">
      <w:pPr>
        <w:pStyle w:val="Heading2"/>
        <w:rPr>
          <w:color w:val="000000" w:themeColor="text1"/>
        </w:rPr>
      </w:pPr>
      <w:bookmarkStart w:id="1" w:name="_Toc71465357"/>
      <w:r w:rsidRPr="00EE76CA">
        <w:rPr>
          <w:color w:val="000000" w:themeColor="text1"/>
        </w:rPr>
        <w:lastRenderedPageBreak/>
        <w:t>Section 1: Entity Overview and Resources</w:t>
      </w:r>
      <w:bookmarkEnd w:id="1"/>
    </w:p>
    <w:p w14:paraId="332F4774" w14:textId="77777777" w:rsidR="0024539A" w:rsidRPr="00EE76CA" w:rsidRDefault="0024539A" w:rsidP="00BC0659">
      <w:pPr>
        <w:pStyle w:val="Heading3"/>
        <w:rPr>
          <w:color w:val="000000" w:themeColor="text1"/>
        </w:rPr>
      </w:pPr>
      <w:bookmarkStart w:id="2" w:name="_Toc71465358"/>
      <w:r w:rsidRPr="00EE76CA">
        <w:rPr>
          <w:color w:val="000000" w:themeColor="text1"/>
        </w:rPr>
        <w:t>1.1</w:t>
      </w:r>
      <w:r w:rsidRPr="00EE76CA">
        <w:rPr>
          <w:color w:val="000000" w:themeColor="text1"/>
        </w:rPr>
        <w:tab/>
        <w:t>Strategic Direction Statement</w:t>
      </w:r>
      <w:r w:rsidRPr="00EE76CA">
        <w:rPr>
          <w:color w:val="000000" w:themeColor="text1"/>
          <w:vertAlign w:val="superscript"/>
        </w:rPr>
        <w:footnoteReference w:id="1"/>
      </w:r>
      <w:bookmarkEnd w:id="2"/>
    </w:p>
    <w:p w14:paraId="4724BD3B" w14:textId="6E030C78" w:rsidR="00EB0910" w:rsidRPr="00EE76CA" w:rsidRDefault="00DC4CA3" w:rsidP="00DC4CA3">
      <w:pPr>
        <w:rPr>
          <w:snapToGrid w:val="0"/>
          <w:color w:val="000000" w:themeColor="text1"/>
        </w:rPr>
      </w:pPr>
      <w:r w:rsidRPr="00EE76CA">
        <w:rPr>
          <w:snapToGrid w:val="0"/>
          <w:color w:val="000000" w:themeColor="text1"/>
        </w:rPr>
        <w:t xml:space="preserve">The Australian Government’s Organ and Tissue Donation and Transplantation Authority, also known as the Organ and Tissue Authority (OTA), leads </w:t>
      </w:r>
      <w:r w:rsidR="000459A6">
        <w:rPr>
          <w:snapToGrid w:val="0"/>
          <w:color w:val="000000" w:themeColor="text1"/>
        </w:rPr>
        <w:t>the national program to increase</w:t>
      </w:r>
      <w:r w:rsidRPr="00EE76CA">
        <w:rPr>
          <w:snapToGrid w:val="0"/>
          <w:color w:val="000000" w:themeColor="text1"/>
        </w:rPr>
        <w:t xml:space="preserve"> organ and tissue donation for transplantation in partnership with states and territories</w:t>
      </w:r>
      <w:r w:rsidR="004679D7" w:rsidRPr="00EE76CA">
        <w:rPr>
          <w:snapToGrid w:val="0"/>
          <w:color w:val="000000" w:themeColor="text1"/>
        </w:rPr>
        <w:t xml:space="preserve">, the </w:t>
      </w:r>
      <w:r w:rsidRPr="00EE76CA">
        <w:rPr>
          <w:snapToGrid w:val="0"/>
          <w:color w:val="000000" w:themeColor="text1"/>
        </w:rPr>
        <w:t xml:space="preserve">national DonateLife </w:t>
      </w:r>
      <w:r w:rsidR="00CF515F" w:rsidRPr="00EE76CA">
        <w:rPr>
          <w:snapToGrid w:val="0"/>
          <w:color w:val="000000" w:themeColor="text1"/>
        </w:rPr>
        <w:t>Network</w:t>
      </w:r>
      <w:r w:rsidRPr="00EE76CA">
        <w:rPr>
          <w:snapToGrid w:val="0"/>
          <w:color w:val="000000" w:themeColor="text1"/>
        </w:rPr>
        <w:t>, donation and transplantation clinical sectors, eye and tissue banks,</w:t>
      </w:r>
      <w:r w:rsidR="00AE3800" w:rsidRPr="00EE76CA">
        <w:rPr>
          <w:snapToGrid w:val="0"/>
          <w:color w:val="000000" w:themeColor="text1"/>
        </w:rPr>
        <w:t xml:space="preserve"> and </w:t>
      </w:r>
      <w:r w:rsidR="006F7BFE" w:rsidRPr="00EE76CA">
        <w:rPr>
          <w:snapToGrid w:val="0"/>
          <w:color w:val="000000" w:themeColor="text1"/>
        </w:rPr>
        <w:t xml:space="preserve">the </w:t>
      </w:r>
      <w:r w:rsidRPr="00EE76CA">
        <w:rPr>
          <w:snapToGrid w:val="0"/>
          <w:color w:val="000000" w:themeColor="text1"/>
        </w:rPr>
        <w:t>community.</w:t>
      </w:r>
      <w:r w:rsidR="00982EA4">
        <w:rPr>
          <w:snapToGrid w:val="0"/>
          <w:color w:val="000000" w:themeColor="text1"/>
        </w:rPr>
        <w:t xml:space="preserve"> </w:t>
      </w:r>
      <w:r w:rsidR="00EB0910">
        <w:rPr>
          <w:snapToGrid w:val="0"/>
          <w:color w:val="000000" w:themeColor="text1"/>
        </w:rPr>
        <w:t>Our purpose is to save and improve the lives of more Australians through optimising potential organ and tissue donation for transplantation.</w:t>
      </w:r>
    </w:p>
    <w:p w14:paraId="679FB9EC" w14:textId="48DECC55" w:rsidR="00DC4CA3" w:rsidRPr="00EE76CA" w:rsidRDefault="00DC4CA3" w:rsidP="00AC1122">
      <w:pPr>
        <w:rPr>
          <w:snapToGrid w:val="0"/>
          <w:color w:val="000000" w:themeColor="text1"/>
        </w:rPr>
      </w:pPr>
      <w:r w:rsidRPr="00EE76CA">
        <w:rPr>
          <w:snapToGrid w:val="0"/>
          <w:color w:val="000000" w:themeColor="text1"/>
        </w:rPr>
        <w:t>Under the national program, all governments have committed to increasing Australia’s organ and tissue donation rates</w:t>
      </w:r>
      <w:r w:rsidR="008F4B8B" w:rsidRPr="00EE76CA">
        <w:rPr>
          <w:snapToGrid w:val="0"/>
          <w:color w:val="000000" w:themeColor="text1"/>
        </w:rPr>
        <w:t>,</w:t>
      </w:r>
      <w:r w:rsidRPr="00EE76CA">
        <w:rPr>
          <w:snapToGrid w:val="0"/>
          <w:color w:val="000000" w:themeColor="text1"/>
        </w:rPr>
        <w:t xml:space="preserve"> with a focus on delivering best clinical practice in hospitals and encouraging Australians to register and let their family know they want to be a donor. </w:t>
      </w:r>
    </w:p>
    <w:p w14:paraId="01B98ED2" w14:textId="5319B1E8" w:rsidR="00117748" w:rsidRDefault="00DC4CA3" w:rsidP="00020D19">
      <w:pPr>
        <w:pStyle w:val="Tabletextnormal9pt"/>
        <w:spacing w:before="0" w:after="120"/>
        <w:rPr>
          <w:rFonts w:ascii="Book Antiqua" w:hAnsi="Book Antiqua"/>
          <w:snapToGrid w:val="0"/>
          <w:color w:val="000000" w:themeColor="text1"/>
          <w:sz w:val="20"/>
          <w:szCs w:val="20"/>
        </w:rPr>
      </w:pPr>
      <w:r w:rsidRPr="00EE76CA">
        <w:rPr>
          <w:rFonts w:ascii="Book Antiqua" w:hAnsi="Book Antiqua"/>
          <w:snapToGrid w:val="0"/>
          <w:color w:val="000000" w:themeColor="text1"/>
          <w:sz w:val="20"/>
          <w:szCs w:val="20"/>
        </w:rPr>
        <w:t xml:space="preserve">Since </w:t>
      </w:r>
      <w:r w:rsidR="008F4B8B" w:rsidRPr="00EE76CA">
        <w:rPr>
          <w:rFonts w:ascii="Book Antiqua" w:hAnsi="Book Antiqua"/>
          <w:snapToGrid w:val="0"/>
          <w:color w:val="000000" w:themeColor="text1"/>
          <w:sz w:val="20"/>
          <w:szCs w:val="20"/>
        </w:rPr>
        <w:t>commencement of the</w:t>
      </w:r>
      <w:r w:rsidR="00EB0910">
        <w:rPr>
          <w:rFonts w:ascii="Book Antiqua" w:hAnsi="Book Antiqua"/>
          <w:snapToGrid w:val="0"/>
          <w:color w:val="000000" w:themeColor="text1"/>
          <w:sz w:val="20"/>
          <w:szCs w:val="20"/>
        </w:rPr>
        <w:t xml:space="preserve"> national</w:t>
      </w:r>
      <w:r w:rsidRPr="00EE76CA">
        <w:rPr>
          <w:rFonts w:ascii="Book Antiqua" w:hAnsi="Book Antiqua"/>
          <w:snapToGrid w:val="0"/>
          <w:color w:val="000000" w:themeColor="text1"/>
          <w:sz w:val="20"/>
          <w:szCs w:val="20"/>
        </w:rPr>
        <w:t xml:space="preserve"> program in 2009</w:t>
      </w:r>
      <w:r w:rsidR="004756DF">
        <w:rPr>
          <w:rFonts w:ascii="Book Antiqua" w:hAnsi="Book Antiqua"/>
          <w:snapToGrid w:val="0"/>
          <w:color w:val="000000" w:themeColor="text1"/>
          <w:sz w:val="20"/>
          <w:szCs w:val="20"/>
        </w:rPr>
        <w:t>,</w:t>
      </w:r>
      <w:r w:rsidRPr="00EE76CA">
        <w:rPr>
          <w:rFonts w:ascii="Book Antiqua" w:hAnsi="Book Antiqua"/>
          <w:snapToGrid w:val="0"/>
          <w:color w:val="000000" w:themeColor="text1"/>
          <w:sz w:val="20"/>
          <w:szCs w:val="20"/>
        </w:rPr>
        <w:t xml:space="preserve"> th</w:t>
      </w:r>
      <w:r w:rsidR="00EB0910">
        <w:rPr>
          <w:rFonts w:ascii="Book Antiqua" w:hAnsi="Book Antiqua"/>
          <w:snapToGrid w:val="0"/>
          <w:color w:val="000000" w:themeColor="text1"/>
          <w:sz w:val="20"/>
          <w:szCs w:val="20"/>
        </w:rPr>
        <w:t>ere has been</w:t>
      </w:r>
      <w:r w:rsidRPr="00EE76CA">
        <w:rPr>
          <w:rFonts w:ascii="Book Antiqua" w:hAnsi="Book Antiqua"/>
          <w:snapToGrid w:val="0"/>
          <w:color w:val="000000" w:themeColor="text1"/>
          <w:sz w:val="20"/>
          <w:szCs w:val="20"/>
        </w:rPr>
        <w:t xml:space="preserve"> significant growth </w:t>
      </w:r>
      <w:r w:rsidR="00117748" w:rsidRPr="00EE76CA">
        <w:rPr>
          <w:rFonts w:ascii="Book Antiqua" w:hAnsi="Book Antiqua"/>
          <w:snapToGrid w:val="0"/>
          <w:color w:val="000000" w:themeColor="text1"/>
          <w:sz w:val="20"/>
          <w:szCs w:val="20"/>
        </w:rPr>
        <w:t>in organ donati</w:t>
      </w:r>
      <w:r w:rsidR="00EB0910">
        <w:rPr>
          <w:rFonts w:ascii="Book Antiqua" w:hAnsi="Book Antiqua"/>
          <w:snapToGrid w:val="0"/>
          <w:color w:val="000000" w:themeColor="text1"/>
          <w:sz w:val="20"/>
          <w:szCs w:val="20"/>
        </w:rPr>
        <w:t xml:space="preserve">on rates, and more than </w:t>
      </w:r>
      <w:r w:rsidR="00E1572A" w:rsidRPr="00E1572A">
        <w:rPr>
          <w:rFonts w:ascii="Book Antiqua" w:hAnsi="Book Antiqua"/>
          <w:snapToGrid w:val="0"/>
          <w:color w:val="000000" w:themeColor="text1"/>
          <w:sz w:val="20"/>
          <w:szCs w:val="20"/>
        </w:rPr>
        <w:t>15,525</w:t>
      </w:r>
      <w:r w:rsidR="00117748" w:rsidRPr="00EE76CA">
        <w:rPr>
          <w:rFonts w:ascii="Book Antiqua" w:hAnsi="Book Antiqua"/>
          <w:snapToGrid w:val="0"/>
          <w:color w:val="000000" w:themeColor="text1"/>
          <w:sz w:val="20"/>
          <w:szCs w:val="20"/>
        </w:rPr>
        <w:t xml:space="preserve"> Australians</w:t>
      </w:r>
      <w:r w:rsidR="00EB0910">
        <w:rPr>
          <w:rFonts w:ascii="Book Antiqua" w:hAnsi="Book Antiqua"/>
          <w:snapToGrid w:val="0"/>
          <w:color w:val="000000" w:themeColor="text1"/>
          <w:sz w:val="20"/>
          <w:szCs w:val="20"/>
        </w:rPr>
        <w:t xml:space="preserve"> have received</w:t>
      </w:r>
      <w:r w:rsidR="00117748" w:rsidRPr="00EE76CA">
        <w:rPr>
          <w:rFonts w:ascii="Book Antiqua" w:hAnsi="Book Antiqua"/>
          <w:snapToGrid w:val="0"/>
          <w:color w:val="000000" w:themeColor="text1"/>
          <w:sz w:val="20"/>
          <w:szCs w:val="20"/>
        </w:rPr>
        <w:t xml:space="preserve"> a life</w:t>
      </w:r>
      <w:r w:rsidR="009A1747">
        <w:rPr>
          <w:rFonts w:ascii="Book Antiqua" w:hAnsi="Book Antiqua"/>
          <w:snapToGrid w:val="0"/>
          <w:color w:val="000000" w:themeColor="text1"/>
          <w:sz w:val="20"/>
          <w:szCs w:val="20"/>
        </w:rPr>
        <w:t xml:space="preserve"> </w:t>
      </w:r>
      <w:r w:rsidR="00EB0910">
        <w:rPr>
          <w:rFonts w:ascii="Book Antiqua" w:hAnsi="Book Antiqua"/>
          <w:snapToGrid w:val="0"/>
          <w:color w:val="000000" w:themeColor="text1"/>
          <w:sz w:val="20"/>
          <w:szCs w:val="20"/>
        </w:rPr>
        <w:t xml:space="preserve">changing </w:t>
      </w:r>
      <w:r w:rsidR="00117748" w:rsidRPr="00EE76CA">
        <w:rPr>
          <w:rFonts w:ascii="Book Antiqua" w:hAnsi="Book Antiqua"/>
          <w:snapToGrid w:val="0"/>
          <w:color w:val="000000" w:themeColor="text1"/>
          <w:sz w:val="20"/>
          <w:szCs w:val="20"/>
        </w:rPr>
        <w:t>transplant.</w:t>
      </w:r>
      <w:r w:rsidR="00EB0910">
        <w:rPr>
          <w:rFonts w:ascii="Book Antiqua" w:hAnsi="Book Antiqua"/>
          <w:snapToGrid w:val="0"/>
          <w:color w:val="000000" w:themeColor="text1"/>
          <w:sz w:val="20"/>
          <w:szCs w:val="20"/>
        </w:rPr>
        <w:t xml:space="preserve"> However, the COVID-19 pandemic has directly impacted the national program, resulting in a decrease in donation and transplantation activity.</w:t>
      </w:r>
    </w:p>
    <w:p w14:paraId="4EC5DF17" w14:textId="5FA4ECD0" w:rsidR="00EB0910" w:rsidRDefault="00DF40C5" w:rsidP="00020D19">
      <w:pPr>
        <w:pStyle w:val="Tabletextnormal9pt"/>
        <w:spacing w:before="0" w:after="120"/>
        <w:rPr>
          <w:rFonts w:ascii="Book Antiqua" w:hAnsi="Book Antiqua"/>
          <w:snapToGrid w:val="0"/>
          <w:color w:val="000000" w:themeColor="text1"/>
          <w:sz w:val="20"/>
          <w:szCs w:val="20"/>
        </w:rPr>
      </w:pPr>
      <w:r>
        <w:rPr>
          <w:rFonts w:ascii="Book Antiqua" w:hAnsi="Book Antiqua"/>
          <w:snapToGrid w:val="0"/>
          <w:color w:val="000000" w:themeColor="text1"/>
          <w:sz w:val="20"/>
          <w:szCs w:val="20"/>
        </w:rPr>
        <w:t>In 2022–</w:t>
      </w:r>
      <w:r w:rsidR="00EB0910">
        <w:rPr>
          <w:rFonts w:ascii="Book Antiqua" w:hAnsi="Book Antiqua"/>
          <w:snapToGrid w:val="0"/>
          <w:color w:val="000000" w:themeColor="text1"/>
          <w:sz w:val="20"/>
          <w:szCs w:val="20"/>
        </w:rPr>
        <w:t>23 and future years, the OTA will continue to work collaboratively with governments, the clinical sector and the community to provide access to high quality donation and transplantation services</w:t>
      </w:r>
      <w:r w:rsidR="009A1747">
        <w:rPr>
          <w:rFonts w:ascii="Book Antiqua" w:hAnsi="Book Antiqua"/>
          <w:snapToGrid w:val="0"/>
          <w:color w:val="000000" w:themeColor="text1"/>
          <w:sz w:val="20"/>
          <w:szCs w:val="20"/>
        </w:rPr>
        <w:t>,</w:t>
      </w:r>
      <w:r w:rsidR="00EB0910">
        <w:rPr>
          <w:rFonts w:ascii="Book Antiqua" w:hAnsi="Book Antiqua"/>
          <w:snapToGrid w:val="0"/>
          <w:color w:val="000000" w:themeColor="text1"/>
          <w:sz w:val="20"/>
          <w:szCs w:val="20"/>
        </w:rPr>
        <w:t xml:space="preserve"> and strive to bring donation and transplantation </w:t>
      </w:r>
      <w:r w:rsidR="00756BE7">
        <w:rPr>
          <w:rFonts w:ascii="Book Antiqua" w:hAnsi="Book Antiqua"/>
          <w:snapToGrid w:val="0"/>
          <w:color w:val="000000" w:themeColor="text1"/>
          <w:sz w:val="20"/>
          <w:szCs w:val="20"/>
        </w:rPr>
        <w:t xml:space="preserve">rates </w:t>
      </w:r>
      <w:r w:rsidR="00EB0910">
        <w:rPr>
          <w:rFonts w:ascii="Book Antiqua" w:hAnsi="Book Antiqua"/>
          <w:snapToGrid w:val="0"/>
          <w:color w:val="000000" w:themeColor="text1"/>
          <w:sz w:val="20"/>
          <w:szCs w:val="20"/>
        </w:rPr>
        <w:t>back to pre-pandemic</w:t>
      </w:r>
      <w:r w:rsidR="009A1747">
        <w:rPr>
          <w:rFonts w:ascii="Book Antiqua" w:hAnsi="Book Antiqua"/>
          <w:snapToGrid w:val="0"/>
          <w:color w:val="000000" w:themeColor="text1"/>
          <w:sz w:val="20"/>
          <w:szCs w:val="20"/>
        </w:rPr>
        <w:t xml:space="preserve"> </w:t>
      </w:r>
      <w:r w:rsidR="00756BE7">
        <w:rPr>
          <w:rFonts w:ascii="Book Antiqua" w:hAnsi="Book Antiqua"/>
          <w:snapToGrid w:val="0"/>
          <w:color w:val="000000" w:themeColor="text1"/>
          <w:sz w:val="20"/>
          <w:szCs w:val="20"/>
        </w:rPr>
        <w:t>levels</w:t>
      </w:r>
      <w:r w:rsidR="00EB0910">
        <w:rPr>
          <w:rFonts w:ascii="Book Antiqua" w:hAnsi="Book Antiqua"/>
          <w:snapToGrid w:val="0"/>
          <w:color w:val="000000" w:themeColor="text1"/>
          <w:sz w:val="20"/>
          <w:szCs w:val="20"/>
        </w:rPr>
        <w:t xml:space="preserve">, and then </w:t>
      </w:r>
      <w:r w:rsidR="00756BE7">
        <w:rPr>
          <w:rFonts w:ascii="Book Antiqua" w:hAnsi="Book Antiqua"/>
          <w:snapToGrid w:val="0"/>
          <w:color w:val="000000" w:themeColor="text1"/>
          <w:sz w:val="20"/>
          <w:szCs w:val="20"/>
        </w:rPr>
        <w:t xml:space="preserve">increase </w:t>
      </w:r>
      <w:r w:rsidR="003F2264">
        <w:rPr>
          <w:rFonts w:ascii="Book Antiqua" w:hAnsi="Book Antiqua"/>
          <w:snapToGrid w:val="0"/>
          <w:color w:val="000000" w:themeColor="text1"/>
          <w:sz w:val="20"/>
          <w:szCs w:val="20"/>
        </w:rPr>
        <w:t>further</w:t>
      </w:r>
      <w:r w:rsidR="00EB0910">
        <w:rPr>
          <w:rFonts w:ascii="Book Antiqua" w:hAnsi="Book Antiqua"/>
          <w:snapToGrid w:val="0"/>
          <w:color w:val="000000" w:themeColor="text1"/>
          <w:sz w:val="20"/>
          <w:szCs w:val="20"/>
        </w:rPr>
        <w:t>. To do this</w:t>
      </w:r>
      <w:r w:rsidR="009A1747">
        <w:rPr>
          <w:rFonts w:ascii="Book Antiqua" w:hAnsi="Book Antiqua"/>
          <w:snapToGrid w:val="0"/>
          <w:color w:val="000000" w:themeColor="text1"/>
          <w:sz w:val="20"/>
          <w:szCs w:val="20"/>
        </w:rPr>
        <w:t>,</w:t>
      </w:r>
      <w:r w:rsidR="00EB0910">
        <w:rPr>
          <w:rFonts w:ascii="Book Antiqua" w:hAnsi="Book Antiqua"/>
          <w:snapToGrid w:val="0"/>
          <w:color w:val="000000" w:themeColor="text1"/>
          <w:sz w:val="20"/>
          <w:szCs w:val="20"/>
        </w:rPr>
        <w:t xml:space="preserve"> the OTA will focus on </w:t>
      </w:r>
      <w:r w:rsidR="003F2264">
        <w:rPr>
          <w:rFonts w:ascii="Book Antiqua" w:hAnsi="Book Antiqua"/>
          <w:snapToGrid w:val="0"/>
          <w:color w:val="000000" w:themeColor="text1"/>
          <w:sz w:val="20"/>
          <w:szCs w:val="20"/>
        </w:rPr>
        <w:t>4</w:t>
      </w:r>
      <w:r w:rsidR="00EB0910">
        <w:rPr>
          <w:rFonts w:ascii="Book Antiqua" w:hAnsi="Book Antiqua"/>
          <w:snapToGrid w:val="0"/>
          <w:color w:val="000000" w:themeColor="text1"/>
          <w:sz w:val="20"/>
          <w:szCs w:val="20"/>
        </w:rPr>
        <w:t xml:space="preserve"> key objectives:</w:t>
      </w:r>
    </w:p>
    <w:p w14:paraId="05629FD9" w14:textId="77777777" w:rsidR="00EB0910" w:rsidRPr="00EE76CA" w:rsidRDefault="00EB0910" w:rsidP="00EB0910">
      <w:pPr>
        <w:pStyle w:val="ListParagraph"/>
        <w:spacing w:before="40" w:after="40"/>
        <w:ind w:left="284" w:hanging="284"/>
        <w:contextualSpacing w:val="0"/>
        <w:jc w:val="both"/>
        <w:rPr>
          <w:color w:val="000000" w:themeColor="text1"/>
        </w:rPr>
      </w:pPr>
      <w:r w:rsidRPr="00EE76CA">
        <w:rPr>
          <w:color w:val="000000" w:themeColor="text1"/>
        </w:rPr>
        <w:t>increasing donation for</w:t>
      </w:r>
      <w:r>
        <w:rPr>
          <w:color w:val="000000" w:themeColor="text1"/>
        </w:rPr>
        <w:t xml:space="preserve"> transplantation</w:t>
      </w:r>
    </w:p>
    <w:p w14:paraId="339AED39" w14:textId="77777777" w:rsidR="00EB0910" w:rsidRPr="00EE76CA" w:rsidRDefault="00EB0910" w:rsidP="00EB0910">
      <w:pPr>
        <w:pStyle w:val="ListParagraph"/>
        <w:spacing w:before="40" w:after="40"/>
        <w:ind w:left="284" w:hanging="284"/>
        <w:contextualSpacing w:val="0"/>
        <w:jc w:val="both"/>
        <w:rPr>
          <w:color w:val="000000" w:themeColor="text1"/>
        </w:rPr>
      </w:pPr>
      <w:r w:rsidRPr="00EE76CA">
        <w:rPr>
          <w:color w:val="000000" w:themeColor="text1"/>
        </w:rPr>
        <w:t>increasing consent rates for dec</w:t>
      </w:r>
      <w:r>
        <w:rPr>
          <w:color w:val="000000" w:themeColor="text1"/>
        </w:rPr>
        <w:t>eased organ and tissue donation</w:t>
      </w:r>
    </w:p>
    <w:p w14:paraId="598B6FAF" w14:textId="77777777" w:rsidR="00EB0910" w:rsidRPr="00EE76CA" w:rsidRDefault="00EB0910" w:rsidP="00EB0910">
      <w:pPr>
        <w:pStyle w:val="ListParagraph"/>
        <w:spacing w:before="40" w:after="40"/>
        <w:ind w:left="284" w:hanging="284"/>
        <w:contextualSpacing w:val="0"/>
        <w:jc w:val="both"/>
        <w:rPr>
          <w:color w:val="000000" w:themeColor="text1"/>
        </w:rPr>
      </w:pPr>
      <w:r w:rsidRPr="00EE76CA">
        <w:rPr>
          <w:color w:val="000000" w:themeColor="text1"/>
        </w:rPr>
        <w:t xml:space="preserve">providing specialist support for families involved in the </w:t>
      </w:r>
      <w:r>
        <w:rPr>
          <w:color w:val="000000" w:themeColor="text1"/>
        </w:rPr>
        <w:t>donation process</w:t>
      </w:r>
    </w:p>
    <w:p w14:paraId="431EF968" w14:textId="0DDB32EC" w:rsidR="00EB0910" w:rsidRDefault="00EB0910" w:rsidP="00EB0910">
      <w:pPr>
        <w:pStyle w:val="ListParagraph"/>
        <w:spacing w:before="40"/>
        <w:ind w:left="284" w:hanging="284"/>
        <w:contextualSpacing w:val="0"/>
        <w:jc w:val="both"/>
        <w:rPr>
          <w:color w:val="000000" w:themeColor="text1"/>
        </w:rPr>
      </w:pPr>
      <w:proofErr w:type="gramStart"/>
      <w:r w:rsidRPr="00EE76CA">
        <w:rPr>
          <w:color w:val="000000" w:themeColor="text1"/>
        </w:rPr>
        <w:t>enhancing</w:t>
      </w:r>
      <w:proofErr w:type="gramEnd"/>
      <w:r w:rsidRPr="00EE76CA">
        <w:rPr>
          <w:color w:val="000000" w:themeColor="text1"/>
        </w:rPr>
        <w:t xml:space="preserve"> systems and processes to support donation and transplantation.</w:t>
      </w:r>
    </w:p>
    <w:p w14:paraId="1CCFFE14" w14:textId="149A7752" w:rsidR="00982EA4" w:rsidRPr="000459A6" w:rsidRDefault="00EB0910" w:rsidP="00EB0910">
      <w:pPr>
        <w:spacing w:before="40"/>
        <w:jc w:val="both"/>
        <w:rPr>
          <w:snapToGrid w:val="0"/>
          <w:color w:val="000000" w:themeColor="text1"/>
        </w:rPr>
      </w:pPr>
      <w:r>
        <w:rPr>
          <w:color w:val="000000" w:themeColor="text1"/>
        </w:rPr>
        <w:t xml:space="preserve">The OTA will continue to work with the Commonwealth Department of Health and state and territory governments to progress the outcomes of </w:t>
      </w:r>
      <w:r w:rsidR="009A1747">
        <w:rPr>
          <w:color w:val="000000" w:themeColor="text1"/>
        </w:rPr>
        <w:t>2</w:t>
      </w:r>
      <w:r w:rsidR="0090170F">
        <w:rPr>
          <w:color w:val="000000" w:themeColor="text1"/>
        </w:rPr>
        <w:t xml:space="preserve"> key national reviews </w:t>
      </w:r>
      <w:r>
        <w:rPr>
          <w:color w:val="000000" w:themeColor="text1"/>
        </w:rPr>
        <w:t xml:space="preserve">– </w:t>
      </w:r>
      <w:r w:rsidRPr="00EB0910">
        <w:rPr>
          <w:i/>
          <w:color w:val="000000" w:themeColor="text1"/>
        </w:rPr>
        <w:t>Analysis of the Australian Tissue Sector</w:t>
      </w:r>
      <w:r>
        <w:rPr>
          <w:color w:val="000000" w:themeColor="text1"/>
        </w:rPr>
        <w:t xml:space="preserve"> and the </w:t>
      </w:r>
      <w:r w:rsidRPr="00EB0910">
        <w:rPr>
          <w:i/>
          <w:color w:val="000000" w:themeColor="text1"/>
        </w:rPr>
        <w:t>Review of the Australian organ donation, retrieval and transplantation system</w:t>
      </w:r>
      <w:r>
        <w:rPr>
          <w:color w:val="000000" w:themeColor="text1"/>
        </w:rPr>
        <w:t>. T</w:t>
      </w:r>
      <w:r>
        <w:rPr>
          <w:snapToGrid w:val="0"/>
          <w:color w:val="000000" w:themeColor="text1"/>
        </w:rPr>
        <w:t>his work includes development of a</w:t>
      </w:r>
      <w:r w:rsidR="00982EA4">
        <w:rPr>
          <w:snapToGrid w:val="0"/>
          <w:color w:val="000000" w:themeColor="text1"/>
        </w:rPr>
        <w:t xml:space="preserve"> national eye and tissue sector framework and a national</w:t>
      </w:r>
      <w:r>
        <w:rPr>
          <w:snapToGrid w:val="0"/>
          <w:color w:val="000000" w:themeColor="text1"/>
        </w:rPr>
        <w:t xml:space="preserve"> strategy for</w:t>
      </w:r>
      <w:r w:rsidR="00982EA4">
        <w:rPr>
          <w:snapToGrid w:val="0"/>
          <w:color w:val="000000" w:themeColor="text1"/>
        </w:rPr>
        <w:t xml:space="preserve"> organ donation,</w:t>
      </w:r>
      <w:r>
        <w:rPr>
          <w:snapToGrid w:val="0"/>
          <w:color w:val="000000" w:themeColor="text1"/>
        </w:rPr>
        <w:t xml:space="preserve"> retrieval and transplantation in Australia</w:t>
      </w:r>
      <w:r w:rsidR="00982EA4">
        <w:rPr>
          <w:snapToGrid w:val="0"/>
          <w:color w:val="000000" w:themeColor="text1"/>
        </w:rPr>
        <w:t>. The</w:t>
      </w:r>
      <w:r w:rsidR="00104D31">
        <w:rPr>
          <w:snapToGrid w:val="0"/>
          <w:color w:val="000000" w:themeColor="text1"/>
        </w:rPr>
        <w:t xml:space="preserve"> </w:t>
      </w:r>
      <w:r>
        <w:rPr>
          <w:snapToGrid w:val="0"/>
          <w:color w:val="000000" w:themeColor="text1"/>
        </w:rPr>
        <w:t>delivery on agreed priorities across the sector</w:t>
      </w:r>
      <w:r w:rsidR="00982EA4">
        <w:rPr>
          <w:snapToGrid w:val="0"/>
          <w:color w:val="000000" w:themeColor="text1"/>
        </w:rPr>
        <w:t xml:space="preserve"> will</w:t>
      </w:r>
      <w:r>
        <w:rPr>
          <w:snapToGrid w:val="0"/>
          <w:color w:val="000000" w:themeColor="text1"/>
        </w:rPr>
        <w:t xml:space="preserve"> build on the success and learnings of the national donation program.</w:t>
      </w:r>
    </w:p>
    <w:p w14:paraId="1ACF227A" w14:textId="579F94B6" w:rsidR="00AC1122" w:rsidRPr="00EE76CA" w:rsidRDefault="00DC4CA3" w:rsidP="00527466">
      <w:pPr>
        <w:rPr>
          <w:i/>
          <w:snapToGrid w:val="0"/>
          <w:color w:val="000000" w:themeColor="text1"/>
        </w:rPr>
      </w:pPr>
      <w:r w:rsidRPr="00EE76CA" w:rsidDel="00C35267">
        <w:rPr>
          <w:snapToGrid w:val="0"/>
          <w:color w:val="000000" w:themeColor="text1"/>
        </w:rPr>
        <w:t xml:space="preserve">The OTA is a statutory authority established by the </w:t>
      </w:r>
      <w:r w:rsidRPr="00EE76CA" w:rsidDel="00C35267">
        <w:rPr>
          <w:i/>
          <w:snapToGrid w:val="0"/>
          <w:color w:val="000000" w:themeColor="text1"/>
        </w:rPr>
        <w:t xml:space="preserve">Australian Organ and Tissue Donation and Transplantation Authority Act 2008 </w:t>
      </w:r>
      <w:r w:rsidRPr="00EE76CA" w:rsidDel="00C35267">
        <w:rPr>
          <w:snapToGrid w:val="0"/>
          <w:color w:val="000000" w:themeColor="text1"/>
        </w:rPr>
        <w:t xml:space="preserve">and a non-corporate Commonwealth entity under the </w:t>
      </w:r>
      <w:r w:rsidRPr="00EE76CA" w:rsidDel="00C35267">
        <w:rPr>
          <w:i/>
          <w:snapToGrid w:val="0"/>
          <w:color w:val="000000" w:themeColor="text1"/>
        </w:rPr>
        <w:t>Public Governance, Performance and Accountability Act 2</w:t>
      </w:r>
      <w:r w:rsidRPr="00EE76CA" w:rsidDel="00097814">
        <w:rPr>
          <w:i/>
          <w:snapToGrid w:val="0"/>
          <w:color w:val="000000" w:themeColor="text1"/>
        </w:rPr>
        <w:t>013.</w:t>
      </w:r>
    </w:p>
    <w:p w14:paraId="10ACBD2D" w14:textId="77777777" w:rsidR="0024539A" w:rsidRPr="00EE76CA" w:rsidRDefault="0024539A" w:rsidP="00BC0659">
      <w:pPr>
        <w:pStyle w:val="Heading3"/>
        <w:rPr>
          <w:color w:val="000000" w:themeColor="text1"/>
        </w:rPr>
      </w:pPr>
      <w:bookmarkStart w:id="3" w:name="_Toc71465359"/>
      <w:r w:rsidRPr="00EE76CA">
        <w:rPr>
          <w:color w:val="000000" w:themeColor="text1"/>
        </w:rPr>
        <w:lastRenderedPageBreak/>
        <w:t>1.2</w:t>
      </w:r>
      <w:r w:rsidRPr="00EE76CA">
        <w:rPr>
          <w:color w:val="000000" w:themeColor="text1"/>
        </w:rPr>
        <w:tab/>
        <w:t>Entity Resource Statement</w:t>
      </w:r>
      <w:bookmarkEnd w:id="3"/>
    </w:p>
    <w:p w14:paraId="4DE223D0" w14:textId="77777777" w:rsidR="0024539A" w:rsidRPr="00EE76CA" w:rsidRDefault="0024539A" w:rsidP="0024539A">
      <w:pPr>
        <w:rPr>
          <w:color w:val="000000" w:themeColor="text1"/>
        </w:rPr>
      </w:pPr>
      <w:r w:rsidRPr="00EE76CA">
        <w:rPr>
          <w:color w:val="000000" w:themeColor="text1"/>
        </w:rPr>
        <w:t>Table 1.1 shows the total funding from all sources available to the entity for its operations and to deliver programs and services on behalf of the Government.</w:t>
      </w:r>
    </w:p>
    <w:p w14:paraId="7784D2CD" w14:textId="20BBEF69" w:rsidR="0024539A" w:rsidRPr="00EE76CA" w:rsidRDefault="0024539A" w:rsidP="0024539A">
      <w:pPr>
        <w:rPr>
          <w:color w:val="000000" w:themeColor="text1"/>
        </w:rPr>
      </w:pPr>
      <w:r w:rsidRPr="00EE76CA">
        <w:rPr>
          <w:color w:val="000000" w:themeColor="text1"/>
        </w:rPr>
        <w:t>The table summarises how resourc</w:t>
      </w:r>
      <w:r w:rsidR="009144D3">
        <w:rPr>
          <w:color w:val="000000" w:themeColor="text1"/>
        </w:rPr>
        <w:t>es will be applied by outcome (g</w:t>
      </w:r>
      <w:r w:rsidRPr="00EE76CA">
        <w:rPr>
          <w:color w:val="000000" w:themeColor="text1"/>
        </w:rPr>
        <w:t>overnment strategic policy objectives) and by administered (on behalf of the Government or the public) and departmental (for the entity’s operations) classification.</w:t>
      </w:r>
    </w:p>
    <w:p w14:paraId="3D98066C" w14:textId="77777777" w:rsidR="0024539A" w:rsidRPr="00EE76CA" w:rsidRDefault="0024539A" w:rsidP="0024539A">
      <w:pPr>
        <w:rPr>
          <w:color w:val="000000" w:themeColor="text1"/>
        </w:rPr>
      </w:pPr>
      <w:r w:rsidRPr="00EE76CA">
        <w:rPr>
          <w:color w:val="000000" w:themeColor="text1"/>
        </w:rPr>
        <w:t xml:space="preserve">For more detailed information on special accounts and special appropriations, refer to </w:t>
      </w:r>
      <w:r w:rsidRPr="00EE76CA">
        <w:rPr>
          <w:i/>
          <w:color w:val="000000" w:themeColor="text1"/>
        </w:rPr>
        <w:t>Budget Paper No. 4 – Agency Resourcing</w:t>
      </w:r>
      <w:r w:rsidRPr="00EE76CA">
        <w:rPr>
          <w:color w:val="000000" w:themeColor="text1"/>
        </w:rPr>
        <w:t>.</w:t>
      </w:r>
    </w:p>
    <w:p w14:paraId="0C3B3222" w14:textId="77777777" w:rsidR="0024539A" w:rsidRPr="00EE76CA" w:rsidRDefault="0024539A" w:rsidP="0024539A">
      <w:pPr>
        <w:rPr>
          <w:color w:val="000000" w:themeColor="text1"/>
        </w:rPr>
      </w:pPr>
      <w:r w:rsidRPr="00EE76CA">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55FEEE1C" w14:textId="419E49CD" w:rsidR="0024539A" w:rsidRPr="00EE76CA" w:rsidRDefault="0024539A" w:rsidP="0024539A">
      <w:pPr>
        <w:pStyle w:val="Tablenumberandreference"/>
        <w:rPr>
          <w:color w:val="000000" w:themeColor="text1"/>
        </w:rPr>
      </w:pPr>
      <w:r w:rsidRPr="00EE76CA">
        <w:rPr>
          <w:color w:val="000000" w:themeColor="text1"/>
        </w:rPr>
        <w:t xml:space="preserve">Table 1.1: </w:t>
      </w:r>
      <w:r w:rsidR="00CF2E99" w:rsidRPr="00EE76CA">
        <w:rPr>
          <w:color w:val="000000" w:themeColor="text1"/>
        </w:rPr>
        <w:t>OTA</w:t>
      </w:r>
      <w:r w:rsidRPr="00EE76CA">
        <w:rPr>
          <w:color w:val="000000" w:themeColor="text1"/>
        </w:rPr>
        <w:t xml:space="preserve"> Resource Statement – Budget Estimates for </w:t>
      </w:r>
      <w:r w:rsidR="00DF40C5">
        <w:rPr>
          <w:color w:val="000000" w:themeColor="text1"/>
        </w:rPr>
        <w:t>2022–</w:t>
      </w:r>
      <w:r w:rsidR="00295539">
        <w:rPr>
          <w:color w:val="000000" w:themeColor="text1"/>
        </w:rPr>
        <w:t>23</w:t>
      </w:r>
      <w:r w:rsidRPr="00EE76CA">
        <w:rPr>
          <w:color w:val="000000" w:themeColor="text1"/>
        </w:rPr>
        <w:t xml:space="preserve"> as at Budget</w:t>
      </w:r>
      <w:r w:rsidR="00295539">
        <w:rPr>
          <w:color w:val="000000" w:themeColor="text1"/>
        </w:rPr>
        <w:t xml:space="preserve"> March</w:t>
      </w:r>
      <w:r w:rsidRPr="00EE76CA">
        <w:rPr>
          <w:color w:val="000000" w:themeColor="text1"/>
        </w:rPr>
        <w:t> 202</w:t>
      </w:r>
      <w:r w:rsidR="00295539">
        <w:rPr>
          <w:color w:val="000000" w:themeColor="text1"/>
        </w:rPr>
        <w:t>2</w:t>
      </w:r>
    </w:p>
    <w:tbl>
      <w:tblPr>
        <w:tblW w:w="7380" w:type="dxa"/>
        <w:jc w:val="center"/>
        <w:tblLayout w:type="fixed"/>
        <w:tblLook w:val="04A0" w:firstRow="1" w:lastRow="0" w:firstColumn="1" w:lastColumn="0" w:noHBand="0" w:noVBand="1"/>
      </w:tblPr>
      <w:tblGrid>
        <w:gridCol w:w="4660"/>
        <w:gridCol w:w="1360"/>
        <w:gridCol w:w="1360"/>
      </w:tblGrid>
      <w:tr w:rsidR="003E6028" w:rsidRPr="003E6028" w14:paraId="02026278" w14:textId="77777777" w:rsidTr="003E6028">
        <w:trPr>
          <w:trHeight w:val="765"/>
          <w:jc w:val="center"/>
        </w:trPr>
        <w:tc>
          <w:tcPr>
            <w:tcW w:w="4660" w:type="dxa"/>
            <w:tcBorders>
              <w:top w:val="single" w:sz="4" w:space="0" w:color="auto"/>
              <w:left w:val="nil"/>
              <w:bottom w:val="nil"/>
              <w:right w:val="nil"/>
            </w:tcBorders>
            <w:shd w:val="clear" w:color="auto" w:fill="auto"/>
            <w:hideMark/>
          </w:tcPr>
          <w:p w14:paraId="71197404" w14:textId="77777777" w:rsidR="003E6028" w:rsidRPr="003E6028" w:rsidRDefault="003E6028" w:rsidP="003E6028">
            <w:pPr>
              <w:spacing w:before="40" w:after="0"/>
              <w:jc w:val="right"/>
              <w:rPr>
                <w:rFonts w:ascii="Arial" w:hAnsi="Arial" w:cs="Arial"/>
                <w:b/>
                <w:bCs/>
                <w:color w:val="auto"/>
                <w:sz w:val="16"/>
                <w:szCs w:val="16"/>
              </w:rPr>
            </w:pPr>
            <w:bookmarkStart w:id="4" w:name="_Toc71465360"/>
            <w:r w:rsidRPr="003E6028">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7884A47A" w14:textId="77777777" w:rsidR="003E6028" w:rsidRPr="003E6028" w:rsidRDefault="003E6028" w:rsidP="003E6028">
            <w:pPr>
              <w:spacing w:before="40" w:after="0"/>
              <w:jc w:val="right"/>
              <w:rPr>
                <w:rFonts w:ascii="Arial" w:hAnsi="Arial" w:cs="Arial"/>
                <w:b/>
                <w:bCs/>
                <w:color w:val="auto"/>
                <w:sz w:val="16"/>
                <w:szCs w:val="16"/>
              </w:rPr>
            </w:pPr>
            <w:r w:rsidRPr="003E6028">
              <w:rPr>
                <w:rFonts w:ascii="Arial" w:hAnsi="Arial" w:cs="Arial"/>
                <w:b/>
                <w:bCs/>
                <w:color w:val="auto"/>
                <w:sz w:val="16"/>
                <w:szCs w:val="16"/>
              </w:rPr>
              <w:t>2021–22</w:t>
            </w:r>
            <w:r w:rsidRPr="003E6028">
              <w:rPr>
                <w:rFonts w:ascii="Arial" w:hAnsi="Arial" w:cs="Arial"/>
                <w:b/>
                <w:bCs/>
                <w:color w:val="auto"/>
                <w:sz w:val="16"/>
                <w:szCs w:val="16"/>
              </w:rPr>
              <w:br/>
              <w:t>Estimated</w:t>
            </w:r>
            <w:r w:rsidRPr="003E6028">
              <w:rPr>
                <w:rFonts w:ascii="Arial" w:hAnsi="Arial" w:cs="Arial"/>
                <w:b/>
                <w:bCs/>
                <w:color w:val="auto"/>
                <w:sz w:val="16"/>
                <w:szCs w:val="16"/>
              </w:rPr>
              <w:br/>
              <w:t>actual</w:t>
            </w:r>
            <w:r w:rsidRPr="003E6028">
              <w:rPr>
                <w:rFonts w:ascii="Arial" w:hAnsi="Arial" w:cs="Arial"/>
                <w:b/>
                <w:bCs/>
                <w:color w:val="auto"/>
                <w:sz w:val="16"/>
                <w:szCs w:val="16"/>
              </w:rPr>
              <w:br/>
            </w:r>
            <w:r w:rsidRPr="003E6028">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13A6D33C" w14:textId="77777777" w:rsidR="003E6028" w:rsidRPr="003E6028" w:rsidRDefault="003E6028" w:rsidP="003E6028">
            <w:pPr>
              <w:spacing w:before="40" w:after="0"/>
              <w:jc w:val="right"/>
              <w:rPr>
                <w:rFonts w:ascii="Arial" w:hAnsi="Arial" w:cs="Arial"/>
                <w:b/>
                <w:bCs/>
                <w:color w:val="auto"/>
                <w:sz w:val="16"/>
                <w:szCs w:val="16"/>
              </w:rPr>
            </w:pPr>
            <w:r w:rsidRPr="003E6028">
              <w:rPr>
                <w:rFonts w:ascii="Arial" w:hAnsi="Arial" w:cs="Arial"/>
                <w:b/>
                <w:bCs/>
                <w:color w:val="auto"/>
                <w:sz w:val="16"/>
                <w:szCs w:val="16"/>
              </w:rPr>
              <w:t>2022–23</w:t>
            </w:r>
            <w:r w:rsidRPr="003E6028">
              <w:rPr>
                <w:rFonts w:ascii="Arial" w:hAnsi="Arial" w:cs="Arial"/>
                <w:b/>
                <w:bCs/>
                <w:color w:val="auto"/>
                <w:sz w:val="16"/>
                <w:szCs w:val="16"/>
              </w:rPr>
              <w:br/>
              <w:t>Estimate</w:t>
            </w:r>
            <w:r w:rsidRPr="003E6028">
              <w:rPr>
                <w:rFonts w:ascii="Arial" w:hAnsi="Arial" w:cs="Arial"/>
                <w:b/>
                <w:bCs/>
                <w:color w:val="auto"/>
                <w:sz w:val="16"/>
                <w:szCs w:val="16"/>
              </w:rPr>
              <w:br/>
            </w:r>
            <w:r w:rsidRPr="003E6028">
              <w:rPr>
                <w:rFonts w:ascii="Arial" w:hAnsi="Arial" w:cs="Arial"/>
                <w:b/>
                <w:bCs/>
                <w:color w:val="auto"/>
                <w:sz w:val="16"/>
                <w:szCs w:val="16"/>
              </w:rPr>
              <w:br/>
            </w:r>
            <w:r w:rsidRPr="003E6028">
              <w:rPr>
                <w:rFonts w:ascii="Arial" w:hAnsi="Arial" w:cs="Arial"/>
                <w:color w:val="auto"/>
                <w:sz w:val="16"/>
                <w:szCs w:val="16"/>
              </w:rPr>
              <w:t>$'000</w:t>
            </w:r>
          </w:p>
        </w:tc>
      </w:tr>
      <w:tr w:rsidR="003E6028" w:rsidRPr="003E6028" w14:paraId="7A676C66" w14:textId="77777777" w:rsidTr="003E6028">
        <w:trPr>
          <w:trHeight w:val="225"/>
          <w:jc w:val="center"/>
        </w:trPr>
        <w:tc>
          <w:tcPr>
            <w:tcW w:w="4660" w:type="dxa"/>
            <w:tcBorders>
              <w:top w:val="nil"/>
              <w:left w:val="nil"/>
              <w:bottom w:val="nil"/>
              <w:right w:val="nil"/>
            </w:tcBorders>
            <w:shd w:val="clear" w:color="auto" w:fill="auto"/>
            <w:noWrap/>
            <w:vAlign w:val="bottom"/>
            <w:hideMark/>
          </w:tcPr>
          <w:p w14:paraId="30883584" w14:textId="77777777" w:rsidR="003E6028" w:rsidRPr="003E6028" w:rsidRDefault="003E6028" w:rsidP="003E6028">
            <w:pPr>
              <w:spacing w:after="0"/>
              <w:rPr>
                <w:rFonts w:ascii="Arial" w:hAnsi="Arial" w:cs="Arial"/>
                <w:b/>
                <w:bCs/>
                <w:color w:val="auto"/>
                <w:sz w:val="16"/>
                <w:szCs w:val="16"/>
              </w:rPr>
            </w:pPr>
            <w:r w:rsidRPr="003E6028">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7479CAF7" w14:textId="77777777" w:rsidR="003E6028" w:rsidRPr="003E6028" w:rsidRDefault="003E6028" w:rsidP="003E6028">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F6C578B"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 </w:t>
            </w:r>
          </w:p>
        </w:tc>
      </w:tr>
      <w:tr w:rsidR="003E6028" w:rsidRPr="003E6028" w14:paraId="12881A91" w14:textId="77777777" w:rsidTr="003E6028">
        <w:trPr>
          <w:trHeight w:val="225"/>
          <w:jc w:val="center"/>
        </w:trPr>
        <w:tc>
          <w:tcPr>
            <w:tcW w:w="4660" w:type="dxa"/>
            <w:tcBorders>
              <w:top w:val="nil"/>
              <w:left w:val="nil"/>
              <w:bottom w:val="nil"/>
              <w:right w:val="nil"/>
            </w:tcBorders>
            <w:shd w:val="clear" w:color="auto" w:fill="auto"/>
            <w:noWrap/>
            <w:vAlign w:val="bottom"/>
            <w:hideMark/>
          </w:tcPr>
          <w:p w14:paraId="6CB67D76" w14:textId="77777777" w:rsidR="003E6028" w:rsidRPr="003E6028" w:rsidRDefault="003E6028" w:rsidP="003E6028">
            <w:pPr>
              <w:spacing w:after="0"/>
              <w:ind w:firstLineChars="100" w:firstLine="160"/>
              <w:rPr>
                <w:rFonts w:ascii="Arial" w:hAnsi="Arial" w:cs="Arial"/>
                <w:color w:val="auto"/>
                <w:sz w:val="16"/>
                <w:szCs w:val="16"/>
              </w:rPr>
            </w:pPr>
            <w:r w:rsidRPr="003E6028">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2FF8142D"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2,589</w:t>
            </w:r>
          </w:p>
        </w:tc>
        <w:tc>
          <w:tcPr>
            <w:tcW w:w="1360" w:type="dxa"/>
            <w:tcBorders>
              <w:top w:val="nil"/>
              <w:left w:val="nil"/>
              <w:bottom w:val="nil"/>
              <w:right w:val="nil"/>
            </w:tcBorders>
            <w:shd w:val="clear" w:color="000000" w:fill="D9D9D9"/>
            <w:noWrap/>
            <w:vAlign w:val="bottom"/>
            <w:hideMark/>
          </w:tcPr>
          <w:p w14:paraId="5B2AC302"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2,589</w:t>
            </w:r>
          </w:p>
        </w:tc>
      </w:tr>
      <w:tr w:rsidR="003E6028" w:rsidRPr="003E6028" w14:paraId="10253CE2" w14:textId="77777777" w:rsidTr="003E6028">
        <w:trPr>
          <w:trHeight w:val="300"/>
          <w:jc w:val="center"/>
        </w:trPr>
        <w:tc>
          <w:tcPr>
            <w:tcW w:w="4660" w:type="dxa"/>
            <w:tcBorders>
              <w:top w:val="nil"/>
              <w:left w:val="nil"/>
              <w:bottom w:val="nil"/>
              <w:right w:val="nil"/>
            </w:tcBorders>
            <w:shd w:val="clear" w:color="auto" w:fill="auto"/>
            <w:noWrap/>
            <w:vAlign w:val="bottom"/>
            <w:hideMark/>
          </w:tcPr>
          <w:p w14:paraId="0A6FE34D" w14:textId="77777777" w:rsidR="003E6028" w:rsidRPr="003E6028" w:rsidRDefault="003E6028" w:rsidP="003E6028">
            <w:pPr>
              <w:spacing w:after="0"/>
              <w:ind w:firstLineChars="100" w:firstLine="160"/>
              <w:rPr>
                <w:rFonts w:ascii="Arial" w:hAnsi="Arial" w:cs="Arial"/>
                <w:b/>
                <w:bCs/>
                <w:color w:val="auto"/>
                <w:sz w:val="16"/>
                <w:szCs w:val="16"/>
              </w:rPr>
            </w:pPr>
            <w:r w:rsidRPr="003E6028">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016FC46A" w14:textId="77777777" w:rsidR="003E6028" w:rsidRPr="003E6028" w:rsidRDefault="003E6028" w:rsidP="003E602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7CEB5E7" w14:textId="77777777" w:rsidR="003E6028" w:rsidRPr="003E6028" w:rsidRDefault="003E6028" w:rsidP="003E6028">
            <w:pPr>
              <w:spacing w:after="0"/>
              <w:jc w:val="right"/>
              <w:rPr>
                <w:rFonts w:ascii="Arial" w:hAnsi="Arial" w:cs="Arial"/>
                <w:b/>
                <w:bCs/>
                <w:color w:val="auto"/>
                <w:sz w:val="16"/>
                <w:szCs w:val="16"/>
              </w:rPr>
            </w:pPr>
            <w:r w:rsidRPr="003E6028">
              <w:rPr>
                <w:rFonts w:ascii="Arial" w:hAnsi="Arial" w:cs="Arial"/>
                <w:b/>
                <w:bCs/>
                <w:color w:val="auto"/>
                <w:sz w:val="16"/>
                <w:szCs w:val="16"/>
              </w:rPr>
              <w:t> </w:t>
            </w:r>
          </w:p>
        </w:tc>
      </w:tr>
      <w:tr w:rsidR="003E6028" w:rsidRPr="003E6028" w14:paraId="56FAC745" w14:textId="77777777" w:rsidTr="003E6028">
        <w:trPr>
          <w:trHeight w:val="300"/>
          <w:jc w:val="center"/>
        </w:trPr>
        <w:tc>
          <w:tcPr>
            <w:tcW w:w="4660" w:type="dxa"/>
            <w:tcBorders>
              <w:top w:val="nil"/>
              <w:left w:val="nil"/>
              <w:bottom w:val="nil"/>
              <w:right w:val="nil"/>
            </w:tcBorders>
            <w:shd w:val="clear" w:color="auto" w:fill="auto"/>
            <w:noWrap/>
            <w:vAlign w:val="bottom"/>
            <w:hideMark/>
          </w:tcPr>
          <w:p w14:paraId="7F9D607F" w14:textId="77777777" w:rsidR="003E6028" w:rsidRPr="003E6028" w:rsidRDefault="003E6028" w:rsidP="003E6028">
            <w:pPr>
              <w:spacing w:after="0"/>
              <w:ind w:firstLineChars="200" w:firstLine="320"/>
              <w:rPr>
                <w:rFonts w:ascii="Arial" w:hAnsi="Arial" w:cs="Arial"/>
                <w:color w:val="auto"/>
                <w:sz w:val="16"/>
                <w:szCs w:val="16"/>
              </w:rPr>
            </w:pPr>
            <w:r w:rsidRPr="003E6028">
              <w:rPr>
                <w:rFonts w:ascii="Arial" w:hAnsi="Arial" w:cs="Arial"/>
                <w:color w:val="auto"/>
                <w:sz w:val="16"/>
                <w:szCs w:val="16"/>
              </w:rPr>
              <w:t>Ordinary annual services</w:t>
            </w:r>
            <w:r w:rsidRPr="003E6028">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538BE365" w14:textId="77777777" w:rsidR="003E6028" w:rsidRPr="003E6028" w:rsidRDefault="003E6028" w:rsidP="003E602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389F6BE3" w14:textId="77777777" w:rsidR="003E6028" w:rsidRPr="003E6028" w:rsidRDefault="003E6028" w:rsidP="003E6028">
            <w:pPr>
              <w:spacing w:after="0"/>
              <w:jc w:val="right"/>
              <w:rPr>
                <w:rFonts w:ascii="Arial" w:hAnsi="Arial" w:cs="Arial"/>
                <w:b/>
                <w:bCs/>
                <w:color w:val="auto"/>
                <w:sz w:val="16"/>
                <w:szCs w:val="16"/>
              </w:rPr>
            </w:pPr>
            <w:r w:rsidRPr="003E6028">
              <w:rPr>
                <w:rFonts w:ascii="Arial" w:hAnsi="Arial" w:cs="Arial"/>
                <w:b/>
                <w:bCs/>
                <w:color w:val="auto"/>
                <w:sz w:val="16"/>
                <w:szCs w:val="16"/>
              </w:rPr>
              <w:t> </w:t>
            </w:r>
          </w:p>
        </w:tc>
      </w:tr>
      <w:tr w:rsidR="003E6028" w:rsidRPr="003E6028" w14:paraId="1788E133" w14:textId="77777777" w:rsidTr="003E6028">
        <w:trPr>
          <w:trHeight w:val="225"/>
          <w:jc w:val="center"/>
        </w:trPr>
        <w:tc>
          <w:tcPr>
            <w:tcW w:w="4660" w:type="dxa"/>
            <w:tcBorders>
              <w:top w:val="nil"/>
              <w:left w:val="nil"/>
              <w:bottom w:val="nil"/>
              <w:right w:val="nil"/>
            </w:tcBorders>
            <w:shd w:val="clear" w:color="auto" w:fill="auto"/>
            <w:noWrap/>
            <w:vAlign w:val="bottom"/>
            <w:hideMark/>
          </w:tcPr>
          <w:p w14:paraId="6DBB79CE" w14:textId="77777777" w:rsidR="003E6028" w:rsidRPr="003E6028" w:rsidRDefault="003E6028" w:rsidP="003E6028">
            <w:pPr>
              <w:spacing w:after="0"/>
              <w:ind w:firstLineChars="300" w:firstLine="480"/>
              <w:rPr>
                <w:rFonts w:ascii="Arial" w:hAnsi="Arial" w:cs="Arial"/>
                <w:color w:val="auto"/>
                <w:sz w:val="16"/>
                <w:szCs w:val="16"/>
              </w:rPr>
            </w:pPr>
            <w:r w:rsidRPr="003E6028">
              <w:rPr>
                <w:rFonts w:ascii="Arial" w:hAnsi="Arial" w:cs="Arial"/>
                <w:color w:val="auto"/>
                <w:sz w:val="16"/>
                <w:szCs w:val="16"/>
              </w:rPr>
              <w:t>Departmental appropriation</w:t>
            </w:r>
            <w:r w:rsidRPr="003E6028">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4C3CC893"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5,754</w:t>
            </w:r>
          </w:p>
        </w:tc>
        <w:tc>
          <w:tcPr>
            <w:tcW w:w="1360" w:type="dxa"/>
            <w:tcBorders>
              <w:top w:val="nil"/>
              <w:left w:val="nil"/>
              <w:bottom w:val="nil"/>
              <w:right w:val="nil"/>
            </w:tcBorders>
            <w:shd w:val="clear" w:color="000000" w:fill="D9D9D9"/>
            <w:noWrap/>
            <w:vAlign w:val="bottom"/>
            <w:hideMark/>
          </w:tcPr>
          <w:p w14:paraId="52E7893E"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6,194</w:t>
            </w:r>
          </w:p>
        </w:tc>
      </w:tr>
      <w:tr w:rsidR="003E6028" w:rsidRPr="003E6028" w14:paraId="2CA38B68" w14:textId="77777777" w:rsidTr="003E6028">
        <w:trPr>
          <w:trHeight w:val="225"/>
          <w:jc w:val="center"/>
        </w:trPr>
        <w:tc>
          <w:tcPr>
            <w:tcW w:w="4660" w:type="dxa"/>
            <w:tcBorders>
              <w:top w:val="nil"/>
              <w:left w:val="nil"/>
              <w:bottom w:val="nil"/>
              <w:right w:val="nil"/>
            </w:tcBorders>
            <w:shd w:val="clear" w:color="auto" w:fill="auto"/>
            <w:noWrap/>
            <w:vAlign w:val="bottom"/>
            <w:hideMark/>
          </w:tcPr>
          <w:p w14:paraId="7934148D" w14:textId="77777777" w:rsidR="003E6028" w:rsidRPr="003E6028" w:rsidRDefault="003E6028" w:rsidP="003E6028">
            <w:pPr>
              <w:spacing w:after="0"/>
              <w:ind w:firstLineChars="300" w:firstLine="480"/>
              <w:rPr>
                <w:rFonts w:ascii="Arial" w:hAnsi="Arial" w:cs="Arial"/>
                <w:color w:val="auto"/>
                <w:sz w:val="16"/>
                <w:szCs w:val="16"/>
              </w:rPr>
            </w:pPr>
            <w:r w:rsidRPr="003E6028">
              <w:rPr>
                <w:rFonts w:ascii="Arial" w:hAnsi="Arial" w:cs="Arial"/>
                <w:color w:val="auto"/>
                <w:sz w:val="16"/>
                <w:szCs w:val="16"/>
              </w:rPr>
              <w:t>s74 retained revenue receipts</w:t>
            </w:r>
            <w:r w:rsidRPr="003E6028">
              <w:rPr>
                <w:rFonts w:ascii="Arial" w:hAnsi="Arial" w:cs="Arial"/>
                <w:color w:val="auto"/>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14:paraId="5E0559CF"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E534C52"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w:t>
            </w:r>
          </w:p>
        </w:tc>
      </w:tr>
      <w:tr w:rsidR="003E6028" w:rsidRPr="003E6028" w14:paraId="44D327F3" w14:textId="77777777" w:rsidTr="003E6028">
        <w:trPr>
          <w:trHeight w:val="225"/>
          <w:jc w:val="center"/>
        </w:trPr>
        <w:tc>
          <w:tcPr>
            <w:tcW w:w="4660" w:type="dxa"/>
            <w:tcBorders>
              <w:top w:val="nil"/>
              <w:left w:val="nil"/>
              <w:bottom w:val="nil"/>
              <w:right w:val="nil"/>
            </w:tcBorders>
            <w:shd w:val="clear" w:color="auto" w:fill="auto"/>
            <w:noWrap/>
            <w:vAlign w:val="bottom"/>
            <w:hideMark/>
          </w:tcPr>
          <w:p w14:paraId="1927CF4E" w14:textId="77777777" w:rsidR="003E6028" w:rsidRPr="003E6028" w:rsidRDefault="003E6028" w:rsidP="003E6028">
            <w:pPr>
              <w:spacing w:after="0"/>
              <w:ind w:firstLineChars="300" w:firstLine="480"/>
              <w:rPr>
                <w:rFonts w:ascii="Arial" w:hAnsi="Arial" w:cs="Arial"/>
                <w:color w:val="auto"/>
                <w:sz w:val="16"/>
                <w:szCs w:val="16"/>
              </w:rPr>
            </w:pPr>
            <w:r w:rsidRPr="003E6028">
              <w:rPr>
                <w:rFonts w:ascii="Arial" w:hAnsi="Arial" w:cs="Arial"/>
                <w:color w:val="auto"/>
                <w:sz w:val="16"/>
                <w:szCs w:val="16"/>
              </w:rPr>
              <w:t>Departmental Capital Budget</w:t>
            </w:r>
            <w:r w:rsidRPr="003E6028">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2748917E"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261</w:t>
            </w:r>
          </w:p>
        </w:tc>
        <w:tc>
          <w:tcPr>
            <w:tcW w:w="1360" w:type="dxa"/>
            <w:tcBorders>
              <w:top w:val="nil"/>
              <w:left w:val="nil"/>
              <w:bottom w:val="nil"/>
              <w:right w:val="nil"/>
            </w:tcBorders>
            <w:shd w:val="clear" w:color="000000" w:fill="D9D9D9"/>
            <w:noWrap/>
            <w:vAlign w:val="bottom"/>
            <w:hideMark/>
          </w:tcPr>
          <w:p w14:paraId="2602646B"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264</w:t>
            </w:r>
          </w:p>
        </w:tc>
      </w:tr>
      <w:tr w:rsidR="003E6028" w:rsidRPr="003E6028" w14:paraId="73C17797" w14:textId="77777777" w:rsidTr="003E6028">
        <w:trPr>
          <w:trHeight w:val="300"/>
          <w:jc w:val="center"/>
        </w:trPr>
        <w:tc>
          <w:tcPr>
            <w:tcW w:w="4660" w:type="dxa"/>
            <w:tcBorders>
              <w:top w:val="nil"/>
              <w:left w:val="nil"/>
              <w:bottom w:val="nil"/>
              <w:right w:val="nil"/>
            </w:tcBorders>
            <w:shd w:val="clear" w:color="auto" w:fill="auto"/>
            <w:noWrap/>
            <w:vAlign w:val="bottom"/>
            <w:hideMark/>
          </w:tcPr>
          <w:p w14:paraId="73B06F43" w14:textId="77777777" w:rsidR="003E6028" w:rsidRPr="003E6028" w:rsidRDefault="003E6028" w:rsidP="003E6028">
            <w:pPr>
              <w:spacing w:after="0"/>
              <w:ind w:firstLineChars="200" w:firstLine="320"/>
              <w:rPr>
                <w:rFonts w:ascii="Arial" w:hAnsi="Arial" w:cs="Arial"/>
                <w:color w:val="auto"/>
                <w:sz w:val="16"/>
                <w:szCs w:val="16"/>
              </w:rPr>
            </w:pPr>
            <w:r w:rsidRPr="003E6028">
              <w:rPr>
                <w:rFonts w:ascii="Arial" w:hAnsi="Arial" w:cs="Arial"/>
                <w:color w:val="auto"/>
                <w:sz w:val="16"/>
                <w:szCs w:val="16"/>
              </w:rPr>
              <w:t>Other services</w:t>
            </w:r>
            <w:r w:rsidRPr="003E6028">
              <w:rPr>
                <w:rFonts w:ascii="Arial" w:hAnsi="Arial" w:cs="Arial"/>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52A96350" w14:textId="77777777" w:rsidR="003E6028" w:rsidRPr="003E6028" w:rsidRDefault="003E6028" w:rsidP="003E602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753C536"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 </w:t>
            </w:r>
          </w:p>
        </w:tc>
      </w:tr>
      <w:tr w:rsidR="003E6028" w:rsidRPr="003E6028" w14:paraId="2B19509B" w14:textId="77777777" w:rsidTr="003E6028">
        <w:trPr>
          <w:trHeight w:val="225"/>
          <w:jc w:val="center"/>
        </w:trPr>
        <w:tc>
          <w:tcPr>
            <w:tcW w:w="4660" w:type="dxa"/>
            <w:tcBorders>
              <w:top w:val="nil"/>
              <w:left w:val="nil"/>
              <w:bottom w:val="nil"/>
              <w:right w:val="nil"/>
            </w:tcBorders>
            <w:shd w:val="clear" w:color="auto" w:fill="auto"/>
            <w:noWrap/>
            <w:vAlign w:val="bottom"/>
            <w:hideMark/>
          </w:tcPr>
          <w:p w14:paraId="6015C6ED" w14:textId="77777777" w:rsidR="003E6028" w:rsidRPr="003E6028" w:rsidRDefault="003E6028" w:rsidP="003E6028">
            <w:pPr>
              <w:spacing w:after="0"/>
              <w:ind w:firstLineChars="300" w:firstLine="480"/>
              <w:rPr>
                <w:rFonts w:ascii="Arial" w:hAnsi="Arial" w:cs="Arial"/>
                <w:color w:val="auto"/>
                <w:sz w:val="16"/>
                <w:szCs w:val="16"/>
              </w:rPr>
            </w:pPr>
            <w:r w:rsidRPr="003E6028">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3E7D61AB"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B18A25A" w14:textId="77777777" w:rsidR="003E6028" w:rsidRPr="003E6028" w:rsidRDefault="003E6028" w:rsidP="003E6028">
            <w:pPr>
              <w:spacing w:after="0"/>
              <w:jc w:val="right"/>
              <w:rPr>
                <w:rFonts w:ascii="Arial" w:hAnsi="Arial" w:cs="Arial"/>
                <w:color w:val="auto"/>
                <w:sz w:val="16"/>
                <w:szCs w:val="16"/>
              </w:rPr>
            </w:pPr>
            <w:r w:rsidRPr="003E6028">
              <w:rPr>
                <w:rFonts w:ascii="Arial" w:hAnsi="Arial" w:cs="Arial"/>
                <w:color w:val="auto"/>
                <w:sz w:val="16"/>
                <w:szCs w:val="16"/>
              </w:rPr>
              <w:t>-</w:t>
            </w:r>
          </w:p>
        </w:tc>
      </w:tr>
      <w:tr w:rsidR="003E6028" w:rsidRPr="003E6028" w14:paraId="38406FAE" w14:textId="77777777" w:rsidTr="003E6028">
        <w:trPr>
          <w:trHeight w:val="225"/>
          <w:jc w:val="center"/>
        </w:trPr>
        <w:tc>
          <w:tcPr>
            <w:tcW w:w="4660" w:type="dxa"/>
            <w:tcBorders>
              <w:top w:val="nil"/>
              <w:left w:val="nil"/>
              <w:right w:val="nil"/>
            </w:tcBorders>
            <w:shd w:val="clear" w:color="auto" w:fill="auto"/>
            <w:noWrap/>
            <w:vAlign w:val="bottom"/>
            <w:hideMark/>
          </w:tcPr>
          <w:p w14:paraId="0536122B" w14:textId="77777777" w:rsidR="003E6028" w:rsidRPr="003E6028" w:rsidRDefault="003E6028" w:rsidP="003E6028">
            <w:pPr>
              <w:spacing w:after="0"/>
              <w:ind w:firstLineChars="200" w:firstLine="320"/>
              <w:rPr>
                <w:rFonts w:ascii="Arial" w:hAnsi="Arial" w:cs="Arial"/>
                <w:b/>
                <w:bCs/>
                <w:color w:val="auto"/>
                <w:sz w:val="16"/>
                <w:szCs w:val="16"/>
              </w:rPr>
            </w:pPr>
            <w:r w:rsidRPr="003E6028">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0663B685" w14:textId="77777777" w:rsidR="003E6028" w:rsidRPr="003E6028" w:rsidRDefault="003E6028" w:rsidP="003E6028">
            <w:pPr>
              <w:spacing w:after="0"/>
              <w:jc w:val="right"/>
              <w:rPr>
                <w:rFonts w:ascii="Arial" w:hAnsi="Arial" w:cs="Arial"/>
                <w:b/>
                <w:bCs/>
                <w:color w:val="auto"/>
                <w:sz w:val="16"/>
                <w:szCs w:val="16"/>
              </w:rPr>
            </w:pPr>
            <w:r w:rsidRPr="003E6028">
              <w:rPr>
                <w:rFonts w:ascii="Arial" w:hAnsi="Arial" w:cs="Arial"/>
                <w:b/>
                <w:bCs/>
                <w:color w:val="auto"/>
                <w:sz w:val="16"/>
                <w:szCs w:val="16"/>
              </w:rPr>
              <w:t>6,015</w:t>
            </w:r>
          </w:p>
        </w:tc>
        <w:tc>
          <w:tcPr>
            <w:tcW w:w="1360" w:type="dxa"/>
            <w:tcBorders>
              <w:top w:val="nil"/>
              <w:left w:val="nil"/>
              <w:bottom w:val="single" w:sz="4" w:space="0" w:color="auto"/>
              <w:right w:val="nil"/>
            </w:tcBorders>
            <w:shd w:val="clear" w:color="000000" w:fill="D9D9D9"/>
            <w:noWrap/>
            <w:vAlign w:val="bottom"/>
            <w:hideMark/>
          </w:tcPr>
          <w:p w14:paraId="3A5DB6F4" w14:textId="77777777" w:rsidR="003E6028" w:rsidRPr="003E6028" w:rsidRDefault="003E6028" w:rsidP="003E6028">
            <w:pPr>
              <w:spacing w:after="0"/>
              <w:jc w:val="right"/>
              <w:rPr>
                <w:rFonts w:ascii="Arial" w:hAnsi="Arial" w:cs="Arial"/>
                <w:b/>
                <w:bCs/>
                <w:color w:val="auto"/>
                <w:sz w:val="16"/>
                <w:szCs w:val="16"/>
              </w:rPr>
            </w:pPr>
            <w:r w:rsidRPr="003E6028">
              <w:rPr>
                <w:rFonts w:ascii="Arial" w:hAnsi="Arial" w:cs="Arial"/>
                <w:b/>
                <w:bCs/>
                <w:color w:val="auto"/>
                <w:sz w:val="16"/>
                <w:szCs w:val="16"/>
              </w:rPr>
              <w:t>6,458</w:t>
            </w:r>
          </w:p>
        </w:tc>
      </w:tr>
      <w:tr w:rsidR="003E6028" w:rsidRPr="003E6028" w14:paraId="46D6C0FA" w14:textId="77777777" w:rsidTr="003E6028">
        <w:trPr>
          <w:trHeight w:val="300"/>
          <w:jc w:val="center"/>
        </w:trPr>
        <w:tc>
          <w:tcPr>
            <w:tcW w:w="4660" w:type="dxa"/>
            <w:tcBorders>
              <w:top w:val="nil"/>
              <w:left w:val="nil"/>
              <w:bottom w:val="nil"/>
              <w:right w:val="nil"/>
            </w:tcBorders>
            <w:shd w:val="clear" w:color="auto" w:fill="auto"/>
            <w:noWrap/>
            <w:vAlign w:val="bottom"/>
            <w:hideMark/>
          </w:tcPr>
          <w:p w14:paraId="1B09332A" w14:textId="77777777" w:rsidR="003E6028" w:rsidRPr="003E6028" w:rsidRDefault="003E6028" w:rsidP="003E6028">
            <w:pPr>
              <w:spacing w:after="0"/>
              <w:ind w:firstLineChars="100" w:firstLine="160"/>
              <w:rPr>
                <w:rFonts w:ascii="Arial" w:hAnsi="Arial" w:cs="Arial"/>
                <w:b/>
                <w:bCs/>
                <w:color w:val="auto"/>
                <w:sz w:val="16"/>
                <w:szCs w:val="16"/>
              </w:rPr>
            </w:pPr>
            <w:r w:rsidRPr="003E6028">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4AFC9AA3" w14:textId="77777777" w:rsidR="003E6028" w:rsidRPr="003E6028" w:rsidRDefault="003E6028" w:rsidP="003E6028">
            <w:pPr>
              <w:spacing w:after="0"/>
              <w:jc w:val="right"/>
              <w:rPr>
                <w:rFonts w:ascii="Arial" w:hAnsi="Arial" w:cs="Arial"/>
                <w:b/>
                <w:bCs/>
                <w:color w:val="auto"/>
                <w:sz w:val="16"/>
                <w:szCs w:val="16"/>
              </w:rPr>
            </w:pPr>
            <w:r w:rsidRPr="003E6028">
              <w:rPr>
                <w:rFonts w:ascii="Arial" w:hAnsi="Arial" w:cs="Arial"/>
                <w:b/>
                <w:bCs/>
                <w:color w:val="auto"/>
                <w:sz w:val="16"/>
                <w:szCs w:val="16"/>
              </w:rPr>
              <w:t>8,604</w:t>
            </w:r>
          </w:p>
        </w:tc>
        <w:tc>
          <w:tcPr>
            <w:tcW w:w="1360" w:type="dxa"/>
            <w:tcBorders>
              <w:top w:val="nil"/>
              <w:left w:val="nil"/>
              <w:bottom w:val="single" w:sz="4" w:space="0" w:color="auto"/>
              <w:right w:val="nil"/>
            </w:tcBorders>
            <w:shd w:val="clear" w:color="000000" w:fill="D9D9D9"/>
            <w:noWrap/>
            <w:vAlign w:val="bottom"/>
            <w:hideMark/>
          </w:tcPr>
          <w:p w14:paraId="57C54AE3" w14:textId="77777777" w:rsidR="003E6028" w:rsidRPr="003E6028" w:rsidRDefault="003E6028" w:rsidP="003E6028">
            <w:pPr>
              <w:spacing w:after="0"/>
              <w:jc w:val="right"/>
              <w:rPr>
                <w:rFonts w:ascii="Arial" w:hAnsi="Arial" w:cs="Arial"/>
                <w:b/>
                <w:bCs/>
                <w:color w:val="auto"/>
                <w:sz w:val="16"/>
                <w:szCs w:val="16"/>
              </w:rPr>
            </w:pPr>
            <w:r w:rsidRPr="003E6028">
              <w:rPr>
                <w:rFonts w:ascii="Arial" w:hAnsi="Arial" w:cs="Arial"/>
                <w:b/>
                <w:bCs/>
                <w:color w:val="auto"/>
                <w:sz w:val="16"/>
                <w:szCs w:val="16"/>
              </w:rPr>
              <w:t>9,047</w:t>
            </w:r>
          </w:p>
        </w:tc>
      </w:tr>
    </w:tbl>
    <w:p w14:paraId="18066917" w14:textId="1F95BEB4" w:rsidR="000B23C9" w:rsidRPr="000B23C9" w:rsidRDefault="000B23C9" w:rsidP="000B23C9">
      <w:pPr>
        <w:pStyle w:val="FootnoteText"/>
      </w:pPr>
      <w:r>
        <w:rPr>
          <w:color w:val="000000" w:themeColor="text1"/>
        </w:rPr>
        <w:br w:type="page"/>
      </w:r>
    </w:p>
    <w:p w14:paraId="599AF7D6" w14:textId="17E5E5E4" w:rsidR="00001B12" w:rsidRDefault="00001B12" w:rsidP="00001B12">
      <w:pPr>
        <w:pStyle w:val="Tablenumberandreference"/>
        <w:rPr>
          <w:color w:val="000000" w:themeColor="text1"/>
        </w:rPr>
      </w:pPr>
      <w:r w:rsidRPr="00EE76CA">
        <w:rPr>
          <w:color w:val="000000" w:themeColor="text1"/>
        </w:rPr>
        <w:lastRenderedPageBreak/>
        <w:t xml:space="preserve">Table 1.1: OTA Resource Statement – Budget Estimates for </w:t>
      </w:r>
      <w:r>
        <w:rPr>
          <w:color w:val="000000" w:themeColor="text1"/>
        </w:rPr>
        <w:t>2022–23</w:t>
      </w:r>
      <w:r w:rsidRPr="00EE76CA">
        <w:rPr>
          <w:color w:val="000000" w:themeColor="text1"/>
        </w:rPr>
        <w:t xml:space="preserve"> as at Budget</w:t>
      </w:r>
      <w:r>
        <w:rPr>
          <w:color w:val="000000" w:themeColor="text1"/>
        </w:rPr>
        <w:t xml:space="preserve"> March</w:t>
      </w:r>
      <w:r w:rsidRPr="00EE76CA">
        <w:rPr>
          <w:color w:val="000000" w:themeColor="text1"/>
        </w:rPr>
        <w:t> 202</w:t>
      </w:r>
      <w:r>
        <w:rPr>
          <w:color w:val="000000" w:themeColor="text1"/>
        </w:rPr>
        <w:t>2 (continued)</w:t>
      </w:r>
    </w:p>
    <w:tbl>
      <w:tblPr>
        <w:tblW w:w="7380" w:type="dxa"/>
        <w:jc w:val="center"/>
        <w:tblLayout w:type="fixed"/>
        <w:tblLook w:val="04A0" w:firstRow="1" w:lastRow="0" w:firstColumn="1" w:lastColumn="0" w:noHBand="0" w:noVBand="1"/>
      </w:tblPr>
      <w:tblGrid>
        <w:gridCol w:w="4660"/>
        <w:gridCol w:w="1360"/>
        <w:gridCol w:w="1360"/>
      </w:tblGrid>
      <w:tr w:rsidR="00001B12" w:rsidRPr="00001B12" w14:paraId="6218EBC4" w14:textId="77777777" w:rsidTr="00001B12">
        <w:trPr>
          <w:trHeight w:val="765"/>
          <w:jc w:val="center"/>
        </w:trPr>
        <w:tc>
          <w:tcPr>
            <w:tcW w:w="4660" w:type="dxa"/>
            <w:tcBorders>
              <w:top w:val="single" w:sz="4" w:space="0" w:color="auto"/>
              <w:left w:val="nil"/>
              <w:bottom w:val="nil"/>
              <w:right w:val="nil"/>
            </w:tcBorders>
            <w:shd w:val="clear" w:color="auto" w:fill="auto"/>
            <w:hideMark/>
          </w:tcPr>
          <w:p w14:paraId="4FF614F5" w14:textId="77777777" w:rsidR="00001B12" w:rsidRPr="00001B12" w:rsidRDefault="00001B12" w:rsidP="00001B12">
            <w:pPr>
              <w:spacing w:before="40" w:after="0"/>
              <w:jc w:val="right"/>
              <w:rPr>
                <w:rFonts w:ascii="Arial" w:hAnsi="Arial" w:cs="Arial"/>
                <w:b/>
                <w:bCs/>
                <w:color w:val="auto"/>
                <w:sz w:val="16"/>
                <w:szCs w:val="16"/>
              </w:rPr>
            </w:pPr>
            <w:r w:rsidRPr="00001B12">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2E8ED811" w14:textId="77777777" w:rsidR="00001B12" w:rsidRPr="00001B12" w:rsidRDefault="00001B12" w:rsidP="00001B12">
            <w:pPr>
              <w:spacing w:before="40" w:after="0"/>
              <w:jc w:val="right"/>
              <w:rPr>
                <w:rFonts w:ascii="Arial" w:hAnsi="Arial" w:cs="Arial"/>
                <w:b/>
                <w:bCs/>
                <w:color w:val="auto"/>
                <w:sz w:val="16"/>
                <w:szCs w:val="16"/>
              </w:rPr>
            </w:pPr>
            <w:r w:rsidRPr="00001B12">
              <w:rPr>
                <w:rFonts w:ascii="Arial" w:hAnsi="Arial" w:cs="Arial"/>
                <w:b/>
                <w:bCs/>
                <w:color w:val="auto"/>
                <w:sz w:val="16"/>
                <w:szCs w:val="16"/>
              </w:rPr>
              <w:t>2021–22</w:t>
            </w:r>
            <w:r w:rsidRPr="00001B12">
              <w:rPr>
                <w:rFonts w:ascii="Arial" w:hAnsi="Arial" w:cs="Arial"/>
                <w:b/>
                <w:bCs/>
                <w:color w:val="auto"/>
                <w:sz w:val="16"/>
                <w:szCs w:val="16"/>
              </w:rPr>
              <w:br/>
              <w:t>Estimated</w:t>
            </w:r>
            <w:r w:rsidRPr="00001B12">
              <w:rPr>
                <w:rFonts w:ascii="Arial" w:hAnsi="Arial" w:cs="Arial"/>
                <w:b/>
                <w:bCs/>
                <w:color w:val="auto"/>
                <w:sz w:val="16"/>
                <w:szCs w:val="16"/>
              </w:rPr>
              <w:br/>
              <w:t>actual</w:t>
            </w:r>
            <w:r w:rsidRPr="00001B12">
              <w:rPr>
                <w:rFonts w:ascii="Arial" w:hAnsi="Arial" w:cs="Arial"/>
                <w:b/>
                <w:bCs/>
                <w:color w:val="auto"/>
                <w:sz w:val="16"/>
                <w:szCs w:val="16"/>
              </w:rPr>
              <w:br/>
            </w:r>
            <w:r w:rsidRPr="00001B12">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3903CE95" w14:textId="77777777" w:rsidR="00001B12" w:rsidRPr="00001B12" w:rsidRDefault="00001B12" w:rsidP="00001B12">
            <w:pPr>
              <w:spacing w:before="40" w:after="0"/>
              <w:jc w:val="right"/>
              <w:rPr>
                <w:rFonts w:ascii="Arial" w:hAnsi="Arial" w:cs="Arial"/>
                <w:b/>
                <w:bCs/>
                <w:color w:val="auto"/>
                <w:sz w:val="16"/>
                <w:szCs w:val="16"/>
              </w:rPr>
            </w:pPr>
            <w:r w:rsidRPr="00001B12">
              <w:rPr>
                <w:rFonts w:ascii="Arial" w:hAnsi="Arial" w:cs="Arial"/>
                <w:b/>
                <w:bCs/>
                <w:color w:val="auto"/>
                <w:sz w:val="16"/>
                <w:szCs w:val="16"/>
              </w:rPr>
              <w:t>2022–23</w:t>
            </w:r>
            <w:r w:rsidRPr="00001B12">
              <w:rPr>
                <w:rFonts w:ascii="Arial" w:hAnsi="Arial" w:cs="Arial"/>
                <w:b/>
                <w:bCs/>
                <w:color w:val="auto"/>
                <w:sz w:val="16"/>
                <w:szCs w:val="16"/>
              </w:rPr>
              <w:br/>
              <w:t>Estimate</w:t>
            </w:r>
            <w:r w:rsidRPr="00001B12">
              <w:rPr>
                <w:rFonts w:ascii="Arial" w:hAnsi="Arial" w:cs="Arial"/>
                <w:b/>
                <w:bCs/>
                <w:color w:val="auto"/>
                <w:sz w:val="16"/>
                <w:szCs w:val="16"/>
              </w:rPr>
              <w:br/>
            </w:r>
            <w:r w:rsidRPr="00001B12">
              <w:rPr>
                <w:rFonts w:ascii="Arial" w:hAnsi="Arial" w:cs="Arial"/>
                <w:b/>
                <w:bCs/>
                <w:color w:val="auto"/>
                <w:sz w:val="16"/>
                <w:szCs w:val="16"/>
              </w:rPr>
              <w:br/>
            </w:r>
            <w:r w:rsidRPr="00001B12">
              <w:rPr>
                <w:rFonts w:ascii="Arial" w:hAnsi="Arial" w:cs="Arial"/>
                <w:color w:val="auto"/>
                <w:sz w:val="16"/>
                <w:szCs w:val="16"/>
              </w:rPr>
              <w:t>$'000</w:t>
            </w:r>
          </w:p>
        </w:tc>
      </w:tr>
      <w:tr w:rsidR="00001B12" w:rsidRPr="00001B12" w14:paraId="256F57CD" w14:textId="77777777" w:rsidTr="00001B12">
        <w:trPr>
          <w:trHeight w:val="340"/>
          <w:jc w:val="center"/>
        </w:trPr>
        <w:tc>
          <w:tcPr>
            <w:tcW w:w="4660" w:type="dxa"/>
            <w:tcBorders>
              <w:top w:val="nil"/>
              <w:left w:val="nil"/>
              <w:bottom w:val="nil"/>
              <w:right w:val="nil"/>
            </w:tcBorders>
            <w:shd w:val="clear" w:color="auto" w:fill="auto"/>
            <w:noWrap/>
            <w:vAlign w:val="bottom"/>
            <w:hideMark/>
          </w:tcPr>
          <w:p w14:paraId="71199C89" w14:textId="77777777" w:rsidR="00001B12" w:rsidRPr="00001B12" w:rsidRDefault="00001B12" w:rsidP="00001B12">
            <w:pPr>
              <w:spacing w:after="0"/>
              <w:rPr>
                <w:rFonts w:ascii="Arial" w:hAnsi="Arial" w:cs="Arial"/>
                <w:b/>
                <w:bCs/>
                <w:color w:val="auto"/>
                <w:sz w:val="16"/>
                <w:szCs w:val="16"/>
              </w:rPr>
            </w:pPr>
            <w:r w:rsidRPr="00001B12">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7E9727E8" w14:textId="77777777" w:rsidR="00001B12" w:rsidRPr="00001B12" w:rsidRDefault="00001B12" w:rsidP="00001B12">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07E2DE1B"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 </w:t>
            </w:r>
          </w:p>
        </w:tc>
      </w:tr>
      <w:tr w:rsidR="00001B12" w:rsidRPr="00001B12" w14:paraId="7E8EEFDF" w14:textId="77777777" w:rsidTr="00001B12">
        <w:trPr>
          <w:trHeight w:val="225"/>
          <w:jc w:val="center"/>
        </w:trPr>
        <w:tc>
          <w:tcPr>
            <w:tcW w:w="4660" w:type="dxa"/>
            <w:tcBorders>
              <w:top w:val="nil"/>
              <w:left w:val="nil"/>
              <w:bottom w:val="nil"/>
              <w:right w:val="nil"/>
            </w:tcBorders>
            <w:shd w:val="clear" w:color="auto" w:fill="auto"/>
            <w:noWrap/>
            <w:vAlign w:val="bottom"/>
            <w:hideMark/>
          </w:tcPr>
          <w:p w14:paraId="3B880A78" w14:textId="77777777" w:rsidR="00001B12" w:rsidRPr="00001B12" w:rsidRDefault="00001B12" w:rsidP="00001B12">
            <w:pPr>
              <w:spacing w:after="0"/>
              <w:ind w:firstLineChars="100" w:firstLine="160"/>
              <w:rPr>
                <w:rFonts w:ascii="Arial" w:hAnsi="Arial" w:cs="Arial"/>
                <w:color w:val="auto"/>
                <w:sz w:val="16"/>
                <w:szCs w:val="16"/>
              </w:rPr>
            </w:pPr>
            <w:r w:rsidRPr="00001B12">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6D0683DE"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65</w:t>
            </w:r>
          </w:p>
        </w:tc>
        <w:tc>
          <w:tcPr>
            <w:tcW w:w="1360" w:type="dxa"/>
            <w:tcBorders>
              <w:top w:val="nil"/>
              <w:left w:val="nil"/>
              <w:bottom w:val="nil"/>
              <w:right w:val="nil"/>
            </w:tcBorders>
            <w:shd w:val="clear" w:color="000000" w:fill="D9D9D9"/>
            <w:vAlign w:val="bottom"/>
            <w:hideMark/>
          </w:tcPr>
          <w:p w14:paraId="2DFDD988"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65</w:t>
            </w:r>
          </w:p>
        </w:tc>
      </w:tr>
      <w:tr w:rsidR="00001B12" w:rsidRPr="00001B12" w14:paraId="3F2B4F82" w14:textId="77777777" w:rsidTr="00001B12">
        <w:trPr>
          <w:trHeight w:val="300"/>
          <w:jc w:val="center"/>
        </w:trPr>
        <w:tc>
          <w:tcPr>
            <w:tcW w:w="4660" w:type="dxa"/>
            <w:tcBorders>
              <w:top w:val="nil"/>
              <w:left w:val="nil"/>
              <w:bottom w:val="nil"/>
              <w:right w:val="nil"/>
            </w:tcBorders>
            <w:shd w:val="clear" w:color="auto" w:fill="auto"/>
            <w:noWrap/>
            <w:vAlign w:val="bottom"/>
            <w:hideMark/>
          </w:tcPr>
          <w:p w14:paraId="4C954A6D" w14:textId="77777777" w:rsidR="00001B12" w:rsidRPr="00001B12" w:rsidRDefault="00001B12" w:rsidP="00001B12">
            <w:pPr>
              <w:spacing w:after="0"/>
              <w:ind w:firstLineChars="100" w:firstLine="160"/>
              <w:rPr>
                <w:rFonts w:ascii="Arial" w:hAnsi="Arial" w:cs="Arial"/>
                <w:b/>
                <w:bCs/>
                <w:color w:val="auto"/>
                <w:sz w:val="16"/>
                <w:szCs w:val="16"/>
              </w:rPr>
            </w:pPr>
            <w:r w:rsidRPr="00001B12">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65520BA" w14:textId="77777777" w:rsidR="00001B12" w:rsidRPr="00001B12" w:rsidRDefault="00001B12" w:rsidP="00001B12">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5AD52CFA"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 </w:t>
            </w:r>
          </w:p>
        </w:tc>
      </w:tr>
      <w:tr w:rsidR="00001B12" w:rsidRPr="00001B12" w14:paraId="5C08BB90" w14:textId="77777777" w:rsidTr="00001B12">
        <w:trPr>
          <w:trHeight w:val="300"/>
          <w:jc w:val="center"/>
        </w:trPr>
        <w:tc>
          <w:tcPr>
            <w:tcW w:w="4660" w:type="dxa"/>
            <w:tcBorders>
              <w:top w:val="nil"/>
              <w:left w:val="nil"/>
              <w:bottom w:val="nil"/>
              <w:right w:val="nil"/>
            </w:tcBorders>
            <w:shd w:val="clear" w:color="auto" w:fill="auto"/>
            <w:noWrap/>
            <w:vAlign w:val="bottom"/>
            <w:hideMark/>
          </w:tcPr>
          <w:p w14:paraId="7B95FC26" w14:textId="4F4461E0" w:rsidR="00001B12" w:rsidRPr="00001B12" w:rsidRDefault="00001B12" w:rsidP="00001B12">
            <w:pPr>
              <w:spacing w:after="0"/>
              <w:ind w:firstLineChars="200" w:firstLine="320"/>
              <w:rPr>
                <w:rFonts w:ascii="Arial" w:hAnsi="Arial" w:cs="Arial"/>
                <w:color w:val="auto"/>
                <w:sz w:val="16"/>
                <w:szCs w:val="16"/>
              </w:rPr>
            </w:pPr>
            <w:r w:rsidRPr="00001B12">
              <w:rPr>
                <w:rFonts w:ascii="Arial" w:hAnsi="Arial" w:cs="Arial"/>
                <w:color w:val="auto"/>
                <w:sz w:val="16"/>
                <w:szCs w:val="16"/>
              </w:rPr>
              <w:t>Ordinary annual services</w:t>
            </w:r>
            <w:r w:rsidR="00ED6F54">
              <w:rPr>
                <w:rFonts w:ascii="Arial" w:hAnsi="Arial" w:cs="Arial"/>
                <w:color w:val="auto"/>
                <w:sz w:val="16"/>
                <w:szCs w:val="16"/>
                <w:vertAlign w:val="superscript"/>
              </w:rPr>
              <w:t xml:space="preserve"> (a)</w:t>
            </w:r>
            <w:r w:rsidRPr="00001B12">
              <w:rPr>
                <w:rFonts w:ascii="Arial" w:hAnsi="Arial" w:cs="Arial"/>
                <w:color w:val="auto"/>
                <w:sz w:val="16"/>
                <w:szCs w:val="16"/>
                <w:vertAlign w:val="superscript"/>
              </w:rPr>
              <w:t xml:space="preserve"> (f)</w:t>
            </w:r>
          </w:p>
        </w:tc>
        <w:tc>
          <w:tcPr>
            <w:tcW w:w="1360" w:type="dxa"/>
            <w:tcBorders>
              <w:top w:val="nil"/>
              <w:left w:val="nil"/>
              <w:bottom w:val="nil"/>
              <w:right w:val="nil"/>
            </w:tcBorders>
            <w:shd w:val="clear" w:color="auto" w:fill="auto"/>
            <w:noWrap/>
            <w:vAlign w:val="bottom"/>
            <w:hideMark/>
          </w:tcPr>
          <w:p w14:paraId="43F73A69" w14:textId="77777777" w:rsidR="00001B12" w:rsidRPr="00001B12" w:rsidRDefault="00001B12" w:rsidP="00001B12">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7E88AAAD"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 </w:t>
            </w:r>
          </w:p>
        </w:tc>
      </w:tr>
      <w:tr w:rsidR="00001B12" w:rsidRPr="00001B12" w14:paraId="3B7E9257" w14:textId="77777777" w:rsidTr="00001B12">
        <w:trPr>
          <w:trHeight w:val="225"/>
          <w:jc w:val="center"/>
        </w:trPr>
        <w:tc>
          <w:tcPr>
            <w:tcW w:w="4660" w:type="dxa"/>
            <w:tcBorders>
              <w:top w:val="nil"/>
              <w:left w:val="nil"/>
              <w:bottom w:val="nil"/>
              <w:right w:val="nil"/>
            </w:tcBorders>
            <w:shd w:val="clear" w:color="auto" w:fill="auto"/>
            <w:noWrap/>
            <w:vAlign w:val="bottom"/>
            <w:hideMark/>
          </w:tcPr>
          <w:p w14:paraId="561061F2" w14:textId="77777777" w:rsidR="00001B12" w:rsidRPr="00001B12" w:rsidRDefault="00001B12" w:rsidP="00001B12">
            <w:pPr>
              <w:spacing w:after="0"/>
              <w:ind w:firstLineChars="300" w:firstLine="480"/>
              <w:rPr>
                <w:rFonts w:ascii="Arial" w:hAnsi="Arial" w:cs="Arial"/>
                <w:color w:val="auto"/>
                <w:sz w:val="16"/>
                <w:szCs w:val="16"/>
              </w:rPr>
            </w:pPr>
            <w:r w:rsidRPr="00001B12">
              <w:rPr>
                <w:rFonts w:ascii="Arial" w:hAnsi="Arial" w:cs="Arial"/>
                <w:color w:val="auto"/>
                <w:sz w:val="16"/>
                <w:szCs w:val="16"/>
              </w:rPr>
              <w:t>Outcome 1</w:t>
            </w:r>
          </w:p>
        </w:tc>
        <w:tc>
          <w:tcPr>
            <w:tcW w:w="1360" w:type="dxa"/>
            <w:tcBorders>
              <w:top w:val="nil"/>
              <w:left w:val="nil"/>
              <w:bottom w:val="nil"/>
              <w:right w:val="nil"/>
            </w:tcBorders>
            <w:shd w:val="clear" w:color="auto" w:fill="auto"/>
            <w:vAlign w:val="bottom"/>
            <w:hideMark/>
          </w:tcPr>
          <w:p w14:paraId="4D8A6A90"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45,028</w:t>
            </w:r>
          </w:p>
        </w:tc>
        <w:tc>
          <w:tcPr>
            <w:tcW w:w="1360" w:type="dxa"/>
            <w:tcBorders>
              <w:top w:val="nil"/>
              <w:left w:val="nil"/>
              <w:bottom w:val="nil"/>
              <w:right w:val="nil"/>
            </w:tcBorders>
            <w:shd w:val="clear" w:color="000000" w:fill="D9D9D9"/>
            <w:vAlign w:val="bottom"/>
            <w:hideMark/>
          </w:tcPr>
          <w:p w14:paraId="5226F47F" w14:textId="77777777" w:rsidR="00001B12" w:rsidRPr="00001B12" w:rsidRDefault="00001B12" w:rsidP="00001B12">
            <w:pPr>
              <w:spacing w:after="0"/>
              <w:jc w:val="right"/>
              <w:rPr>
                <w:rFonts w:ascii="Arial" w:hAnsi="Arial" w:cs="Arial"/>
                <w:color w:val="auto"/>
                <w:sz w:val="16"/>
                <w:szCs w:val="16"/>
              </w:rPr>
            </w:pPr>
            <w:r w:rsidRPr="00001B12">
              <w:rPr>
                <w:rFonts w:ascii="Arial" w:hAnsi="Arial" w:cs="Arial"/>
                <w:color w:val="auto"/>
                <w:sz w:val="16"/>
                <w:szCs w:val="16"/>
              </w:rPr>
              <w:t>49,131</w:t>
            </w:r>
          </w:p>
        </w:tc>
      </w:tr>
      <w:tr w:rsidR="00001B12" w:rsidRPr="00001B12" w14:paraId="0C722CB1" w14:textId="77777777" w:rsidTr="00001B12">
        <w:trPr>
          <w:trHeight w:val="300"/>
          <w:jc w:val="center"/>
        </w:trPr>
        <w:tc>
          <w:tcPr>
            <w:tcW w:w="4660" w:type="dxa"/>
            <w:tcBorders>
              <w:top w:val="nil"/>
              <w:left w:val="nil"/>
              <w:bottom w:val="nil"/>
              <w:right w:val="nil"/>
            </w:tcBorders>
            <w:shd w:val="clear" w:color="auto" w:fill="auto"/>
            <w:noWrap/>
            <w:vAlign w:val="bottom"/>
            <w:hideMark/>
          </w:tcPr>
          <w:p w14:paraId="01C0E428" w14:textId="77777777" w:rsidR="00001B12" w:rsidRPr="00001B12" w:rsidRDefault="00001B12" w:rsidP="00001B12">
            <w:pPr>
              <w:spacing w:after="0"/>
              <w:ind w:firstLineChars="200" w:firstLine="320"/>
              <w:rPr>
                <w:rFonts w:ascii="Arial" w:hAnsi="Arial" w:cs="Arial"/>
                <w:b/>
                <w:bCs/>
                <w:color w:val="auto"/>
                <w:sz w:val="16"/>
                <w:szCs w:val="16"/>
              </w:rPr>
            </w:pPr>
            <w:r w:rsidRPr="00001B12">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5FFD901F" w14:textId="77777777" w:rsidR="00001B12" w:rsidRPr="00001B12" w:rsidRDefault="00001B12" w:rsidP="00001B12">
            <w:pPr>
              <w:spacing w:after="0"/>
              <w:jc w:val="right"/>
              <w:rPr>
                <w:rFonts w:ascii="Arial" w:hAnsi="Arial" w:cs="Arial"/>
                <w:b/>
                <w:bCs/>
                <w:color w:val="auto"/>
                <w:sz w:val="16"/>
                <w:szCs w:val="16"/>
              </w:rPr>
            </w:pPr>
            <w:r w:rsidRPr="00001B12">
              <w:rPr>
                <w:rFonts w:ascii="Arial" w:hAnsi="Arial" w:cs="Arial"/>
                <w:b/>
                <w:bCs/>
                <w:color w:val="auto"/>
                <w:sz w:val="16"/>
                <w:szCs w:val="16"/>
              </w:rPr>
              <w:t>45,028</w:t>
            </w:r>
          </w:p>
        </w:tc>
        <w:tc>
          <w:tcPr>
            <w:tcW w:w="1360" w:type="dxa"/>
            <w:tcBorders>
              <w:top w:val="single" w:sz="4" w:space="0" w:color="auto"/>
              <w:left w:val="nil"/>
              <w:bottom w:val="single" w:sz="4" w:space="0" w:color="auto"/>
              <w:right w:val="nil"/>
            </w:tcBorders>
            <w:shd w:val="clear" w:color="000000" w:fill="D9D9D9"/>
            <w:noWrap/>
            <w:vAlign w:val="bottom"/>
            <w:hideMark/>
          </w:tcPr>
          <w:p w14:paraId="1D8EDAF2" w14:textId="77777777" w:rsidR="00001B12" w:rsidRPr="00001B12" w:rsidRDefault="00001B12" w:rsidP="00001B12">
            <w:pPr>
              <w:spacing w:after="0"/>
              <w:jc w:val="right"/>
              <w:rPr>
                <w:rFonts w:ascii="Arial" w:hAnsi="Arial" w:cs="Arial"/>
                <w:b/>
                <w:bCs/>
                <w:color w:val="auto"/>
                <w:sz w:val="16"/>
                <w:szCs w:val="16"/>
              </w:rPr>
            </w:pPr>
            <w:r w:rsidRPr="00001B12">
              <w:rPr>
                <w:rFonts w:ascii="Arial" w:hAnsi="Arial" w:cs="Arial"/>
                <w:b/>
                <w:bCs/>
                <w:color w:val="auto"/>
                <w:sz w:val="16"/>
                <w:szCs w:val="16"/>
              </w:rPr>
              <w:t>49,131</w:t>
            </w:r>
          </w:p>
        </w:tc>
      </w:tr>
      <w:tr w:rsidR="00001B12" w:rsidRPr="00001B12" w14:paraId="1A545994" w14:textId="77777777" w:rsidTr="00001B12">
        <w:trPr>
          <w:trHeight w:val="300"/>
          <w:jc w:val="center"/>
        </w:trPr>
        <w:tc>
          <w:tcPr>
            <w:tcW w:w="4660" w:type="dxa"/>
            <w:tcBorders>
              <w:top w:val="nil"/>
              <w:left w:val="nil"/>
              <w:bottom w:val="nil"/>
              <w:right w:val="nil"/>
            </w:tcBorders>
            <w:shd w:val="clear" w:color="auto" w:fill="auto"/>
            <w:noWrap/>
            <w:vAlign w:val="bottom"/>
            <w:hideMark/>
          </w:tcPr>
          <w:p w14:paraId="13292D50" w14:textId="77777777" w:rsidR="00001B12" w:rsidRPr="00001B12" w:rsidRDefault="00001B12" w:rsidP="00001B12">
            <w:pPr>
              <w:spacing w:after="0"/>
              <w:ind w:firstLineChars="100" w:firstLine="160"/>
              <w:rPr>
                <w:rFonts w:ascii="Arial" w:hAnsi="Arial" w:cs="Arial"/>
                <w:b/>
                <w:bCs/>
                <w:color w:val="auto"/>
                <w:sz w:val="16"/>
                <w:szCs w:val="16"/>
              </w:rPr>
            </w:pPr>
            <w:r w:rsidRPr="00001B12">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2DBC1394" w14:textId="77777777" w:rsidR="00001B12" w:rsidRPr="00001B12" w:rsidRDefault="00001B12" w:rsidP="00001B12">
            <w:pPr>
              <w:spacing w:after="0"/>
              <w:jc w:val="right"/>
              <w:rPr>
                <w:rFonts w:ascii="Arial" w:hAnsi="Arial" w:cs="Arial"/>
                <w:b/>
                <w:bCs/>
                <w:color w:val="auto"/>
                <w:sz w:val="16"/>
                <w:szCs w:val="16"/>
              </w:rPr>
            </w:pPr>
            <w:r w:rsidRPr="00001B12">
              <w:rPr>
                <w:rFonts w:ascii="Arial" w:hAnsi="Arial" w:cs="Arial"/>
                <w:b/>
                <w:bCs/>
                <w:color w:val="auto"/>
                <w:sz w:val="16"/>
                <w:szCs w:val="16"/>
              </w:rPr>
              <w:t>45,093</w:t>
            </w:r>
          </w:p>
        </w:tc>
        <w:tc>
          <w:tcPr>
            <w:tcW w:w="1360" w:type="dxa"/>
            <w:tcBorders>
              <w:top w:val="nil"/>
              <w:left w:val="nil"/>
              <w:bottom w:val="single" w:sz="4" w:space="0" w:color="auto"/>
              <w:right w:val="nil"/>
            </w:tcBorders>
            <w:shd w:val="clear" w:color="000000" w:fill="D9D9D9"/>
            <w:noWrap/>
            <w:vAlign w:val="bottom"/>
            <w:hideMark/>
          </w:tcPr>
          <w:p w14:paraId="2347F37A" w14:textId="77777777" w:rsidR="00001B12" w:rsidRPr="00001B12" w:rsidRDefault="00001B12" w:rsidP="00001B12">
            <w:pPr>
              <w:spacing w:after="0"/>
              <w:jc w:val="right"/>
              <w:rPr>
                <w:rFonts w:ascii="Arial" w:hAnsi="Arial" w:cs="Arial"/>
                <w:b/>
                <w:bCs/>
                <w:color w:val="auto"/>
                <w:sz w:val="16"/>
                <w:szCs w:val="16"/>
              </w:rPr>
            </w:pPr>
            <w:r w:rsidRPr="00001B12">
              <w:rPr>
                <w:rFonts w:ascii="Arial" w:hAnsi="Arial" w:cs="Arial"/>
                <w:b/>
                <w:bCs/>
                <w:color w:val="auto"/>
                <w:sz w:val="16"/>
                <w:szCs w:val="16"/>
              </w:rPr>
              <w:t>49,196</w:t>
            </w:r>
          </w:p>
        </w:tc>
      </w:tr>
      <w:tr w:rsidR="00001B12" w:rsidRPr="00001B12" w14:paraId="447EAB6B" w14:textId="77777777" w:rsidTr="00001B12">
        <w:trPr>
          <w:trHeight w:val="300"/>
          <w:jc w:val="center"/>
        </w:trPr>
        <w:tc>
          <w:tcPr>
            <w:tcW w:w="4660" w:type="dxa"/>
            <w:tcBorders>
              <w:top w:val="nil"/>
              <w:left w:val="nil"/>
              <w:bottom w:val="single" w:sz="4" w:space="0" w:color="auto"/>
              <w:right w:val="nil"/>
            </w:tcBorders>
            <w:shd w:val="clear" w:color="auto" w:fill="auto"/>
            <w:noWrap/>
            <w:vAlign w:val="bottom"/>
            <w:hideMark/>
          </w:tcPr>
          <w:p w14:paraId="30FD3678" w14:textId="77777777" w:rsidR="00001B12" w:rsidRPr="00001B12" w:rsidRDefault="00001B12" w:rsidP="00001B12">
            <w:pPr>
              <w:spacing w:after="0"/>
              <w:rPr>
                <w:rFonts w:ascii="Arial" w:hAnsi="Arial" w:cs="Arial"/>
                <w:b/>
                <w:bCs/>
                <w:color w:val="auto"/>
                <w:sz w:val="16"/>
                <w:szCs w:val="16"/>
              </w:rPr>
            </w:pPr>
            <w:r w:rsidRPr="00001B12">
              <w:rPr>
                <w:rFonts w:ascii="Arial" w:hAnsi="Arial" w:cs="Arial"/>
                <w:b/>
                <w:bCs/>
                <w:color w:val="auto"/>
                <w:sz w:val="16"/>
                <w:szCs w:val="16"/>
              </w:rPr>
              <w:t>Total resourcing for OTA</w:t>
            </w:r>
          </w:p>
        </w:tc>
        <w:tc>
          <w:tcPr>
            <w:tcW w:w="1360" w:type="dxa"/>
            <w:tcBorders>
              <w:top w:val="nil"/>
              <w:left w:val="nil"/>
              <w:bottom w:val="single" w:sz="4" w:space="0" w:color="auto"/>
              <w:right w:val="nil"/>
            </w:tcBorders>
            <w:shd w:val="clear" w:color="auto" w:fill="auto"/>
            <w:noWrap/>
            <w:vAlign w:val="bottom"/>
            <w:hideMark/>
          </w:tcPr>
          <w:p w14:paraId="7D1F59CE" w14:textId="77777777" w:rsidR="00001B12" w:rsidRPr="00001B12" w:rsidRDefault="00001B12" w:rsidP="00001B12">
            <w:pPr>
              <w:spacing w:after="0"/>
              <w:jc w:val="right"/>
              <w:rPr>
                <w:rFonts w:ascii="Arial" w:hAnsi="Arial" w:cs="Arial"/>
                <w:b/>
                <w:bCs/>
                <w:color w:val="auto"/>
                <w:sz w:val="16"/>
                <w:szCs w:val="16"/>
              </w:rPr>
            </w:pPr>
            <w:r w:rsidRPr="00001B12">
              <w:rPr>
                <w:rFonts w:ascii="Arial" w:hAnsi="Arial" w:cs="Arial"/>
                <w:b/>
                <w:bCs/>
                <w:color w:val="auto"/>
                <w:sz w:val="16"/>
                <w:szCs w:val="16"/>
              </w:rPr>
              <w:t>53,697</w:t>
            </w:r>
          </w:p>
        </w:tc>
        <w:tc>
          <w:tcPr>
            <w:tcW w:w="1360" w:type="dxa"/>
            <w:tcBorders>
              <w:top w:val="nil"/>
              <w:left w:val="nil"/>
              <w:bottom w:val="single" w:sz="4" w:space="0" w:color="auto"/>
              <w:right w:val="nil"/>
            </w:tcBorders>
            <w:shd w:val="clear" w:color="000000" w:fill="D9D9D9"/>
            <w:noWrap/>
            <w:vAlign w:val="bottom"/>
            <w:hideMark/>
          </w:tcPr>
          <w:p w14:paraId="36C5273A" w14:textId="77777777" w:rsidR="00001B12" w:rsidRPr="00001B12" w:rsidRDefault="00001B12" w:rsidP="00001B12">
            <w:pPr>
              <w:spacing w:after="0"/>
              <w:jc w:val="right"/>
              <w:rPr>
                <w:rFonts w:ascii="Arial" w:hAnsi="Arial" w:cs="Arial"/>
                <w:b/>
                <w:bCs/>
                <w:color w:val="auto"/>
                <w:sz w:val="16"/>
                <w:szCs w:val="16"/>
              </w:rPr>
            </w:pPr>
            <w:r w:rsidRPr="00001B12">
              <w:rPr>
                <w:rFonts w:ascii="Arial" w:hAnsi="Arial" w:cs="Arial"/>
                <w:b/>
                <w:bCs/>
                <w:color w:val="auto"/>
                <w:sz w:val="16"/>
                <w:szCs w:val="16"/>
              </w:rPr>
              <w:t>58,243</w:t>
            </w:r>
          </w:p>
        </w:tc>
      </w:tr>
      <w:tr w:rsidR="00001B12" w:rsidRPr="00001B12" w14:paraId="70A1C942" w14:textId="77777777" w:rsidTr="00001B12">
        <w:trPr>
          <w:trHeight w:val="300"/>
          <w:jc w:val="center"/>
        </w:trPr>
        <w:tc>
          <w:tcPr>
            <w:tcW w:w="4660" w:type="dxa"/>
            <w:tcBorders>
              <w:top w:val="nil"/>
              <w:left w:val="nil"/>
              <w:bottom w:val="nil"/>
              <w:right w:val="nil"/>
            </w:tcBorders>
            <w:shd w:val="clear" w:color="auto" w:fill="auto"/>
            <w:noWrap/>
            <w:vAlign w:val="bottom"/>
            <w:hideMark/>
          </w:tcPr>
          <w:p w14:paraId="4A830F6C" w14:textId="77777777" w:rsidR="00001B12" w:rsidRPr="00001B12" w:rsidRDefault="00001B12" w:rsidP="00001B12">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20F37D20" w14:textId="77777777" w:rsidR="00001B12" w:rsidRPr="00001B12" w:rsidRDefault="00001B12" w:rsidP="00001B12">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3813F4C4" w14:textId="77777777" w:rsidR="00001B12" w:rsidRPr="00001B12" w:rsidRDefault="00001B12" w:rsidP="00001B12">
            <w:pPr>
              <w:spacing w:after="0"/>
              <w:rPr>
                <w:rFonts w:ascii="Times New Roman" w:hAnsi="Times New Roman"/>
                <w:color w:val="auto"/>
              </w:rPr>
            </w:pPr>
          </w:p>
        </w:tc>
      </w:tr>
      <w:tr w:rsidR="00001B12" w:rsidRPr="00001B12" w14:paraId="69F7EC0B" w14:textId="77777777" w:rsidTr="00001B12">
        <w:trPr>
          <w:trHeight w:val="170"/>
          <w:jc w:val="center"/>
        </w:trPr>
        <w:tc>
          <w:tcPr>
            <w:tcW w:w="4660" w:type="dxa"/>
            <w:tcBorders>
              <w:top w:val="nil"/>
              <w:left w:val="nil"/>
              <w:bottom w:val="nil"/>
              <w:right w:val="nil"/>
            </w:tcBorders>
            <w:shd w:val="clear" w:color="auto" w:fill="auto"/>
            <w:noWrap/>
            <w:vAlign w:val="bottom"/>
            <w:hideMark/>
          </w:tcPr>
          <w:p w14:paraId="09B2E2D0" w14:textId="77777777" w:rsidR="00001B12" w:rsidRPr="00001B12" w:rsidRDefault="00001B12" w:rsidP="00001B12">
            <w:pPr>
              <w:spacing w:after="0"/>
              <w:jc w:val="right"/>
              <w:rPr>
                <w:rFonts w:ascii="Times New Roman" w:hAnsi="Times New Roman"/>
                <w:color w:val="auto"/>
              </w:rPr>
            </w:pPr>
          </w:p>
        </w:tc>
        <w:tc>
          <w:tcPr>
            <w:tcW w:w="1360" w:type="dxa"/>
            <w:tcBorders>
              <w:top w:val="single" w:sz="4" w:space="0" w:color="auto"/>
              <w:left w:val="nil"/>
              <w:bottom w:val="nil"/>
              <w:right w:val="nil"/>
            </w:tcBorders>
            <w:shd w:val="clear" w:color="auto" w:fill="auto"/>
            <w:noWrap/>
            <w:hideMark/>
          </w:tcPr>
          <w:p w14:paraId="2EB40687" w14:textId="77777777" w:rsidR="00001B12" w:rsidRPr="00001B12" w:rsidRDefault="00001B12" w:rsidP="00001B12">
            <w:pPr>
              <w:spacing w:before="40" w:after="0"/>
              <w:jc w:val="right"/>
              <w:rPr>
                <w:rFonts w:ascii="Arial" w:hAnsi="Arial" w:cs="Arial"/>
                <w:b/>
                <w:bCs/>
                <w:color w:val="auto"/>
                <w:sz w:val="16"/>
                <w:szCs w:val="16"/>
              </w:rPr>
            </w:pPr>
            <w:r w:rsidRPr="00001B12">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hideMark/>
          </w:tcPr>
          <w:p w14:paraId="4B6B2F07" w14:textId="77777777" w:rsidR="00001B12" w:rsidRPr="00001B12" w:rsidRDefault="00001B12" w:rsidP="00001B12">
            <w:pPr>
              <w:spacing w:before="40" w:after="0"/>
              <w:jc w:val="right"/>
              <w:rPr>
                <w:rFonts w:ascii="Arial" w:hAnsi="Arial" w:cs="Arial"/>
                <w:b/>
                <w:bCs/>
                <w:color w:val="auto"/>
                <w:sz w:val="16"/>
                <w:szCs w:val="16"/>
              </w:rPr>
            </w:pPr>
            <w:r w:rsidRPr="00001B12">
              <w:rPr>
                <w:rFonts w:ascii="Arial" w:hAnsi="Arial" w:cs="Arial"/>
                <w:b/>
                <w:bCs/>
                <w:color w:val="auto"/>
                <w:sz w:val="16"/>
                <w:szCs w:val="16"/>
              </w:rPr>
              <w:t>2022–23</w:t>
            </w:r>
          </w:p>
        </w:tc>
      </w:tr>
      <w:tr w:rsidR="00001B12" w:rsidRPr="00001B12" w14:paraId="5A879606" w14:textId="77777777" w:rsidTr="00001B12">
        <w:trPr>
          <w:trHeight w:val="300"/>
          <w:jc w:val="center"/>
        </w:trPr>
        <w:tc>
          <w:tcPr>
            <w:tcW w:w="4660" w:type="dxa"/>
            <w:tcBorders>
              <w:top w:val="nil"/>
              <w:left w:val="nil"/>
              <w:bottom w:val="single" w:sz="4" w:space="0" w:color="auto"/>
              <w:right w:val="nil"/>
            </w:tcBorders>
            <w:shd w:val="clear" w:color="auto" w:fill="auto"/>
            <w:noWrap/>
            <w:vAlign w:val="bottom"/>
            <w:hideMark/>
          </w:tcPr>
          <w:p w14:paraId="67274D4B" w14:textId="77777777" w:rsidR="00001B12" w:rsidRPr="00001B12" w:rsidRDefault="00001B12" w:rsidP="00001B12">
            <w:pPr>
              <w:spacing w:after="0"/>
              <w:rPr>
                <w:rFonts w:ascii="Arial" w:hAnsi="Arial" w:cs="Arial"/>
                <w:b/>
                <w:bCs/>
                <w:sz w:val="16"/>
                <w:szCs w:val="16"/>
              </w:rPr>
            </w:pPr>
            <w:r w:rsidRPr="00001B12">
              <w:rPr>
                <w:rFonts w:ascii="Arial" w:hAnsi="Arial" w:cs="Arial"/>
                <w:b/>
                <w:bCs/>
                <w:sz w:val="16"/>
                <w:szCs w:val="16"/>
              </w:rPr>
              <w:t xml:space="preserve">Average </w:t>
            </w:r>
            <w:r w:rsidRPr="00001B12">
              <w:rPr>
                <w:rFonts w:ascii="Arial" w:hAnsi="Arial" w:cs="Arial"/>
                <w:b/>
                <w:bCs/>
                <w:color w:val="auto"/>
                <w:sz w:val="16"/>
                <w:szCs w:val="16"/>
              </w:rPr>
              <w:t>s</w:t>
            </w:r>
            <w:r w:rsidRPr="00001B12">
              <w:rPr>
                <w:rFonts w:ascii="Arial" w:hAnsi="Arial" w:cs="Arial"/>
                <w:b/>
                <w:bCs/>
                <w:sz w:val="16"/>
                <w:szCs w:val="16"/>
              </w:rPr>
              <w:t xml:space="preserve">taffing </w:t>
            </w:r>
            <w:r w:rsidRPr="00001B12">
              <w:rPr>
                <w:rFonts w:ascii="Arial" w:hAnsi="Arial" w:cs="Arial"/>
                <w:b/>
                <w:bCs/>
                <w:color w:val="auto"/>
                <w:sz w:val="16"/>
                <w:szCs w:val="16"/>
              </w:rPr>
              <w:t>l</w:t>
            </w:r>
            <w:r w:rsidRPr="00001B12">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69CD1447" w14:textId="77777777" w:rsidR="00001B12" w:rsidRPr="00001B12" w:rsidRDefault="00001B12" w:rsidP="00001B12">
            <w:pPr>
              <w:spacing w:after="0"/>
              <w:jc w:val="right"/>
              <w:rPr>
                <w:rFonts w:ascii="Arial" w:hAnsi="Arial" w:cs="Arial"/>
                <w:sz w:val="16"/>
                <w:szCs w:val="16"/>
              </w:rPr>
            </w:pPr>
            <w:r w:rsidRPr="00001B12">
              <w:rPr>
                <w:rFonts w:ascii="Arial" w:hAnsi="Arial" w:cs="Arial"/>
                <w:sz w:val="16"/>
                <w:szCs w:val="16"/>
              </w:rPr>
              <w:t>29</w:t>
            </w:r>
          </w:p>
        </w:tc>
        <w:tc>
          <w:tcPr>
            <w:tcW w:w="1360" w:type="dxa"/>
            <w:tcBorders>
              <w:top w:val="single" w:sz="4" w:space="0" w:color="auto"/>
              <w:left w:val="nil"/>
              <w:bottom w:val="single" w:sz="4" w:space="0" w:color="auto"/>
              <w:right w:val="nil"/>
            </w:tcBorders>
            <w:shd w:val="clear" w:color="000000" w:fill="D9D9D9"/>
            <w:noWrap/>
            <w:vAlign w:val="bottom"/>
            <w:hideMark/>
          </w:tcPr>
          <w:p w14:paraId="7B8FE66B" w14:textId="77777777" w:rsidR="00001B12" w:rsidRPr="00001B12" w:rsidRDefault="00001B12" w:rsidP="00001B12">
            <w:pPr>
              <w:spacing w:after="0"/>
              <w:jc w:val="right"/>
              <w:rPr>
                <w:rFonts w:ascii="Arial" w:hAnsi="Arial" w:cs="Arial"/>
                <w:sz w:val="16"/>
                <w:szCs w:val="16"/>
              </w:rPr>
            </w:pPr>
            <w:r w:rsidRPr="00001B12">
              <w:rPr>
                <w:rFonts w:ascii="Arial" w:hAnsi="Arial" w:cs="Arial"/>
                <w:sz w:val="16"/>
                <w:szCs w:val="16"/>
              </w:rPr>
              <w:t>30</w:t>
            </w:r>
          </w:p>
        </w:tc>
      </w:tr>
    </w:tbl>
    <w:p w14:paraId="0A01F50F" w14:textId="7CA68B2A" w:rsidR="00001B12" w:rsidRPr="00001B12" w:rsidRDefault="00001B12" w:rsidP="00001B12">
      <w:pPr>
        <w:pStyle w:val="FootnoteText"/>
        <w:spacing w:before="120" w:after="40"/>
      </w:pPr>
      <w:r>
        <w:t>All figures are GST exclusive.</w:t>
      </w:r>
    </w:p>
    <w:p w14:paraId="0822FC52" w14:textId="499AC8BE" w:rsidR="00001B12" w:rsidRPr="00EC7006" w:rsidRDefault="00001B12" w:rsidP="00001B12">
      <w:pPr>
        <w:pStyle w:val="FootnoteText"/>
        <w:rPr>
          <w:i/>
        </w:rPr>
      </w:pPr>
      <w:r w:rsidRPr="00001B12">
        <w:rPr>
          <w:vertAlign w:val="superscript"/>
        </w:rPr>
        <w:t>(a)</w:t>
      </w:r>
      <w:r>
        <w:tab/>
      </w:r>
      <w:r w:rsidRPr="00EC7006">
        <w:rPr>
          <w:i/>
        </w:rPr>
        <w:t>Appropriation Act (No. 1) 2022–23.</w:t>
      </w:r>
    </w:p>
    <w:p w14:paraId="41368E49" w14:textId="5723D76F" w:rsidR="00001B12" w:rsidRPr="00001B12" w:rsidRDefault="00001B12" w:rsidP="00001B12">
      <w:pPr>
        <w:pStyle w:val="FootnoteText"/>
      </w:pPr>
      <w:r w:rsidRPr="00001B12">
        <w:rPr>
          <w:vertAlign w:val="superscript"/>
        </w:rPr>
        <w:t>(b)</w:t>
      </w:r>
      <w:r>
        <w:tab/>
      </w:r>
      <w:r w:rsidRPr="00001B12">
        <w:t>$0.224 million will be received through the 2021</w:t>
      </w:r>
      <w:r>
        <w:t>–</w:t>
      </w:r>
      <w:r w:rsidRPr="00001B12">
        <w:t>22 Annual Appropriation Bill No.3. The annual appropriations received from these bills will be rec</w:t>
      </w:r>
      <w:r w:rsidR="00FF04D8">
        <w:t>ognised in a future P</w:t>
      </w:r>
      <w:r w:rsidR="0028412E">
        <w:t>ortfolio Budget (PB) Statements</w:t>
      </w:r>
      <w:r w:rsidRPr="00001B12">
        <w:t xml:space="preserve"> but only after the Bil</w:t>
      </w:r>
      <w:r>
        <w:t>ls have received Royal Assent.</w:t>
      </w:r>
    </w:p>
    <w:p w14:paraId="64FD5EB5" w14:textId="58ED0BFA" w:rsidR="00001B12" w:rsidRPr="00001B12" w:rsidRDefault="00001B12" w:rsidP="00001B12">
      <w:pPr>
        <w:pStyle w:val="FootnoteText"/>
      </w:pPr>
      <w:r w:rsidRPr="00001B12">
        <w:rPr>
          <w:vertAlign w:val="superscript"/>
        </w:rPr>
        <w:t>(c)</w:t>
      </w:r>
      <w:r>
        <w:tab/>
      </w:r>
      <w:r w:rsidRPr="00001B12">
        <w:t xml:space="preserve">Estimated retained revenue receipts under section 74 of the </w:t>
      </w:r>
      <w:r w:rsidRPr="00001B12">
        <w:rPr>
          <w:i/>
        </w:rPr>
        <w:t xml:space="preserve">Public Governance, Performance and Accountability Act 2013 </w:t>
      </w:r>
      <w:r>
        <w:t>(PGPA Act).</w:t>
      </w:r>
    </w:p>
    <w:p w14:paraId="67273DF0" w14:textId="259E8984" w:rsidR="00001B12" w:rsidRPr="00001B12" w:rsidRDefault="00001B12" w:rsidP="00001B12">
      <w:pPr>
        <w:pStyle w:val="FootnoteText"/>
      </w:pPr>
      <w:r w:rsidRPr="00001B12">
        <w:rPr>
          <w:vertAlign w:val="superscript"/>
        </w:rPr>
        <w:t>(d)</w:t>
      </w:r>
      <w:r>
        <w:tab/>
      </w:r>
      <w:r w:rsidRPr="00001B12">
        <w:t>Departmental Capital Budgets are not separately identified in Appropriation Bill (No. 1) including Supply</w:t>
      </w:r>
      <w:r>
        <w:t> </w:t>
      </w:r>
      <w:r w:rsidRPr="00001B12">
        <w:t>Act (No. 1) form part of ordinary annual services items. Please refer to Table 3.5 within this chapter for further details. For accounting purposes, this amount has been designated</w:t>
      </w:r>
      <w:r>
        <w:t xml:space="preserve"> as a 'contribution by owner'.</w:t>
      </w:r>
    </w:p>
    <w:p w14:paraId="67800783" w14:textId="4A04726E" w:rsidR="00001B12" w:rsidRPr="00EC7006" w:rsidRDefault="00001B12" w:rsidP="00001B12">
      <w:pPr>
        <w:pStyle w:val="FootnoteText"/>
        <w:rPr>
          <w:i/>
        </w:rPr>
      </w:pPr>
      <w:r w:rsidRPr="00001B12">
        <w:rPr>
          <w:vertAlign w:val="superscript"/>
        </w:rPr>
        <w:t>(e)</w:t>
      </w:r>
      <w:r>
        <w:tab/>
      </w:r>
      <w:r w:rsidRPr="00EC7006">
        <w:rPr>
          <w:i/>
        </w:rPr>
        <w:t>Appropriation Act (No. 2) 2022–23.</w:t>
      </w:r>
    </w:p>
    <w:p w14:paraId="69B11525" w14:textId="3996DCB8" w:rsidR="00001B12" w:rsidRPr="00EE76CA" w:rsidRDefault="00001B12" w:rsidP="00001B12">
      <w:pPr>
        <w:pStyle w:val="FootnoteText"/>
      </w:pPr>
      <w:r w:rsidRPr="00001B12">
        <w:rPr>
          <w:vertAlign w:val="superscript"/>
        </w:rPr>
        <w:t>(f)</w:t>
      </w:r>
      <w:r>
        <w:tab/>
      </w:r>
      <w:r w:rsidRPr="00001B12">
        <w:t>$3.253 million will be received through the 2021</w:t>
      </w:r>
      <w:r>
        <w:t>–</w:t>
      </w:r>
      <w:r w:rsidRPr="00001B12">
        <w:t>22 Annual Appropriation Bill No.3. The annual appropriations received from these bills wil</w:t>
      </w:r>
      <w:r w:rsidR="00FF04D8">
        <w:t>l be recognised in a future PB S</w:t>
      </w:r>
      <w:r w:rsidRPr="00001B12">
        <w:t>tatement</w:t>
      </w:r>
      <w:r w:rsidR="0028412E">
        <w:t>s</w:t>
      </w:r>
      <w:r w:rsidRPr="00001B12">
        <w:t xml:space="preserve"> but only after the Bil</w:t>
      </w:r>
      <w:r>
        <w:t>ls have received Royal Assent.</w:t>
      </w:r>
    </w:p>
    <w:p w14:paraId="45587997" w14:textId="141C2D66" w:rsidR="0024539A" w:rsidRPr="00EE76CA" w:rsidRDefault="0024539A" w:rsidP="00F915C4">
      <w:pPr>
        <w:pStyle w:val="Heading3"/>
        <w:rPr>
          <w:color w:val="000000" w:themeColor="text1"/>
        </w:rPr>
      </w:pPr>
      <w:r w:rsidRPr="00EE76CA">
        <w:rPr>
          <w:color w:val="000000" w:themeColor="text1"/>
        </w:rPr>
        <w:t>1.3</w:t>
      </w:r>
      <w:r w:rsidRPr="00EE76CA">
        <w:rPr>
          <w:color w:val="000000" w:themeColor="text1"/>
        </w:rPr>
        <w:tab/>
        <w:t>Budget Measures</w:t>
      </w:r>
      <w:bookmarkEnd w:id="4"/>
    </w:p>
    <w:p w14:paraId="1F161B96" w14:textId="2BFFC32C" w:rsidR="00295539" w:rsidRDefault="00561668" w:rsidP="00295539">
      <w:pPr>
        <w:rPr>
          <w:rFonts w:cs="Arial"/>
          <w:color w:val="auto"/>
        </w:rPr>
      </w:pPr>
      <w:r w:rsidRPr="00561668">
        <w:rPr>
          <w:rFonts w:cs="Arial"/>
          <w:color w:val="auto"/>
        </w:rPr>
        <w:t xml:space="preserve">Budget measures in Part 1 relating to the OTA are detailed in </w:t>
      </w:r>
      <w:r w:rsidRPr="005550CB">
        <w:rPr>
          <w:rFonts w:cs="Arial"/>
          <w:i/>
          <w:color w:val="auto"/>
        </w:rPr>
        <w:t>Budget Paper No. 2</w:t>
      </w:r>
      <w:r w:rsidRPr="00561668">
        <w:rPr>
          <w:rFonts w:cs="Arial"/>
          <w:color w:val="auto"/>
        </w:rPr>
        <w:t xml:space="preserve"> and are summarised below.</w:t>
      </w:r>
    </w:p>
    <w:p w14:paraId="2DC814E6" w14:textId="0301E6D1" w:rsidR="00561668" w:rsidRPr="00EE76CA" w:rsidRDefault="00561668" w:rsidP="00561668">
      <w:pPr>
        <w:pStyle w:val="Tablenumberandreference"/>
        <w:rPr>
          <w:color w:val="000000" w:themeColor="text1"/>
        </w:rPr>
      </w:pPr>
      <w:r>
        <w:rPr>
          <w:color w:val="000000" w:themeColor="text1"/>
        </w:rPr>
        <w:t>Table 1.2</w:t>
      </w:r>
      <w:r w:rsidRPr="00EE76CA">
        <w:rPr>
          <w:color w:val="000000" w:themeColor="text1"/>
        </w:rPr>
        <w:t xml:space="preserve">: OTA </w:t>
      </w:r>
      <w:r>
        <w:rPr>
          <w:color w:val="000000" w:themeColor="text1"/>
        </w:rPr>
        <w:t>2022–23 Budget Measures</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FA2DBB" w:rsidRPr="00FA2DBB" w14:paraId="50F842A8" w14:textId="77777777" w:rsidTr="00FA2DBB">
        <w:trPr>
          <w:trHeight w:val="340"/>
          <w:jc w:val="center"/>
        </w:trPr>
        <w:tc>
          <w:tcPr>
            <w:tcW w:w="2140" w:type="dxa"/>
            <w:tcBorders>
              <w:top w:val="single" w:sz="4" w:space="0" w:color="auto"/>
              <w:left w:val="nil"/>
              <w:bottom w:val="nil"/>
              <w:right w:val="nil"/>
            </w:tcBorders>
            <w:shd w:val="clear" w:color="auto" w:fill="auto"/>
            <w:noWrap/>
            <w:hideMark/>
          </w:tcPr>
          <w:p w14:paraId="1AE33466"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195DE6E7"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hideMark/>
          </w:tcPr>
          <w:p w14:paraId="426FE816" w14:textId="77777777" w:rsidR="00FA2DBB" w:rsidRPr="00FA2DBB" w:rsidRDefault="00FA2DBB" w:rsidP="00FA2DBB">
            <w:pPr>
              <w:spacing w:before="40" w:after="0"/>
              <w:jc w:val="right"/>
              <w:rPr>
                <w:rFonts w:ascii="Arial" w:hAnsi="Arial" w:cs="Arial"/>
                <w:b/>
                <w:bCs/>
                <w:color w:val="auto"/>
                <w:sz w:val="16"/>
                <w:szCs w:val="16"/>
              </w:rPr>
            </w:pPr>
            <w:r w:rsidRPr="00FA2DBB">
              <w:rPr>
                <w:rFonts w:ascii="Arial" w:hAnsi="Arial" w:cs="Arial"/>
                <w:b/>
                <w:bCs/>
                <w:color w:val="auto"/>
                <w:sz w:val="16"/>
                <w:szCs w:val="16"/>
              </w:rPr>
              <w:t xml:space="preserve">2021–22 </w:t>
            </w:r>
            <w:r w:rsidRPr="00FA2DBB">
              <w:rPr>
                <w:rFonts w:ascii="Arial" w:hAnsi="Arial" w:cs="Arial"/>
                <w:b/>
                <w:bCs/>
                <w:color w:val="auto"/>
                <w:sz w:val="16"/>
                <w:szCs w:val="16"/>
              </w:rPr>
              <w:br/>
            </w:r>
            <w:r w:rsidRPr="00FA2DB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hideMark/>
          </w:tcPr>
          <w:p w14:paraId="5A27685C" w14:textId="77777777" w:rsidR="00FA2DBB" w:rsidRPr="00FA2DBB" w:rsidRDefault="00FA2DBB" w:rsidP="00FA2DBB">
            <w:pPr>
              <w:spacing w:before="40" w:after="0"/>
              <w:jc w:val="right"/>
              <w:rPr>
                <w:rFonts w:ascii="Arial" w:hAnsi="Arial" w:cs="Arial"/>
                <w:b/>
                <w:bCs/>
                <w:color w:val="auto"/>
                <w:sz w:val="16"/>
                <w:szCs w:val="16"/>
              </w:rPr>
            </w:pPr>
            <w:r w:rsidRPr="00FA2DBB">
              <w:rPr>
                <w:rFonts w:ascii="Arial" w:hAnsi="Arial" w:cs="Arial"/>
                <w:b/>
                <w:bCs/>
                <w:color w:val="auto"/>
                <w:sz w:val="16"/>
                <w:szCs w:val="16"/>
              </w:rPr>
              <w:t xml:space="preserve">2022–23 </w:t>
            </w:r>
            <w:r w:rsidRPr="00FA2DBB">
              <w:rPr>
                <w:rFonts w:ascii="Arial" w:hAnsi="Arial" w:cs="Arial"/>
                <w:b/>
                <w:bCs/>
                <w:color w:val="auto"/>
                <w:sz w:val="16"/>
                <w:szCs w:val="16"/>
              </w:rPr>
              <w:br/>
            </w:r>
            <w:r w:rsidRPr="00FA2DB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34DB7F7E" w14:textId="77777777" w:rsidR="00FA2DBB" w:rsidRPr="00FA2DBB" w:rsidRDefault="00FA2DBB" w:rsidP="00FA2DBB">
            <w:pPr>
              <w:spacing w:before="40" w:after="0"/>
              <w:jc w:val="right"/>
              <w:rPr>
                <w:rFonts w:ascii="Arial" w:hAnsi="Arial" w:cs="Arial"/>
                <w:b/>
                <w:bCs/>
                <w:color w:val="auto"/>
                <w:sz w:val="16"/>
                <w:szCs w:val="16"/>
              </w:rPr>
            </w:pPr>
            <w:r w:rsidRPr="00FA2DBB">
              <w:rPr>
                <w:rFonts w:ascii="Arial" w:hAnsi="Arial" w:cs="Arial"/>
                <w:b/>
                <w:bCs/>
                <w:color w:val="auto"/>
                <w:sz w:val="16"/>
                <w:szCs w:val="16"/>
              </w:rPr>
              <w:t xml:space="preserve">2023–24 </w:t>
            </w:r>
            <w:r w:rsidRPr="00FA2DBB">
              <w:rPr>
                <w:rFonts w:ascii="Arial" w:hAnsi="Arial" w:cs="Arial"/>
                <w:b/>
                <w:bCs/>
                <w:color w:val="auto"/>
                <w:sz w:val="16"/>
                <w:szCs w:val="16"/>
              </w:rPr>
              <w:br/>
            </w:r>
            <w:r w:rsidRPr="00FA2DB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63B6D818" w14:textId="77777777" w:rsidR="00FA2DBB" w:rsidRPr="00FA2DBB" w:rsidRDefault="00FA2DBB" w:rsidP="00FA2DBB">
            <w:pPr>
              <w:spacing w:before="40" w:after="0"/>
              <w:jc w:val="right"/>
              <w:rPr>
                <w:rFonts w:ascii="Arial" w:hAnsi="Arial" w:cs="Arial"/>
                <w:b/>
                <w:bCs/>
                <w:color w:val="auto"/>
                <w:sz w:val="16"/>
                <w:szCs w:val="16"/>
              </w:rPr>
            </w:pPr>
            <w:r w:rsidRPr="00FA2DBB">
              <w:rPr>
                <w:rFonts w:ascii="Arial" w:hAnsi="Arial" w:cs="Arial"/>
                <w:b/>
                <w:bCs/>
                <w:color w:val="auto"/>
                <w:sz w:val="16"/>
                <w:szCs w:val="16"/>
              </w:rPr>
              <w:t xml:space="preserve">2024–25 </w:t>
            </w:r>
            <w:r w:rsidRPr="00FA2DBB">
              <w:rPr>
                <w:rFonts w:ascii="Arial" w:hAnsi="Arial" w:cs="Arial"/>
                <w:b/>
                <w:bCs/>
                <w:color w:val="auto"/>
                <w:sz w:val="16"/>
                <w:szCs w:val="16"/>
              </w:rPr>
              <w:br/>
            </w:r>
            <w:r w:rsidRPr="00FA2DB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788CE9F5" w14:textId="77777777" w:rsidR="00FA2DBB" w:rsidRPr="00FA2DBB" w:rsidRDefault="00FA2DBB" w:rsidP="00FA2DBB">
            <w:pPr>
              <w:spacing w:before="40" w:after="0"/>
              <w:jc w:val="right"/>
              <w:rPr>
                <w:rFonts w:ascii="Arial" w:hAnsi="Arial" w:cs="Arial"/>
                <w:b/>
                <w:bCs/>
                <w:color w:val="auto"/>
                <w:sz w:val="16"/>
                <w:szCs w:val="16"/>
              </w:rPr>
            </w:pPr>
            <w:r w:rsidRPr="00FA2DBB">
              <w:rPr>
                <w:rFonts w:ascii="Arial" w:hAnsi="Arial" w:cs="Arial"/>
                <w:b/>
                <w:bCs/>
                <w:color w:val="auto"/>
                <w:sz w:val="16"/>
                <w:szCs w:val="16"/>
              </w:rPr>
              <w:t xml:space="preserve">2025–26 </w:t>
            </w:r>
            <w:r w:rsidRPr="00FA2DBB">
              <w:rPr>
                <w:rFonts w:ascii="Arial" w:hAnsi="Arial" w:cs="Arial"/>
                <w:b/>
                <w:bCs/>
                <w:color w:val="auto"/>
                <w:sz w:val="16"/>
                <w:szCs w:val="16"/>
              </w:rPr>
              <w:br/>
            </w:r>
            <w:r w:rsidRPr="00FA2DBB">
              <w:rPr>
                <w:rFonts w:ascii="Arial" w:hAnsi="Arial" w:cs="Arial"/>
                <w:color w:val="auto"/>
                <w:sz w:val="16"/>
                <w:szCs w:val="16"/>
              </w:rPr>
              <w:t>$'000</w:t>
            </w:r>
          </w:p>
        </w:tc>
      </w:tr>
      <w:tr w:rsidR="00FA2DBB" w:rsidRPr="00FA2DBB" w14:paraId="35ADC683" w14:textId="77777777" w:rsidTr="00FA2DBB">
        <w:trPr>
          <w:trHeight w:val="283"/>
          <w:jc w:val="center"/>
        </w:trPr>
        <w:tc>
          <w:tcPr>
            <w:tcW w:w="7420" w:type="dxa"/>
            <w:gridSpan w:val="7"/>
            <w:tcBorders>
              <w:top w:val="nil"/>
              <w:left w:val="nil"/>
              <w:bottom w:val="nil"/>
              <w:right w:val="nil"/>
            </w:tcBorders>
            <w:shd w:val="clear" w:color="auto" w:fill="auto"/>
            <w:noWrap/>
            <w:vAlign w:val="bottom"/>
            <w:hideMark/>
          </w:tcPr>
          <w:p w14:paraId="5F21FB2D" w14:textId="77777777" w:rsidR="00FA2DBB" w:rsidRPr="00FA2DBB" w:rsidRDefault="00FA2DBB" w:rsidP="00FA2DBB">
            <w:pPr>
              <w:spacing w:after="0"/>
              <w:rPr>
                <w:rFonts w:ascii="Arial" w:hAnsi="Arial" w:cs="Arial"/>
                <w:b/>
                <w:bCs/>
                <w:color w:val="auto"/>
                <w:sz w:val="16"/>
                <w:szCs w:val="16"/>
              </w:rPr>
            </w:pPr>
            <w:r w:rsidRPr="00FA2DBB">
              <w:rPr>
                <w:rFonts w:ascii="Arial" w:hAnsi="Arial" w:cs="Arial"/>
                <w:b/>
                <w:bCs/>
                <w:color w:val="auto"/>
                <w:sz w:val="16"/>
                <w:szCs w:val="16"/>
              </w:rPr>
              <w:t xml:space="preserve">Supporting our Hospitals — organ matching and clinical quality registries </w:t>
            </w:r>
            <w:r w:rsidRPr="00FA2DBB">
              <w:rPr>
                <w:rFonts w:ascii="Arial" w:hAnsi="Arial" w:cs="Arial"/>
                <w:b/>
                <w:bCs/>
                <w:color w:val="auto"/>
                <w:sz w:val="16"/>
                <w:szCs w:val="16"/>
                <w:vertAlign w:val="superscript"/>
              </w:rPr>
              <w:t>(a)</w:t>
            </w:r>
          </w:p>
        </w:tc>
      </w:tr>
      <w:tr w:rsidR="00FA2DBB" w:rsidRPr="00FA2DBB" w14:paraId="0EBE9D15" w14:textId="77777777" w:rsidTr="00F4156D">
        <w:trPr>
          <w:trHeight w:val="283"/>
          <w:jc w:val="center"/>
        </w:trPr>
        <w:tc>
          <w:tcPr>
            <w:tcW w:w="2140" w:type="dxa"/>
            <w:tcBorders>
              <w:top w:val="nil"/>
              <w:left w:val="nil"/>
              <w:bottom w:val="nil"/>
              <w:right w:val="nil"/>
            </w:tcBorders>
            <w:shd w:val="clear" w:color="auto" w:fill="auto"/>
            <w:noWrap/>
            <w:tcMar>
              <w:right w:w="57" w:type="dxa"/>
            </w:tcMar>
            <w:vAlign w:val="bottom"/>
            <w:hideMark/>
          </w:tcPr>
          <w:p w14:paraId="66A56F45" w14:textId="77777777" w:rsidR="00FA2DBB" w:rsidRPr="00FA2DBB" w:rsidRDefault="00FA2DBB" w:rsidP="00FA2DBB">
            <w:pPr>
              <w:spacing w:after="0"/>
              <w:rPr>
                <w:rFonts w:ascii="Arial" w:hAnsi="Arial" w:cs="Arial"/>
                <w:color w:val="auto"/>
                <w:sz w:val="16"/>
                <w:szCs w:val="16"/>
              </w:rPr>
            </w:pPr>
            <w:r w:rsidRPr="00FA2DBB">
              <w:rPr>
                <w:rFonts w:ascii="Arial" w:hAnsi="Arial" w:cs="Arial"/>
                <w:color w:val="auto"/>
                <w:sz w:val="16"/>
                <w:szCs w:val="16"/>
              </w:rPr>
              <w:t>Organ and Tissue Authority</w:t>
            </w:r>
          </w:p>
        </w:tc>
        <w:tc>
          <w:tcPr>
            <w:tcW w:w="880" w:type="dxa"/>
            <w:tcBorders>
              <w:top w:val="nil"/>
              <w:left w:val="nil"/>
              <w:bottom w:val="nil"/>
              <w:right w:val="nil"/>
            </w:tcBorders>
            <w:shd w:val="clear" w:color="auto" w:fill="auto"/>
            <w:noWrap/>
            <w:vAlign w:val="bottom"/>
            <w:hideMark/>
          </w:tcPr>
          <w:p w14:paraId="73AAA88B" w14:textId="77777777" w:rsidR="00FA2DBB" w:rsidRPr="00FA2DBB" w:rsidRDefault="00FA2DBB" w:rsidP="00FA2DBB">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510CDB6" w14:textId="77777777" w:rsidR="00FA2DBB" w:rsidRPr="00FA2DBB" w:rsidRDefault="00FA2DBB" w:rsidP="00FA2DBB">
            <w:pPr>
              <w:spacing w:after="0"/>
              <w:rPr>
                <w:rFonts w:ascii="Times New Roman" w:hAnsi="Times New Roman"/>
                <w:color w:val="auto"/>
              </w:rPr>
            </w:pPr>
          </w:p>
        </w:tc>
        <w:tc>
          <w:tcPr>
            <w:tcW w:w="880" w:type="dxa"/>
            <w:tcBorders>
              <w:top w:val="nil"/>
              <w:left w:val="nil"/>
              <w:bottom w:val="nil"/>
              <w:right w:val="nil"/>
            </w:tcBorders>
            <w:shd w:val="clear" w:color="000000" w:fill="D9D9D9"/>
            <w:noWrap/>
            <w:vAlign w:val="bottom"/>
            <w:hideMark/>
          </w:tcPr>
          <w:p w14:paraId="20B0AAA4" w14:textId="77777777" w:rsidR="00FA2DBB" w:rsidRPr="00FA2DBB" w:rsidRDefault="00FA2DBB" w:rsidP="00FA2DBB">
            <w:pPr>
              <w:spacing w:after="0"/>
              <w:rPr>
                <w:rFonts w:ascii="Arial" w:hAnsi="Arial" w:cs="Arial"/>
                <w:b/>
                <w:bCs/>
                <w:color w:val="auto"/>
                <w:sz w:val="16"/>
                <w:szCs w:val="16"/>
              </w:rPr>
            </w:pPr>
            <w:r w:rsidRPr="00FA2DBB">
              <w:rPr>
                <w:rFonts w:ascii="Arial" w:hAnsi="Arial" w:cs="Arial"/>
                <w:b/>
                <w:bCs/>
                <w:color w:val="auto"/>
                <w:sz w:val="16"/>
                <w:szCs w:val="16"/>
              </w:rPr>
              <w:t> </w:t>
            </w:r>
          </w:p>
        </w:tc>
        <w:tc>
          <w:tcPr>
            <w:tcW w:w="880" w:type="dxa"/>
            <w:tcBorders>
              <w:top w:val="nil"/>
              <w:left w:val="nil"/>
              <w:bottom w:val="nil"/>
              <w:right w:val="nil"/>
            </w:tcBorders>
            <w:shd w:val="clear" w:color="auto" w:fill="auto"/>
            <w:noWrap/>
            <w:vAlign w:val="bottom"/>
            <w:hideMark/>
          </w:tcPr>
          <w:p w14:paraId="348F223B" w14:textId="77777777" w:rsidR="00FA2DBB" w:rsidRPr="00FA2DBB" w:rsidRDefault="00FA2DBB" w:rsidP="00FA2DBB">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7221044D" w14:textId="77777777" w:rsidR="00FA2DBB" w:rsidRPr="00FA2DBB" w:rsidRDefault="00FA2DBB" w:rsidP="00FA2DBB">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7AEFA20" w14:textId="77777777" w:rsidR="00FA2DBB" w:rsidRPr="00FA2DBB" w:rsidRDefault="00FA2DBB" w:rsidP="00FA2DBB">
            <w:pPr>
              <w:spacing w:after="0"/>
              <w:rPr>
                <w:rFonts w:ascii="Times New Roman" w:hAnsi="Times New Roman"/>
                <w:color w:val="auto"/>
              </w:rPr>
            </w:pPr>
          </w:p>
        </w:tc>
      </w:tr>
      <w:tr w:rsidR="00FA2DBB" w:rsidRPr="00FA2DBB" w14:paraId="6B3999B2" w14:textId="77777777" w:rsidTr="00F4156D">
        <w:trPr>
          <w:trHeight w:val="227"/>
          <w:jc w:val="center"/>
        </w:trPr>
        <w:tc>
          <w:tcPr>
            <w:tcW w:w="2140" w:type="dxa"/>
            <w:tcBorders>
              <w:top w:val="nil"/>
              <w:left w:val="nil"/>
              <w:bottom w:val="nil"/>
              <w:right w:val="nil"/>
            </w:tcBorders>
            <w:shd w:val="clear" w:color="auto" w:fill="auto"/>
            <w:noWrap/>
            <w:vAlign w:val="bottom"/>
            <w:hideMark/>
          </w:tcPr>
          <w:p w14:paraId="419CE10E" w14:textId="77777777" w:rsidR="00FA2DBB" w:rsidRPr="00FA2DBB" w:rsidRDefault="00FA2DBB" w:rsidP="00FA2DBB">
            <w:pPr>
              <w:spacing w:after="0"/>
              <w:ind w:firstLineChars="100" w:firstLine="160"/>
              <w:rPr>
                <w:rFonts w:ascii="Arial" w:hAnsi="Arial" w:cs="Arial"/>
                <w:color w:val="auto"/>
                <w:sz w:val="16"/>
                <w:szCs w:val="16"/>
              </w:rPr>
            </w:pPr>
            <w:r w:rsidRPr="00FA2DBB">
              <w:rPr>
                <w:rFonts w:ascii="Arial" w:hAnsi="Arial" w:cs="Arial"/>
                <w:color w:val="auto"/>
                <w:sz w:val="16"/>
                <w:szCs w:val="16"/>
              </w:rPr>
              <w:t>Administered payments</w:t>
            </w:r>
          </w:p>
        </w:tc>
        <w:tc>
          <w:tcPr>
            <w:tcW w:w="880" w:type="dxa"/>
            <w:tcBorders>
              <w:top w:val="nil"/>
              <w:left w:val="nil"/>
              <w:bottom w:val="nil"/>
              <w:right w:val="nil"/>
            </w:tcBorders>
            <w:shd w:val="clear" w:color="auto" w:fill="auto"/>
            <w:noWrap/>
            <w:vAlign w:val="bottom"/>
            <w:hideMark/>
          </w:tcPr>
          <w:p w14:paraId="3A72B94B"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5E3B389A"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20F75B4A"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C75FC93"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567734F"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CBF8AB8"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r>
      <w:tr w:rsidR="00FA2DBB" w:rsidRPr="00FA2DBB" w14:paraId="31E4DCEB" w14:textId="77777777" w:rsidTr="00F4156D">
        <w:trPr>
          <w:trHeight w:val="227"/>
          <w:jc w:val="center"/>
        </w:trPr>
        <w:tc>
          <w:tcPr>
            <w:tcW w:w="2140" w:type="dxa"/>
            <w:tcBorders>
              <w:top w:val="nil"/>
              <w:left w:val="nil"/>
              <w:bottom w:val="nil"/>
              <w:right w:val="nil"/>
            </w:tcBorders>
            <w:shd w:val="clear" w:color="auto" w:fill="auto"/>
            <w:noWrap/>
            <w:vAlign w:val="bottom"/>
            <w:hideMark/>
          </w:tcPr>
          <w:p w14:paraId="1BCA2E3D" w14:textId="77777777" w:rsidR="00FA2DBB" w:rsidRPr="00FA2DBB" w:rsidRDefault="00FA2DBB" w:rsidP="00FA2DBB">
            <w:pPr>
              <w:spacing w:after="0"/>
              <w:ind w:firstLineChars="100" w:firstLine="160"/>
              <w:rPr>
                <w:rFonts w:ascii="Arial" w:hAnsi="Arial" w:cs="Arial"/>
                <w:color w:val="auto"/>
                <w:sz w:val="16"/>
                <w:szCs w:val="16"/>
              </w:rPr>
            </w:pPr>
            <w:r w:rsidRPr="00FA2DBB">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65C9548" w14:textId="77777777" w:rsidR="00FA2DBB" w:rsidRPr="00FA2DBB" w:rsidRDefault="00FA2DBB" w:rsidP="00FA2DBB">
            <w:pPr>
              <w:spacing w:after="0"/>
              <w:ind w:firstLineChars="100" w:firstLine="16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18D7AAB3"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24BC49B4"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6644C77"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30D65569"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2997715E" w14:textId="77777777" w:rsidR="00FA2DBB" w:rsidRPr="00FA2DBB" w:rsidRDefault="00FA2DBB" w:rsidP="00FA2DBB">
            <w:pPr>
              <w:spacing w:after="0"/>
              <w:jc w:val="right"/>
              <w:rPr>
                <w:rFonts w:ascii="Arial" w:hAnsi="Arial" w:cs="Arial"/>
                <w:color w:val="auto"/>
                <w:sz w:val="16"/>
                <w:szCs w:val="16"/>
              </w:rPr>
            </w:pPr>
            <w:r w:rsidRPr="00FA2DBB">
              <w:rPr>
                <w:rFonts w:ascii="Arial" w:hAnsi="Arial" w:cs="Arial"/>
                <w:color w:val="auto"/>
                <w:sz w:val="16"/>
                <w:szCs w:val="16"/>
              </w:rPr>
              <w:t>-</w:t>
            </w:r>
          </w:p>
        </w:tc>
      </w:tr>
      <w:tr w:rsidR="00FA2DBB" w:rsidRPr="00FA2DBB" w14:paraId="60282611" w14:textId="77777777" w:rsidTr="00FA2DBB">
        <w:trPr>
          <w:trHeight w:val="283"/>
          <w:jc w:val="center"/>
        </w:trPr>
        <w:tc>
          <w:tcPr>
            <w:tcW w:w="2140" w:type="dxa"/>
            <w:tcBorders>
              <w:top w:val="nil"/>
              <w:left w:val="nil"/>
              <w:bottom w:val="single" w:sz="4" w:space="0" w:color="auto"/>
              <w:right w:val="nil"/>
            </w:tcBorders>
            <w:shd w:val="clear" w:color="auto" w:fill="auto"/>
            <w:noWrap/>
            <w:vAlign w:val="bottom"/>
            <w:hideMark/>
          </w:tcPr>
          <w:p w14:paraId="33FBFEEF" w14:textId="77777777" w:rsidR="00FA2DBB" w:rsidRPr="00FA2DBB" w:rsidRDefault="00FA2DBB" w:rsidP="00FA2DBB">
            <w:pPr>
              <w:spacing w:after="0"/>
              <w:rPr>
                <w:rFonts w:ascii="Arial" w:hAnsi="Arial" w:cs="Arial"/>
                <w:b/>
                <w:bCs/>
                <w:color w:val="auto"/>
                <w:sz w:val="16"/>
                <w:szCs w:val="16"/>
              </w:rPr>
            </w:pPr>
            <w:r w:rsidRPr="00FA2DBB">
              <w:rPr>
                <w:rFonts w:ascii="Arial" w:hAnsi="Arial" w:cs="Arial"/>
                <w:b/>
                <w:bCs/>
                <w:color w:val="auto"/>
                <w:sz w:val="16"/>
                <w:szCs w:val="16"/>
              </w:rPr>
              <w:t xml:space="preserve">Total </w:t>
            </w:r>
          </w:p>
        </w:tc>
        <w:tc>
          <w:tcPr>
            <w:tcW w:w="880" w:type="dxa"/>
            <w:tcBorders>
              <w:top w:val="nil"/>
              <w:left w:val="nil"/>
              <w:bottom w:val="single" w:sz="4" w:space="0" w:color="auto"/>
              <w:right w:val="nil"/>
            </w:tcBorders>
            <w:shd w:val="clear" w:color="auto" w:fill="auto"/>
            <w:noWrap/>
            <w:vAlign w:val="bottom"/>
            <w:hideMark/>
          </w:tcPr>
          <w:p w14:paraId="656FEF50"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123CBDC3"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3F489252"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5E221B45"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5D7D0AD8"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115E613" w14:textId="77777777" w:rsidR="00FA2DBB" w:rsidRPr="00FA2DBB" w:rsidRDefault="00FA2DBB" w:rsidP="00FA2DBB">
            <w:pPr>
              <w:spacing w:after="0"/>
              <w:jc w:val="right"/>
              <w:rPr>
                <w:rFonts w:ascii="Arial" w:hAnsi="Arial" w:cs="Arial"/>
                <w:b/>
                <w:bCs/>
                <w:color w:val="auto"/>
                <w:sz w:val="16"/>
                <w:szCs w:val="16"/>
              </w:rPr>
            </w:pPr>
            <w:r w:rsidRPr="00FA2DBB">
              <w:rPr>
                <w:rFonts w:ascii="Arial" w:hAnsi="Arial" w:cs="Arial"/>
                <w:b/>
                <w:bCs/>
                <w:color w:val="auto"/>
                <w:sz w:val="16"/>
                <w:szCs w:val="16"/>
              </w:rPr>
              <w:t>-</w:t>
            </w:r>
          </w:p>
        </w:tc>
      </w:tr>
    </w:tbl>
    <w:p w14:paraId="42CC4195" w14:textId="596D6642" w:rsidR="00FA2DBB" w:rsidRPr="00EE76CA" w:rsidRDefault="009A3D76" w:rsidP="009A3D76">
      <w:pPr>
        <w:pStyle w:val="FootnoteText"/>
        <w:spacing w:before="120"/>
        <w:sectPr w:rsidR="00FA2DBB" w:rsidRPr="00EE76CA"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r w:rsidRPr="009A3D76">
        <w:rPr>
          <w:vertAlign w:val="superscript"/>
        </w:rPr>
        <w:t>(a)</w:t>
      </w:r>
      <w:r>
        <w:tab/>
      </w:r>
      <w:r w:rsidRPr="009A3D76">
        <w:t>Funding for this measure has already been provided for by the Government. OTA is not the lead entity for this measure. Full details of this measure are published under Table 1.2: Department of Health</w:t>
      </w:r>
      <w:r>
        <w:t xml:space="preserve"> 2022–23 Budget Measures. </w:t>
      </w:r>
      <w:r>
        <w:br/>
      </w:r>
    </w:p>
    <w:p w14:paraId="1FCBCC02" w14:textId="77777777" w:rsidR="0024539A" w:rsidRPr="00EE76CA" w:rsidRDefault="0024539A" w:rsidP="00BC0659">
      <w:pPr>
        <w:pStyle w:val="Heading2"/>
        <w:rPr>
          <w:color w:val="000000" w:themeColor="text1"/>
        </w:rPr>
      </w:pPr>
      <w:bookmarkStart w:id="5" w:name="_Toc71465361"/>
      <w:r w:rsidRPr="00EE76CA">
        <w:rPr>
          <w:color w:val="000000" w:themeColor="text1"/>
        </w:rPr>
        <w:lastRenderedPageBreak/>
        <w:t>Section 2: Outcomes and Planned Performance</w:t>
      </w:r>
      <w:bookmarkEnd w:id="5"/>
    </w:p>
    <w:p w14:paraId="685E2BA3" w14:textId="7CB720E9" w:rsidR="0024539A" w:rsidRPr="00EE76CA" w:rsidRDefault="0024539A" w:rsidP="0024539A">
      <w:pPr>
        <w:rPr>
          <w:color w:val="000000" w:themeColor="text1"/>
        </w:rPr>
      </w:pPr>
      <w:r w:rsidRPr="00EE76CA">
        <w:rPr>
          <w:color w:val="000000" w:themeColor="text1"/>
        </w:rPr>
        <w:t>Government outcomes are the intended results, impacts or consequences of actions by the Government on the Australian community. Commonwealth programs ar</w:t>
      </w:r>
      <w:r w:rsidR="009144D3">
        <w:rPr>
          <w:color w:val="000000" w:themeColor="text1"/>
        </w:rPr>
        <w:t>e the primary vehicle by which g</w:t>
      </w:r>
      <w:r w:rsidRPr="00EE76CA">
        <w:rPr>
          <w:color w:val="000000" w:themeColor="text1"/>
        </w:rPr>
        <w:t>overnment entities achieve the intended results of their outcome statements. Entities are required to identify t</w:t>
      </w:r>
      <w:r w:rsidR="009144D3">
        <w:rPr>
          <w:color w:val="000000" w:themeColor="text1"/>
        </w:rPr>
        <w:t>he programs that contribute to g</w:t>
      </w:r>
      <w:r w:rsidRPr="00EE76CA">
        <w:rPr>
          <w:color w:val="000000" w:themeColor="text1"/>
        </w:rPr>
        <w:t>overnment outcomes over the Budget and forward years.</w:t>
      </w:r>
    </w:p>
    <w:p w14:paraId="7FBCEDEB" w14:textId="77777777" w:rsidR="0024539A" w:rsidRPr="00EE76CA" w:rsidRDefault="0024539A" w:rsidP="0024539A">
      <w:pPr>
        <w:rPr>
          <w:color w:val="000000" w:themeColor="text1"/>
        </w:rPr>
      </w:pPr>
      <w:r w:rsidRPr="00EE76CA">
        <w:rPr>
          <w:color w:val="000000" w:themeColor="text1"/>
        </w:rPr>
        <w:t>Each outcome is described within this section, together with its related programs. The following provides detailed information on expenses for each outcome and program, further broken down by funding source.</w:t>
      </w:r>
    </w:p>
    <w:p w14:paraId="0E004B2F" w14:textId="77777777" w:rsidR="00871062" w:rsidRPr="00EE76CA" w:rsidRDefault="00871062" w:rsidP="008C5D8B">
      <w:pPr>
        <w:pBdr>
          <w:top w:val="single" w:sz="4" w:space="2" w:color="auto"/>
          <w:left w:val="single" w:sz="4" w:space="4" w:color="auto"/>
          <w:bottom w:val="single" w:sz="4" w:space="2" w:color="auto"/>
          <w:right w:val="single" w:sz="4" w:space="4" w:color="auto"/>
        </w:pBdr>
        <w:rPr>
          <w:rFonts w:ascii="Arial" w:hAnsi="Arial" w:cs="Arial"/>
          <w:b/>
          <w:color w:val="000000" w:themeColor="text1"/>
        </w:rPr>
      </w:pPr>
      <w:r w:rsidRPr="00EE76CA">
        <w:rPr>
          <w:rFonts w:ascii="Arial" w:hAnsi="Arial" w:cs="Arial"/>
          <w:b/>
          <w:color w:val="000000" w:themeColor="text1"/>
        </w:rPr>
        <w:t>Note:</w:t>
      </w:r>
    </w:p>
    <w:p w14:paraId="3C50F276" w14:textId="171A08C5" w:rsidR="00871062" w:rsidRPr="00EE76CA" w:rsidRDefault="00871062" w:rsidP="008C5D8B">
      <w:pPr>
        <w:pBdr>
          <w:top w:val="single" w:sz="4" w:space="2" w:color="auto"/>
          <w:left w:val="single" w:sz="4" w:space="4" w:color="auto"/>
          <w:bottom w:val="single" w:sz="4" w:space="2" w:color="auto"/>
          <w:right w:val="single" w:sz="4" w:space="4" w:color="auto"/>
        </w:pBdr>
        <w:rPr>
          <w:color w:val="000000" w:themeColor="text1"/>
        </w:rPr>
      </w:pPr>
      <w:r w:rsidRPr="00EE76CA">
        <w:rPr>
          <w:color w:val="000000" w:themeColor="text1"/>
        </w:rPr>
        <w:t>Performance reporting requirements in the Portfolio Budget Statement</w:t>
      </w:r>
      <w:r w:rsidR="000B033D" w:rsidRPr="00EE76CA">
        <w:rPr>
          <w:color w:val="000000" w:themeColor="text1"/>
        </w:rPr>
        <w:t>s are part of the Commonwealth Performance F</w:t>
      </w:r>
      <w:r w:rsidRPr="00EE76CA">
        <w:rPr>
          <w:color w:val="000000" w:themeColor="text1"/>
        </w:rPr>
        <w:t xml:space="preserve">ramework established by the </w:t>
      </w:r>
      <w:r w:rsidRPr="00EE76CA">
        <w:rPr>
          <w:i/>
          <w:color w:val="000000" w:themeColor="text1"/>
        </w:rPr>
        <w:t>Public Governance, Performance and Accountability Act 2013</w:t>
      </w:r>
      <w:r w:rsidRPr="00EE76CA">
        <w:rPr>
          <w:color w:val="000000" w:themeColor="text1"/>
        </w:rPr>
        <w:t>. It is anticipated that the performance measures described in Portfolio Budget Statements will be read with broader information provide</w:t>
      </w:r>
      <w:r w:rsidR="00E1572A">
        <w:rPr>
          <w:color w:val="000000" w:themeColor="text1"/>
        </w:rPr>
        <w:t>d in an entity’s Corporate Plan</w:t>
      </w:r>
      <w:r w:rsidRPr="00EE76CA">
        <w:rPr>
          <w:color w:val="000000" w:themeColor="text1"/>
        </w:rPr>
        <w:t xml:space="preserve"> a</w:t>
      </w:r>
      <w:r w:rsidR="00E1572A">
        <w:rPr>
          <w:color w:val="000000" w:themeColor="text1"/>
        </w:rPr>
        <w:t>nd Annual Performance Statement</w:t>
      </w:r>
      <w:r w:rsidRPr="00EE76CA">
        <w:rPr>
          <w:color w:val="000000" w:themeColor="text1"/>
        </w:rPr>
        <w:t xml:space="preserve"> – included in Annual Reports – to provide an entity’s complete performance story.</w:t>
      </w:r>
    </w:p>
    <w:p w14:paraId="08726F0A" w14:textId="0C78642B" w:rsidR="00871062" w:rsidRPr="00EE76CA" w:rsidRDefault="00871062" w:rsidP="008C5D8B">
      <w:pPr>
        <w:pBdr>
          <w:top w:val="single" w:sz="4" w:space="2" w:color="auto"/>
          <w:left w:val="single" w:sz="4" w:space="4" w:color="auto"/>
          <w:bottom w:val="single" w:sz="4" w:space="2" w:color="auto"/>
          <w:right w:val="single" w:sz="4" w:space="4" w:color="auto"/>
        </w:pBdr>
        <w:rPr>
          <w:color w:val="000000" w:themeColor="text1"/>
        </w:rPr>
      </w:pPr>
      <w:r w:rsidRPr="00EE76CA">
        <w:rPr>
          <w:color w:val="000000" w:themeColor="text1"/>
        </w:rPr>
        <w:t>The OT</w:t>
      </w:r>
      <w:r w:rsidR="0032224D" w:rsidRPr="00EE76CA">
        <w:rPr>
          <w:color w:val="000000" w:themeColor="text1"/>
        </w:rPr>
        <w:t>A</w:t>
      </w:r>
      <w:r w:rsidRPr="00EE76CA">
        <w:rPr>
          <w:color w:val="000000" w:themeColor="text1"/>
        </w:rPr>
        <w:t xml:space="preserve">’s most recent Corporate Plan </w:t>
      </w:r>
      <w:r w:rsidR="0032224D" w:rsidRPr="00EE76CA">
        <w:rPr>
          <w:color w:val="000000" w:themeColor="text1"/>
        </w:rPr>
        <w:t xml:space="preserve">and Annual Performance </w:t>
      </w:r>
      <w:r w:rsidR="007E5B8B" w:rsidRPr="00EE76CA">
        <w:rPr>
          <w:color w:val="000000" w:themeColor="text1"/>
        </w:rPr>
        <w:t xml:space="preserve">Statement are </w:t>
      </w:r>
      <w:r w:rsidRPr="00EE76CA">
        <w:rPr>
          <w:color w:val="000000" w:themeColor="text1"/>
        </w:rPr>
        <w:t>available at: www.donatelife.gov.au/about-us/strategy-and-performance</w:t>
      </w:r>
      <w:r w:rsidR="00295539" w:rsidRPr="00295539">
        <w:t xml:space="preserve"> </w:t>
      </w:r>
    </w:p>
    <w:p w14:paraId="78F0F957" w14:textId="77777777" w:rsidR="00BC0659" w:rsidRPr="00EE76CA" w:rsidRDefault="00BC0659" w:rsidP="00BC0659">
      <w:pPr>
        <w:pStyle w:val="Heading3"/>
        <w:rPr>
          <w:color w:val="000000" w:themeColor="text1"/>
        </w:rPr>
      </w:pPr>
      <w:bookmarkStart w:id="6" w:name="_Toc71465362"/>
      <w:r w:rsidRPr="00EE76CA">
        <w:rPr>
          <w:color w:val="000000" w:themeColor="text1"/>
        </w:rPr>
        <w:t>2.1</w:t>
      </w:r>
      <w:r w:rsidRPr="00EE76CA">
        <w:rPr>
          <w:color w:val="000000" w:themeColor="text1"/>
        </w:rPr>
        <w:tab/>
        <w:t>Budgeted Expenses and Performance</w:t>
      </w:r>
      <w:bookmarkEnd w:id="6"/>
    </w:p>
    <w:p w14:paraId="3E7B3AA7" w14:textId="77777777" w:rsidR="00CF3C53" w:rsidRDefault="00BC0659" w:rsidP="00CF3C53">
      <w:pPr>
        <w:pStyle w:val="OutcomeStatement"/>
        <w:spacing w:before="120" w:after="120"/>
        <w:rPr>
          <w:b/>
          <w:color w:val="000000" w:themeColor="text1"/>
          <w:sz w:val="22"/>
        </w:rPr>
      </w:pPr>
      <w:r w:rsidRPr="00EE76CA">
        <w:rPr>
          <w:b/>
          <w:color w:val="000000" w:themeColor="text1"/>
          <w:sz w:val="22"/>
        </w:rPr>
        <w:t>Outcome 1</w:t>
      </w:r>
    </w:p>
    <w:p w14:paraId="76418E75" w14:textId="3BBC3648" w:rsidR="00CF2E99" w:rsidRPr="00CF3C53" w:rsidRDefault="00CF2E99" w:rsidP="00CF3C53">
      <w:pPr>
        <w:pStyle w:val="OutcomeStatement"/>
        <w:spacing w:before="120" w:after="120"/>
        <w:rPr>
          <w:b/>
          <w:color w:val="000000" w:themeColor="text1"/>
          <w:sz w:val="22"/>
        </w:rPr>
      </w:pPr>
      <w:r w:rsidRPr="00EE76CA">
        <w:rPr>
          <w:color w:val="000000" w:themeColor="text1"/>
        </w:rPr>
        <w:t>Improved access to organ and tissue transplants, including through a nationally coordinated and consistent approach and system</w:t>
      </w:r>
      <w:r w:rsidR="00295539" w:rsidRPr="00295539">
        <w:t xml:space="preserve"> </w:t>
      </w:r>
    </w:p>
    <w:p w14:paraId="4C032407" w14:textId="77777777" w:rsidR="00BC0659" w:rsidRPr="00EE76CA" w:rsidRDefault="00BC0659" w:rsidP="00BC0659">
      <w:pPr>
        <w:pStyle w:val="Heading4"/>
        <w:rPr>
          <w:color w:val="000000" w:themeColor="text1"/>
        </w:rPr>
      </w:pPr>
      <w:r w:rsidRPr="00EE76CA">
        <w:rPr>
          <w:color w:val="000000" w:themeColor="text1"/>
        </w:rPr>
        <w:t>Program Contributing to Outcome 1</w:t>
      </w:r>
    </w:p>
    <w:p w14:paraId="2F89EE65" w14:textId="346D3183" w:rsidR="00CF2E99" w:rsidRPr="00EE76CA" w:rsidRDefault="00BC0659" w:rsidP="00DC4CA3">
      <w:pPr>
        <w:widowControl w:val="0"/>
        <w:pBdr>
          <w:top w:val="single" w:sz="4" w:space="2" w:color="auto"/>
          <w:left w:val="single" w:sz="4" w:space="4" w:color="auto"/>
          <w:bottom w:val="single" w:sz="4" w:space="2" w:color="auto"/>
          <w:right w:val="single" w:sz="4" w:space="4" w:color="auto"/>
        </w:pBdr>
        <w:tabs>
          <w:tab w:val="left" w:pos="0"/>
        </w:tabs>
        <w:spacing w:after="0"/>
        <w:ind w:left="1440" w:hanging="1440"/>
        <w:rPr>
          <w:rFonts w:ascii="Arial" w:hAnsi="Arial" w:cs="Arial"/>
          <w:b/>
          <w:color w:val="000000" w:themeColor="text1"/>
          <w:sz w:val="18"/>
          <w:szCs w:val="18"/>
        </w:rPr>
      </w:pPr>
      <w:r w:rsidRPr="00EE76CA">
        <w:rPr>
          <w:rFonts w:ascii="Arial" w:hAnsi="Arial" w:cs="Arial"/>
          <w:b/>
          <w:color w:val="000000" w:themeColor="text1"/>
          <w:sz w:val="18"/>
          <w:szCs w:val="18"/>
        </w:rPr>
        <w:t>Program 1.1:</w:t>
      </w:r>
      <w:r w:rsidRPr="00EE76CA">
        <w:rPr>
          <w:rFonts w:ascii="Arial" w:hAnsi="Arial" w:cs="Arial"/>
          <w:b/>
          <w:color w:val="000000" w:themeColor="text1"/>
          <w:sz w:val="18"/>
          <w:szCs w:val="18"/>
        </w:rPr>
        <w:tab/>
      </w:r>
      <w:r w:rsidR="00CF2E99" w:rsidRPr="00EE76CA">
        <w:rPr>
          <w:rFonts w:ascii="Arial" w:hAnsi="Arial" w:cs="Arial"/>
          <w:b/>
          <w:color w:val="000000" w:themeColor="text1"/>
          <w:sz w:val="18"/>
          <w:szCs w:val="18"/>
        </w:rPr>
        <w:t>A Nationally Coordinated System for Organ and Tissue Donation for Transplantation</w:t>
      </w:r>
      <w:r w:rsidR="00295539" w:rsidRPr="00295539">
        <w:rPr>
          <w:rFonts w:ascii="Arial" w:hAnsi="Arial" w:cs="Arial"/>
          <w:b/>
          <w:sz w:val="18"/>
          <w:szCs w:val="18"/>
        </w:rPr>
        <w:t xml:space="preserve"> </w:t>
      </w:r>
    </w:p>
    <w:p w14:paraId="598B67F7" w14:textId="4A571F31" w:rsidR="00B87B5E" w:rsidRDefault="00BC0659" w:rsidP="005C0161">
      <w:pPr>
        <w:pStyle w:val="Heading4"/>
        <w:pageBreakBefore/>
        <w:rPr>
          <w:color w:val="000000" w:themeColor="text1"/>
        </w:rPr>
      </w:pPr>
      <w:r w:rsidRPr="00EE76CA">
        <w:rPr>
          <w:color w:val="000000" w:themeColor="text1"/>
        </w:rPr>
        <w:lastRenderedPageBreak/>
        <w:t>Linked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EE76CA" w:rsidRPr="00EE76CA" w14:paraId="768F8F12" w14:textId="77777777" w:rsidTr="0052128F">
        <w:trPr>
          <w:tblHeader/>
          <w:jc w:val="center"/>
        </w:trPr>
        <w:tc>
          <w:tcPr>
            <w:tcW w:w="5000" w:type="pct"/>
            <w:shd w:val="clear" w:color="auto" w:fill="D9D9D9" w:themeFill="background1" w:themeFillShade="D9"/>
          </w:tcPr>
          <w:p w14:paraId="54204F50" w14:textId="77777777" w:rsidR="00BC0659" w:rsidRPr="00EE76CA" w:rsidRDefault="00BC0659" w:rsidP="0052128F">
            <w:pPr>
              <w:pStyle w:val="Tableheadingrow9pt"/>
              <w:rPr>
                <w:color w:val="000000" w:themeColor="text1"/>
              </w:rPr>
            </w:pPr>
            <w:r w:rsidRPr="00EE76CA">
              <w:rPr>
                <w:color w:val="000000" w:themeColor="text1"/>
              </w:rPr>
              <w:t>Other Commonwealth entities that contribute to Outcome 1</w:t>
            </w:r>
          </w:p>
        </w:tc>
      </w:tr>
      <w:tr w:rsidR="00EE76CA" w:rsidRPr="00EE76CA" w14:paraId="3C032B83" w14:textId="77777777" w:rsidTr="0052128F">
        <w:trPr>
          <w:jc w:val="center"/>
        </w:trPr>
        <w:tc>
          <w:tcPr>
            <w:tcW w:w="5000" w:type="pct"/>
          </w:tcPr>
          <w:p w14:paraId="7C708BAA" w14:textId="77777777" w:rsidR="00CF2E99" w:rsidRPr="00EE76CA" w:rsidRDefault="00CF2E99" w:rsidP="00CF2E99">
            <w:pPr>
              <w:pStyle w:val="Tableheadingrow9pt"/>
              <w:rPr>
                <w:color w:val="000000" w:themeColor="text1"/>
              </w:rPr>
            </w:pPr>
            <w:r w:rsidRPr="00EE76CA">
              <w:rPr>
                <w:color w:val="000000" w:themeColor="text1"/>
              </w:rPr>
              <w:t>Department of Health (Health)</w:t>
            </w:r>
          </w:p>
          <w:p w14:paraId="04AAE8C8" w14:textId="03669F1D" w:rsidR="00CF2E99" w:rsidRPr="00EE76CA" w:rsidRDefault="00CF2E99" w:rsidP="00CF2E99">
            <w:pPr>
              <w:pStyle w:val="Tableheadingrow9pt"/>
              <w:rPr>
                <w:color w:val="000000" w:themeColor="text1"/>
              </w:rPr>
            </w:pPr>
            <w:r w:rsidRPr="00EE76CA">
              <w:rPr>
                <w:color w:val="000000" w:themeColor="text1"/>
              </w:rPr>
              <w:t xml:space="preserve">Program 1.1: Health </w:t>
            </w:r>
            <w:r w:rsidR="006D6502" w:rsidRPr="00EE76CA">
              <w:rPr>
                <w:color w:val="000000" w:themeColor="text1"/>
              </w:rPr>
              <w:t>Research, Coordination and Access</w:t>
            </w:r>
          </w:p>
          <w:p w14:paraId="2BB0E30D" w14:textId="79E4B205" w:rsidR="00334111" w:rsidRPr="00EE76CA" w:rsidRDefault="00CF2E99" w:rsidP="00CF2E99">
            <w:pPr>
              <w:pStyle w:val="Tabletextnormal9pt"/>
              <w:rPr>
                <w:color w:val="000000" w:themeColor="text1"/>
              </w:rPr>
            </w:pPr>
            <w:r w:rsidRPr="00EE76CA">
              <w:rPr>
                <w:color w:val="000000" w:themeColor="text1"/>
              </w:rPr>
              <w:t>Health has policy responsibility for organ and tissue donation for transplantation, including the Australian Organ Donor Register</w:t>
            </w:r>
            <w:r w:rsidR="00E26AB1">
              <w:rPr>
                <w:color w:val="000000" w:themeColor="text1"/>
              </w:rPr>
              <w:t>,</w:t>
            </w:r>
            <w:r w:rsidRPr="00EE76CA">
              <w:rPr>
                <w:color w:val="000000" w:themeColor="text1"/>
              </w:rPr>
              <w:t xml:space="preserve"> administration of the Supporting Living Organ Donors Program</w:t>
            </w:r>
            <w:r w:rsidR="00773FAE">
              <w:rPr>
                <w:color w:val="000000" w:themeColor="text1"/>
              </w:rPr>
              <w:t>,</w:t>
            </w:r>
            <w:r w:rsidRPr="00EE76CA">
              <w:rPr>
                <w:color w:val="000000" w:themeColor="text1"/>
              </w:rPr>
              <w:t xml:space="preserve"> </w:t>
            </w:r>
            <w:r w:rsidR="00A956F7">
              <w:rPr>
                <w:color w:val="000000" w:themeColor="text1"/>
              </w:rPr>
              <w:t xml:space="preserve">and </w:t>
            </w:r>
            <w:r w:rsidRPr="00EE76CA">
              <w:rPr>
                <w:color w:val="000000" w:themeColor="text1"/>
              </w:rPr>
              <w:t>national approaches around access to organ donation and transplantation servi</w:t>
            </w:r>
            <w:r w:rsidR="00A956F7">
              <w:rPr>
                <w:color w:val="000000" w:themeColor="text1"/>
              </w:rPr>
              <w:t>ces</w:t>
            </w:r>
            <w:r w:rsidRPr="00EE76CA">
              <w:rPr>
                <w:color w:val="000000" w:themeColor="text1"/>
              </w:rPr>
              <w:t>.</w:t>
            </w:r>
          </w:p>
        </w:tc>
      </w:tr>
      <w:tr w:rsidR="00EE76CA" w:rsidRPr="00EE76CA" w14:paraId="597F59D0" w14:textId="77777777" w:rsidTr="0052128F">
        <w:trPr>
          <w:jc w:val="center"/>
        </w:trPr>
        <w:tc>
          <w:tcPr>
            <w:tcW w:w="5000" w:type="pct"/>
          </w:tcPr>
          <w:p w14:paraId="60A9067F" w14:textId="77777777" w:rsidR="00CF2E99" w:rsidRPr="00EE76CA" w:rsidRDefault="00CF2E99" w:rsidP="00CF2E99">
            <w:pPr>
              <w:pStyle w:val="Tableheadingrow9pt"/>
              <w:rPr>
                <w:color w:val="000000" w:themeColor="text1"/>
              </w:rPr>
            </w:pPr>
            <w:r w:rsidRPr="00EE76CA">
              <w:rPr>
                <w:color w:val="000000" w:themeColor="text1"/>
              </w:rPr>
              <w:t>Services Australia</w:t>
            </w:r>
          </w:p>
          <w:p w14:paraId="4F6B2208" w14:textId="77777777" w:rsidR="00CF2E99" w:rsidRPr="00EE76CA" w:rsidRDefault="00CF2E99" w:rsidP="00CF2E99">
            <w:pPr>
              <w:pStyle w:val="Tableheadingrow9pt"/>
              <w:rPr>
                <w:color w:val="000000" w:themeColor="text1"/>
              </w:rPr>
            </w:pPr>
            <w:r w:rsidRPr="00EE76CA">
              <w:rPr>
                <w:color w:val="000000" w:themeColor="text1"/>
              </w:rPr>
              <w:t>Program 1.2: Services to the Community – Health</w:t>
            </w:r>
          </w:p>
          <w:p w14:paraId="5C057C53" w14:textId="77777777" w:rsidR="00CF2E99" w:rsidRPr="00EE76CA" w:rsidRDefault="00CF2E99" w:rsidP="00CF2E99">
            <w:pPr>
              <w:pStyle w:val="Tableheadingrow9pt"/>
              <w:rPr>
                <w:b w:val="0"/>
                <w:color w:val="000000" w:themeColor="text1"/>
                <w:highlight w:val="yellow"/>
              </w:rPr>
            </w:pPr>
            <w:r w:rsidRPr="00EE76CA">
              <w:rPr>
                <w:b w:val="0"/>
                <w:color w:val="000000" w:themeColor="text1"/>
              </w:rPr>
              <w:t>Services Australia administers the Australian Organ Donor Register on behalf of Health.</w:t>
            </w:r>
          </w:p>
        </w:tc>
      </w:tr>
    </w:tbl>
    <w:p w14:paraId="05A55C5B" w14:textId="77777777" w:rsidR="00BC0659" w:rsidRPr="00EE76CA" w:rsidRDefault="00BC0659" w:rsidP="00B87B5E">
      <w:pPr>
        <w:pStyle w:val="Heading4"/>
        <w:rPr>
          <w:color w:val="000000" w:themeColor="text1"/>
        </w:rPr>
      </w:pPr>
      <w:r w:rsidRPr="00EE76CA">
        <w:rPr>
          <w:color w:val="000000" w:themeColor="text1"/>
        </w:rPr>
        <w:t xml:space="preserve">Budgeted Expenses for the </w:t>
      </w:r>
      <w:r w:rsidR="00CF2E99" w:rsidRPr="00EE76CA">
        <w:rPr>
          <w:color w:val="000000" w:themeColor="text1"/>
        </w:rPr>
        <w:t>OTA</w:t>
      </w:r>
    </w:p>
    <w:p w14:paraId="33D4AFBA" w14:textId="77777777" w:rsidR="00BC0659" w:rsidRPr="00EE76CA" w:rsidRDefault="00BC0659" w:rsidP="00BC0659">
      <w:pPr>
        <w:rPr>
          <w:color w:val="000000" w:themeColor="text1"/>
        </w:rPr>
      </w:pPr>
      <w:r w:rsidRPr="00EE76CA">
        <w:rPr>
          <w:color w:val="000000" w:themeColor="text1"/>
        </w:rPr>
        <w:t>Table 2.1.1 shows how much the entity intends to spend (on an accrual basis) on achieving the outcome, broken down by program, as well as by administered and departmental funding sources.</w:t>
      </w:r>
    </w:p>
    <w:p w14:paraId="016653E8" w14:textId="23025916" w:rsidR="00BC0659" w:rsidRDefault="00BC0659" w:rsidP="00BC0659">
      <w:pPr>
        <w:pStyle w:val="Tablenumberandreference"/>
        <w:rPr>
          <w:color w:val="000000" w:themeColor="text1"/>
        </w:rPr>
      </w:pPr>
      <w:r w:rsidRPr="00EE76CA">
        <w:rPr>
          <w:color w:val="000000" w:themeColor="text1"/>
        </w:rPr>
        <w:t xml:space="preserve">Table 2.1.1: Budgeted Expenses </w:t>
      </w:r>
      <w:r w:rsidR="002D6C1C" w:rsidRPr="00EE76CA">
        <w:rPr>
          <w:color w:val="000000" w:themeColor="text1"/>
        </w:rPr>
        <w:t xml:space="preserve">and Resources </w:t>
      </w:r>
      <w:r w:rsidRPr="00EE76CA">
        <w:rPr>
          <w:color w:val="000000" w:themeColor="text1"/>
        </w:rPr>
        <w:t xml:space="preserve">for the </w:t>
      </w:r>
      <w:r w:rsidR="00CF2E99" w:rsidRPr="00EE76CA">
        <w:rPr>
          <w:color w:val="000000" w:themeColor="text1"/>
        </w:rPr>
        <w:t>OTA</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0C027D" w:rsidRPr="000C027D" w14:paraId="7143D038" w14:textId="77777777" w:rsidTr="000C027D">
        <w:trPr>
          <w:trHeight w:val="765"/>
          <w:jc w:val="center"/>
        </w:trPr>
        <w:tc>
          <w:tcPr>
            <w:tcW w:w="2860" w:type="dxa"/>
            <w:tcBorders>
              <w:top w:val="single" w:sz="4" w:space="0" w:color="auto"/>
              <w:left w:val="nil"/>
              <w:bottom w:val="nil"/>
              <w:right w:val="nil"/>
            </w:tcBorders>
            <w:shd w:val="clear" w:color="auto" w:fill="auto"/>
            <w:hideMark/>
          </w:tcPr>
          <w:p w14:paraId="6E8E5723"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5B1CF5A"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2021–22 Estimated actual</w:t>
            </w:r>
            <w:r w:rsidRPr="000C027D">
              <w:rPr>
                <w:rFonts w:ascii="Arial" w:hAnsi="Arial" w:cs="Arial"/>
                <w:b/>
                <w:bCs/>
                <w:color w:val="auto"/>
                <w:sz w:val="16"/>
                <w:szCs w:val="16"/>
              </w:rPr>
              <w:br/>
            </w:r>
            <w:r w:rsidRPr="000C027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16C906D"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 xml:space="preserve">2022–23 Budget </w:t>
            </w:r>
            <w:r w:rsidRPr="000C027D">
              <w:rPr>
                <w:rFonts w:ascii="Arial" w:hAnsi="Arial" w:cs="Arial"/>
                <w:b/>
                <w:bCs/>
                <w:color w:val="auto"/>
                <w:sz w:val="16"/>
                <w:szCs w:val="16"/>
              </w:rPr>
              <w:br/>
            </w:r>
            <w:r w:rsidRPr="000C027D">
              <w:rPr>
                <w:rFonts w:ascii="Arial" w:hAnsi="Arial" w:cs="Arial"/>
                <w:b/>
                <w:bCs/>
                <w:color w:val="auto"/>
                <w:sz w:val="16"/>
                <w:szCs w:val="16"/>
              </w:rPr>
              <w:br/>
            </w:r>
            <w:r w:rsidRPr="000C027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CED928A"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2023–24 Forward estimate</w:t>
            </w:r>
            <w:r w:rsidRPr="000C027D">
              <w:rPr>
                <w:rFonts w:ascii="Arial" w:hAnsi="Arial" w:cs="Arial"/>
                <w:b/>
                <w:bCs/>
                <w:color w:val="auto"/>
                <w:sz w:val="16"/>
                <w:szCs w:val="16"/>
              </w:rPr>
              <w:br/>
            </w:r>
            <w:r w:rsidRPr="000C027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11BBC87"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2024–25 Forward estimate</w:t>
            </w:r>
            <w:r w:rsidRPr="000C027D">
              <w:rPr>
                <w:rFonts w:ascii="Arial" w:hAnsi="Arial" w:cs="Arial"/>
                <w:b/>
                <w:bCs/>
                <w:color w:val="auto"/>
                <w:sz w:val="16"/>
                <w:szCs w:val="16"/>
              </w:rPr>
              <w:br/>
            </w:r>
            <w:r w:rsidRPr="000C027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01C85BF"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2025–26 Forward estimate</w:t>
            </w:r>
            <w:r w:rsidRPr="000C027D">
              <w:rPr>
                <w:rFonts w:ascii="Arial" w:hAnsi="Arial" w:cs="Arial"/>
                <w:b/>
                <w:bCs/>
                <w:color w:val="auto"/>
                <w:sz w:val="16"/>
                <w:szCs w:val="16"/>
              </w:rPr>
              <w:br/>
            </w:r>
            <w:r w:rsidRPr="000C027D">
              <w:rPr>
                <w:rFonts w:ascii="Arial" w:hAnsi="Arial" w:cs="Arial"/>
                <w:color w:val="auto"/>
                <w:sz w:val="16"/>
                <w:szCs w:val="16"/>
              </w:rPr>
              <w:t>$'000</w:t>
            </w:r>
          </w:p>
        </w:tc>
      </w:tr>
      <w:tr w:rsidR="000C027D" w:rsidRPr="000C027D" w14:paraId="49A23DD1" w14:textId="77777777" w:rsidTr="000C027D">
        <w:trPr>
          <w:trHeight w:val="510"/>
          <w:jc w:val="center"/>
        </w:trPr>
        <w:tc>
          <w:tcPr>
            <w:tcW w:w="7360" w:type="dxa"/>
            <w:gridSpan w:val="6"/>
            <w:tcBorders>
              <w:top w:val="nil"/>
              <w:left w:val="nil"/>
              <w:bottom w:val="nil"/>
              <w:right w:val="nil"/>
            </w:tcBorders>
            <w:shd w:val="clear" w:color="auto" w:fill="auto"/>
            <w:vAlign w:val="bottom"/>
            <w:hideMark/>
          </w:tcPr>
          <w:p w14:paraId="5197DA65" w14:textId="77777777" w:rsidR="000C027D" w:rsidRPr="000C027D" w:rsidRDefault="000C027D" w:rsidP="000C027D">
            <w:pPr>
              <w:spacing w:after="0"/>
              <w:rPr>
                <w:rFonts w:ascii="Arial" w:hAnsi="Arial" w:cs="Arial"/>
                <w:b/>
                <w:bCs/>
                <w:color w:val="auto"/>
                <w:sz w:val="16"/>
                <w:szCs w:val="16"/>
              </w:rPr>
            </w:pPr>
            <w:r w:rsidRPr="000C027D">
              <w:rPr>
                <w:rFonts w:ascii="Arial" w:hAnsi="Arial" w:cs="Arial"/>
                <w:b/>
                <w:bCs/>
                <w:color w:val="auto"/>
                <w:sz w:val="16"/>
                <w:szCs w:val="16"/>
              </w:rPr>
              <w:t>Program 1.1: A Nationally Coordinated System for Organ and Tissue Donation for Transplantation</w:t>
            </w:r>
          </w:p>
        </w:tc>
      </w:tr>
      <w:tr w:rsidR="000C027D" w:rsidRPr="000C027D" w14:paraId="53B89A65" w14:textId="77777777" w:rsidTr="000C027D">
        <w:trPr>
          <w:trHeight w:val="300"/>
          <w:jc w:val="center"/>
        </w:trPr>
        <w:tc>
          <w:tcPr>
            <w:tcW w:w="2860" w:type="dxa"/>
            <w:tcBorders>
              <w:top w:val="nil"/>
              <w:left w:val="nil"/>
              <w:bottom w:val="nil"/>
              <w:right w:val="nil"/>
            </w:tcBorders>
            <w:shd w:val="clear" w:color="auto" w:fill="auto"/>
            <w:noWrap/>
            <w:vAlign w:val="bottom"/>
            <w:hideMark/>
          </w:tcPr>
          <w:p w14:paraId="702A4EB1" w14:textId="77777777" w:rsidR="000C027D" w:rsidRPr="000C027D" w:rsidRDefault="000C027D" w:rsidP="000C027D">
            <w:pPr>
              <w:spacing w:after="0"/>
              <w:ind w:firstLineChars="100" w:firstLine="160"/>
              <w:rPr>
                <w:rFonts w:ascii="Arial" w:hAnsi="Arial" w:cs="Arial"/>
                <w:color w:val="auto"/>
                <w:sz w:val="16"/>
                <w:szCs w:val="16"/>
              </w:rPr>
            </w:pPr>
            <w:r w:rsidRPr="000C027D">
              <w:rPr>
                <w:rFonts w:ascii="Arial" w:hAnsi="Arial" w:cs="Arial"/>
                <w:color w:val="auto"/>
                <w:sz w:val="16"/>
                <w:szCs w:val="16"/>
              </w:rPr>
              <w:t>Administered expenses</w:t>
            </w:r>
          </w:p>
        </w:tc>
        <w:tc>
          <w:tcPr>
            <w:tcW w:w="900" w:type="dxa"/>
            <w:tcBorders>
              <w:top w:val="nil"/>
              <w:left w:val="nil"/>
              <w:bottom w:val="nil"/>
              <w:right w:val="nil"/>
            </w:tcBorders>
            <w:shd w:val="clear" w:color="auto" w:fill="auto"/>
            <w:noWrap/>
            <w:vAlign w:val="bottom"/>
            <w:hideMark/>
          </w:tcPr>
          <w:p w14:paraId="2219DF5A" w14:textId="77777777" w:rsidR="000C027D" w:rsidRPr="000C027D" w:rsidRDefault="000C027D" w:rsidP="000C027D">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559A4DB2"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BA382E1" w14:textId="77777777" w:rsidR="000C027D" w:rsidRPr="000C027D" w:rsidRDefault="000C027D" w:rsidP="000C027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AE0A3B7" w14:textId="77777777" w:rsidR="000C027D" w:rsidRPr="000C027D" w:rsidRDefault="000C027D" w:rsidP="000C027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6F5833D" w14:textId="77777777" w:rsidR="000C027D" w:rsidRPr="000C027D" w:rsidRDefault="000C027D" w:rsidP="000C027D">
            <w:pPr>
              <w:spacing w:after="0"/>
              <w:jc w:val="right"/>
              <w:rPr>
                <w:rFonts w:ascii="Times New Roman" w:hAnsi="Times New Roman"/>
                <w:color w:val="auto"/>
              </w:rPr>
            </w:pPr>
          </w:p>
        </w:tc>
      </w:tr>
      <w:tr w:rsidR="000C027D" w:rsidRPr="000C027D" w14:paraId="5118E063" w14:textId="77777777" w:rsidTr="000C027D">
        <w:trPr>
          <w:trHeight w:val="225"/>
          <w:jc w:val="center"/>
        </w:trPr>
        <w:tc>
          <w:tcPr>
            <w:tcW w:w="2860" w:type="dxa"/>
            <w:tcBorders>
              <w:top w:val="nil"/>
              <w:left w:val="nil"/>
              <w:bottom w:val="nil"/>
              <w:right w:val="nil"/>
            </w:tcBorders>
            <w:shd w:val="clear" w:color="auto" w:fill="auto"/>
            <w:noWrap/>
            <w:vAlign w:val="bottom"/>
            <w:hideMark/>
          </w:tcPr>
          <w:p w14:paraId="6C07E95C" w14:textId="77777777" w:rsidR="000C027D" w:rsidRPr="000C027D" w:rsidRDefault="000C027D" w:rsidP="00CE2D18">
            <w:pPr>
              <w:spacing w:after="0"/>
              <w:ind w:leftChars="150" w:left="300"/>
              <w:rPr>
                <w:rFonts w:ascii="Arial" w:hAnsi="Arial" w:cs="Arial"/>
                <w:color w:val="auto"/>
                <w:sz w:val="16"/>
                <w:szCs w:val="16"/>
              </w:rPr>
            </w:pPr>
            <w:r w:rsidRPr="000C027D">
              <w:rPr>
                <w:rFonts w:ascii="Arial" w:hAnsi="Arial" w:cs="Arial"/>
                <w:color w:val="auto"/>
                <w:sz w:val="16"/>
                <w:szCs w:val="16"/>
              </w:rPr>
              <w:t>Ordinary annual services</w:t>
            </w:r>
            <w:r w:rsidRPr="000C027D">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06905201"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48,281</w:t>
            </w:r>
          </w:p>
        </w:tc>
        <w:tc>
          <w:tcPr>
            <w:tcW w:w="900" w:type="dxa"/>
            <w:tcBorders>
              <w:top w:val="nil"/>
              <w:left w:val="nil"/>
              <w:bottom w:val="nil"/>
              <w:right w:val="nil"/>
            </w:tcBorders>
            <w:shd w:val="clear" w:color="000000" w:fill="D9D9D9"/>
            <w:noWrap/>
            <w:vAlign w:val="bottom"/>
            <w:hideMark/>
          </w:tcPr>
          <w:p w14:paraId="69A6B346"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49,131</w:t>
            </w:r>
          </w:p>
        </w:tc>
        <w:tc>
          <w:tcPr>
            <w:tcW w:w="900" w:type="dxa"/>
            <w:tcBorders>
              <w:top w:val="nil"/>
              <w:left w:val="nil"/>
              <w:bottom w:val="nil"/>
              <w:right w:val="nil"/>
            </w:tcBorders>
            <w:shd w:val="clear" w:color="auto" w:fill="auto"/>
            <w:noWrap/>
            <w:vAlign w:val="bottom"/>
            <w:hideMark/>
          </w:tcPr>
          <w:p w14:paraId="3B386623"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50,082</w:t>
            </w:r>
          </w:p>
        </w:tc>
        <w:tc>
          <w:tcPr>
            <w:tcW w:w="900" w:type="dxa"/>
            <w:tcBorders>
              <w:top w:val="nil"/>
              <w:left w:val="nil"/>
              <w:bottom w:val="nil"/>
              <w:right w:val="nil"/>
            </w:tcBorders>
            <w:shd w:val="clear" w:color="auto" w:fill="auto"/>
            <w:noWrap/>
            <w:vAlign w:val="bottom"/>
            <w:hideMark/>
          </w:tcPr>
          <w:p w14:paraId="7DB32128"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51,009</w:t>
            </w:r>
          </w:p>
        </w:tc>
        <w:tc>
          <w:tcPr>
            <w:tcW w:w="900" w:type="dxa"/>
            <w:tcBorders>
              <w:top w:val="nil"/>
              <w:left w:val="nil"/>
              <w:bottom w:val="nil"/>
              <w:right w:val="nil"/>
            </w:tcBorders>
            <w:shd w:val="clear" w:color="auto" w:fill="auto"/>
            <w:noWrap/>
            <w:vAlign w:val="bottom"/>
            <w:hideMark/>
          </w:tcPr>
          <w:p w14:paraId="5C0BF091"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51,739</w:t>
            </w:r>
          </w:p>
        </w:tc>
      </w:tr>
      <w:tr w:rsidR="000C027D" w:rsidRPr="000C027D" w14:paraId="1E644FB5" w14:textId="77777777" w:rsidTr="000C027D">
        <w:trPr>
          <w:trHeight w:val="300"/>
          <w:jc w:val="center"/>
        </w:trPr>
        <w:tc>
          <w:tcPr>
            <w:tcW w:w="2860" w:type="dxa"/>
            <w:tcBorders>
              <w:top w:val="nil"/>
              <w:left w:val="nil"/>
              <w:bottom w:val="nil"/>
              <w:right w:val="nil"/>
            </w:tcBorders>
            <w:shd w:val="clear" w:color="auto" w:fill="auto"/>
            <w:noWrap/>
            <w:vAlign w:val="bottom"/>
            <w:hideMark/>
          </w:tcPr>
          <w:p w14:paraId="42651D84" w14:textId="77777777" w:rsidR="000C027D" w:rsidRPr="000C027D" w:rsidRDefault="000C027D" w:rsidP="000C027D">
            <w:pPr>
              <w:spacing w:after="0"/>
              <w:ind w:firstLineChars="100" w:firstLine="160"/>
              <w:rPr>
                <w:rFonts w:ascii="Arial" w:hAnsi="Arial" w:cs="Arial"/>
                <w:color w:val="auto"/>
                <w:sz w:val="16"/>
                <w:szCs w:val="16"/>
              </w:rPr>
            </w:pPr>
            <w:r w:rsidRPr="000C027D">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3C2A2BD7" w14:textId="77777777" w:rsidR="000C027D" w:rsidRPr="000C027D" w:rsidRDefault="000C027D" w:rsidP="000C027D">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38E0BD9C"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0D6CFBB" w14:textId="77777777" w:rsidR="000C027D" w:rsidRPr="000C027D" w:rsidRDefault="000C027D" w:rsidP="000C027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BEC0C67" w14:textId="77777777" w:rsidR="000C027D" w:rsidRPr="000C027D" w:rsidRDefault="000C027D" w:rsidP="000C027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9A4B298" w14:textId="77777777" w:rsidR="000C027D" w:rsidRPr="000C027D" w:rsidRDefault="000C027D" w:rsidP="000C027D">
            <w:pPr>
              <w:spacing w:after="0"/>
              <w:jc w:val="right"/>
              <w:rPr>
                <w:rFonts w:ascii="Times New Roman" w:hAnsi="Times New Roman"/>
                <w:color w:val="auto"/>
              </w:rPr>
            </w:pPr>
          </w:p>
        </w:tc>
      </w:tr>
      <w:tr w:rsidR="000C027D" w:rsidRPr="000C027D" w14:paraId="679FD7DE" w14:textId="77777777" w:rsidTr="000C027D">
        <w:trPr>
          <w:trHeight w:val="225"/>
          <w:jc w:val="center"/>
        </w:trPr>
        <w:tc>
          <w:tcPr>
            <w:tcW w:w="2860" w:type="dxa"/>
            <w:tcBorders>
              <w:top w:val="nil"/>
              <w:left w:val="nil"/>
              <w:bottom w:val="nil"/>
              <w:right w:val="nil"/>
            </w:tcBorders>
            <w:shd w:val="clear" w:color="auto" w:fill="auto"/>
            <w:noWrap/>
            <w:vAlign w:val="bottom"/>
            <w:hideMark/>
          </w:tcPr>
          <w:p w14:paraId="0952881B" w14:textId="77777777" w:rsidR="000C027D" w:rsidRPr="000C027D" w:rsidRDefault="000C027D" w:rsidP="00CE2D18">
            <w:pPr>
              <w:spacing w:after="0"/>
              <w:ind w:leftChars="150" w:left="300"/>
              <w:rPr>
                <w:rFonts w:ascii="Arial" w:hAnsi="Arial" w:cs="Arial"/>
                <w:color w:val="auto"/>
                <w:sz w:val="16"/>
                <w:szCs w:val="16"/>
              </w:rPr>
            </w:pPr>
            <w:r w:rsidRPr="000C027D">
              <w:rPr>
                <w:rFonts w:ascii="Arial" w:hAnsi="Arial" w:cs="Arial"/>
                <w:color w:val="auto"/>
                <w:sz w:val="16"/>
                <w:szCs w:val="16"/>
              </w:rPr>
              <w:t xml:space="preserve">Departmental appropriation </w:t>
            </w:r>
            <w:r w:rsidRPr="000C027D">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3E3C33DF"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5,673</w:t>
            </w:r>
          </w:p>
        </w:tc>
        <w:tc>
          <w:tcPr>
            <w:tcW w:w="900" w:type="dxa"/>
            <w:tcBorders>
              <w:top w:val="nil"/>
              <w:left w:val="nil"/>
              <w:bottom w:val="nil"/>
              <w:right w:val="nil"/>
            </w:tcBorders>
            <w:shd w:val="clear" w:color="000000" w:fill="D9D9D9"/>
            <w:noWrap/>
            <w:vAlign w:val="bottom"/>
            <w:hideMark/>
          </w:tcPr>
          <w:p w14:paraId="269ED777"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5,879</w:t>
            </w:r>
          </w:p>
        </w:tc>
        <w:tc>
          <w:tcPr>
            <w:tcW w:w="900" w:type="dxa"/>
            <w:tcBorders>
              <w:top w:val="nil"/>
              <w:left w:val="nil"/>
              <w:bottom w:val="nil"/>
              <w:right w:val="nil"/>
            </w:tcBorders>
            <w:shd w:val="clear" w:color="auto" w:fill="auto"/>
            <w:noWrap/>
            <w:vAlign w:val="bottom"/>
            <w:hideMark/>
          </w:tcPr>
          <w:p w14:paraId="36BCC7D3"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5,902</w:t>
            </w:r>
          </w:p>
        </w:tc>
        <w:tc>
          <w:tcPr>
            <w:tcW w:w="900" w:type="dxa"/>
            <w:tcBorders>
              <w:top w:val="nil"/>
              <w:left w:val="nil"/>
              <w:bottom w:val="nil"/>
              <w:right w:val="nil"/>
            </w:tcBorders>
            <w:shd w:val="clear" w:color="auto" w:fill="auto"/>
            <w:noWrap/>
            <w:vAlign w:val="bottom"/>
            <w:hideMark/>
          </w:tcPr>
          <w:p w14:paraId="034AAA18"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5,993</w:t>
            </w:r>
          </w:p>
        </w:tc>
        <w:tc>
          <w:tcPr>
            <w:tcW w:w="900" w:type="dxa"/>
            <w:tcBorders>
              <w:top w:val="nil"/>
              <w:left w:val="nil"/>
              <w:bottom w:val="nil"/>
              <w:right w:val="nil"/>
            </w:tcBorders>
            <w:shd w:val="clear" w:color="auto" w:fill="auto"/>
            <w:noWrap/>
            <w:vAlign w:val="bottom"/>
            <w:hideMark/>
          </w:tcPr>
          <w:p w14:paraId="626C1649"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6,028</w:t>
            </w:r>
          </w:p>
        </w:tc>
      </w:tr>
      <w:tr w:rsidR="000C027D" w:rsidRPr="000C027D" w14:paraId="65101AD2" w14:textId="77777777" w:rsidTr="00CE2D18">
        <w:trPr>
          <w:trHeight w:val="450"/>
          <w:jc w:val="center"/>
        </w:trPr>
        <w:tc>
          <w:tcPr>
            <w:tcW w:w="2860" w:type="dxa"/>
            <w:tcBorders>
              <w:top w:val="nil"/>
              <w:left w:val="nil"/>
              <w:bottom w:val="nil"/>
              <w:right w:val="nil"/>
            </w:tcBorders>
            <w:shd w:val="clear" w:color="auto" w:fill="auto"/>
            <w:tcMar>
              <w:right w:w="28" w:type="dxa"/>
            </w:tcMar>
            <w:vAlign w:val="bottom"/>
            <w:hideMark/>
          </w:tcPr>
          <w:p w14:paraId="7A295F53" w14:textId="77777777" w:rsidR="000C027D" w:rsidRPr="000C027D" w:rsidRDefault="000C027D" w:rsidP="00CE2D18">
            <w:pPr>
              <w:spacing w:after="0"/>
              <w:ind w:leftChars="150" w:left="300"/>
              <w:rPr>
                <w:rFonts w:ascii="Arial" w:hAnsi="Arial" w:cs="Arial"/>
                <w:color w:val="auto"/>
                <w:sz w:val="16"/>
                <w:szCs w:val="16"/>
              </w:rPr>
            </w:pPr>
            <w:r w:rsidRPr="000C027D">
              <w:rPr>
                <w:rFonts w:ascii="Arial" w:hAnsi="Arial" w:cs="Arial"/>
                <w:color w:val="auto"/>
                <w:sz w:val="16"/>
                <w:szCs w:val="16"/>
              </w:rPr>
              <w:t>Expenses not requiring appropriation in the Budget year</w:t>
            </w:r>
            <w:r w:rsidRPr="000C027D">
              <w:rPr>
                <w:rFonts w:ascii="Arial" w:hAnsi="Arial" w:cs="Arial"/>
                <w:color w:val="auto"/>
                <w:sz w:val="16"/>
                <w:szCs w:val="16"/>
                <w:vertAlign w:val="superscript"/>
              </w:rPr>
              <w:t xml:space="preserve"> (c)</w:t>
            </w:r>
          </w:p>
        </w:tc>
        <w:tc>
          <w:tcPr>
            <w:tcW w:w="900" w:type="dxa"/>
            <w:tcBorders>
              <w:top w:val="nil"/>
              <w:left w:val="nil"/>
              <w:bottom w:val="nil"/>
              <w:right w:val="nil"/>
            </w:tcBorders>
            <w:shd w:val="clear" w:color="auto" w:fill="auto"/>
            <w:noWrap/>
            <w:vAlign w:val="bottom"/>
            <w:hideMark/>
          </w:tcPr>
          <w:p w14:paraId="203AE0C6"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760</w:t>
            </w:r>
          </w:p>
        </w:tc>
        <w:tc>
          <w:tcPr>
            <w:tcW w:w="900" w:type="dxa"/>
            <w:tcBorders>
              <w:top w:val="nil"/>
              <w:left w:val="nil"/>
              <w:bottom w:val="nil"/>
              <w:right w:val="nil"/>
            </w:tcBorders>
            <w:shd w:val="clear" w:color="000000" w:fill="D9D9D9"/>
            <w:noWrap/>
            <w:vAlign w:val="bottom"/>
            <w:hideMark/>
          </w:tcPr>
          <w:p w14:paraId="0DCDDBE2"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779</w:t>
            </w:r>
          </w:p>
        </w:tc>
        <w:tc>
          <w:tcPr>
            <w:tcW w:w="900" w:type="dxa"/>
            <w:tcBorders>
              <w:top w:val="nil"/>
              <w:left w:val="nil"/>
              <w:bottom w:val="nil"/>
              <w:right w:val="nil"/>
            </w:tcBorders>
            <w:shd w:val="clear" w:color="auto" w:fill="auto"/>
            <w:noWrap/>
            <w:vAlign w:val="bottom"/>
            <w:hideMark/>
          </w:tcPr>
          <w:p w14:paraId="2D791950"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819</w:t>
            </w:r>
          </w:p>
        </w:tc>
        <w:tc>
          <w:tcPr>
            <w:tcW w:w="900" w:type="dxa"/>
            <w:tcBorders>
              <w:top w:val="nil"/>
              <w:left w:val="nil"/>
              <w:bottom w:val="nil"/>
              <w:right w:val="nil"/>
            </w:tcBorders>
            <w:shd w:val="clear" w:color="auto" w:fill="auto"/>
            <w:noWrap/>
            <w:vAlign w:val="bottom"/>
            <w:hideMark/>
          </w:tcPr>
          <w:p w14:paraId="19CCCBFC"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757</w:t>
            </w:r>
          </w:p>
        </w:tc>
        <w:tc>
          <w:tcPr>
            <w:tcW w:w="900" w:type="dxa"/>
            <w:tcBorders>
              <w:top w:val="nil"/>
              <w:left w:val="nil"/>
              <w:bottom w:val="nil"/>
              <w:right w:val="nil"/>
            </w:tcBorders>
            <w:shd w:val="clear" w:color="auto" w:fill="auto"/>
            <w:noWrap/>
            <w:vAlign w:val="bottom"/>
            <w:hideMark/>
          </w:tcPr>
          <w:p w14:paraId="60BA45AE"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760</w:t>
            </w:r>
          </w:p>
        </w:tc>
      </w:tr>
      <w:tr w:rsidR="000C027D" w:rsidRPr="000C027D" w14:paraId="46A980F2" w14:textId="77777777" w:rsidTr="000C027D">
        <w:trPr>
          <w:trHeight w:val="225"/>
          <w:jc w:val="center"/>
        </w:trPr>
        <w:tc>
          <w:tcPr>
            <w:tcW w:w="2860" w:type="dxa"/>
            <w:tcBorders>
              <w:top w:val="nil"/>
              <w:left w:val="nil"/>
              <w:bottom w:val="nil"/>
              <w:right w:val="nil"/>
            </w:tcBorders>
            <w:shd w:val="clear" w:color="auto" w:fill="auto"/>
            <w:noWrap/>
            <w:vAlign w:val="bottom"/>
            <w:hideMark/>
          </w:tcPr>
          <w:p w14:paraId="35E1D8BC" w14:textId="77777777" w:rsidR="000C027D" w:rsidRPr="000C027D" w:rsidRDefault="000C027D" w:rsidP="00CE2D18">
            <w:pPr>
              <w:spacing w:after="0"/>
              <w:ind w:leftChars="150" w:left="300"/>
              <w:rPr>
                <w:rFonts w:ascii="Arial" w:hAnsi="Arial" w:cs="Arial"/>
                <w:color w:val="auto"/>
                <w:sz w:val="16"/>
                <w:szCs w:val="16"/>
              </w:rPr>
            </w:pPr>
            <w:r w:rsidRPr="000C027D">
              <w:rPr>
                <w:rFonts w:ascii="Arial" w:hAnsi="Arial" w:cs="Arial"/>
                <w:color w:val="auto"/>
                <w:sz w:val="16"/>
                <w:szCs w:val="16"/>
              </w:rPr>
              <w:t>Operating loss</w:t>
            </w:r>
          </w:p>
        </w:tc>
        <w:tc>
          <w:tcPr>
            <w:tcW w:w="900" w:type="dxa"/>
            <w:tcBorders>
              <w:top w:val="nil"/>
              <w:left w:val="nil"/>
              <w:bottom w:val="nil"/>
              <w:right w:val="nil"/>
            </w:tcBorders>
            <w:shd w:val="clear" w:color="auto" w:fill="auto"/>
            <w:noWrap/>
            <w:vAlign w:val="bottom"/>
            <w:hideMark/>
          </w:tcPr>
          <w:p w14:paraId="34447419"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126A7B7"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2FD0002"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EF60F1D"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0AEA2D5"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w:t>
            </w:r>
          </w:p>
        </w:tc>
      </w:tr>
      <w:tr w:rsidR="000C027D" w:rsidRPr="000C027D" w14:paraId="6F9F4B7D" w14:textId="77777777" w:rsidTr="000C027D">
        <w:trPr>
          <w:trHeight w:val="300"/>
          <w:jc w:val="center"/>
        </w:trPr>
        <w:tc>
          <w:tcPr>
            <w:tcW w:w="2860" w:type="dxa"/>
            <w:tcBorders>
              <w:top w:val="nil"/>
              <w:left w:val="nil"/>
              <w:bottom w:val="nil"/>
              <w:right w:val="nil"/>
            </w:tcBorders>
            <w:shd w:val="clear" w:color="auto" w:fill="auto"/>
            <w:noWrap/>
            <w:vAlign w:val="bottom"/>
            <w:hideMark/>
          </w:tcPr>
          <w:p w14:paraId="6FC4AD43" w14:textId="77777777" w:rsidR="000C027D" w:rsidRPr="000C027D" w:rsidRDefault="000C027D" w:rsidP="000C027D">
            <w:pPr>
              <w:spacing w:after="0"/>
              <w:ind w:firstLineChars="100" w:firstLine="160"/>
              <w:rPr>
                <w:rFonts w:ascii="Arial" w:hAnsi="Arial" w:cs="Arial"/>
                <w:b/>
                <w:bCs/>
                <w:color w:val="auto"/>
                <w:sz w:val="16"/>
                <w:szCs w:val="16"/>
              </w:rPr>
            </w:pPr>
            <w:r w:rsidRPr="000C027D">
              <w:rPr>
                <w:rFonts w:ascii="Arial" w:hAnsi="Arial" w:cs="Arial"/>
                <w:b/>
                <w:bCs/>
                <w:color w:val="auto"/>
                <w:sz w:val="16"/>
                <w:szCs w:val="16"/>
              </w:rPr>
              <w:t>Total for Program 1.1</w:t>
            </w:r>
          </w:p>
        </w:tc>
        <w:tc>
          <w:tcPr>
            <w:tcW w:w="900" w:type="dxa"/>
            <w:tcBorders>
              <w:top w:val="single" w:sz="4" w:space="0" w:color="auto"/>
              <w:left w:val="nil"/>
              <w:bottom w:val="single" w:sz="4" w:space="0" w:color="auto"/>
              <w:right w:val="nil"/>
            </w:tcBorders>
            <w:shd w:val="clear" w:color="auto" w:fill="auto"/>
            <w:noWrap/>
            <w:vAlign w:val="bottom"/>
            <w:hideMark/>
          </w:tcPr>
          <w:p w14:paraId="6737D77A"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54,714</w:t>
            </w:r>
          </w:p>
        </w:tc>
        <w:tc>
          <w:tcPr>
            <w:tcW w:w="900" w:type="dxa"/>
            <w:tcBorders>
              <w:top w:val="single" w:sz="4" w:space="0" w:color="auto"/>
              <w:left w:val="nil"/>
              <w:bottom w:val="single" w:sz="4" w:space="0" w:color="auto"/>
              <w:right w:val="nil"/>
            </w:tcBorders>
            <w:shd w:val="clear" w:color="000000" w:fill="D9D9D9"/>
            <w:noWrap/>
            <w:vAlign w:val="bottom"/>
            <w:hideMark/>
          </w:tcPr>
          <w:p w14:paraId="64525223"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55,789</w:t>
            </w:r>
          </w:p>
        </w:tc>
        <w:tc>
          <w:tcPr>
            <w:tcW w:w="900" w:type="dxa"/>
            <w:tcBorders>
              <w:top w:val="nil"/>
              <w:left w:val="nil"/>
              <w:bottom w:val="single" w:sz="4" w:space="0" w:color="auto"/>
              <w:right w:val="nil"/>
            </w:tcBorders>
            <w:shd w:val="clear" w:color="auto" w:fill="auto"/>
            <w:noWrap/>
            <w:vAlign w:val="bottom"/>
            <w:hideMark/>
          </w:tcPr>
          <w:p w14:paraId="4525FB5B"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56,803</w:t>
            </w:r>
          </w:p>
        </w:tc>
        <w:tc>
          <w:tcPr>
            <w:tcW w:w="900" w:type="dxa"/>
            <w:tcBorders>
              <w:top w:val="nil"/>
              <w:left w:val="nil"/>
              <w:bottom w:val="single" w:sz="4" w:space="0" w:color="auto"/>
              <w:right w:val="nil"/>
            </w:tcBorders>
            <w:shd w:val="clear" w:color="auto" w:fill="auto"/>
            <w:noWrap/>
            <w:vAlign w:val="bottom"/>
            <w:hideMark/>
          </w:tcPr>
          <w:p w14:paraId="5D28A873"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57,759</w:t>
            </w:r>
          </w:p>
        </w:tc>
        <w:tc>
          <w:tcPr>
            <w:tcW w:w="900" w:type="dxa"/>
            <w:tcBorders>
              <w:top w:val="nil"/>
              <w:left w:val="nil"/>
              <w:bottom w:val="single" w:sz="4" w:space="0" w:color="auto"/>
              <w:right w:val="nil"/>
            </w:tcBorders>
            <w:shd w:val="clear" w:color="auto" w:fill="auto"/>
            <w:noWrap/>
            <w:vAlign w:val="bottom"/>
            <w:hideMark/>
          </w:tcPr>
          <w:p w14:paraId="7BD32E2C"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58,527</w:t>
            </w:r>
          </w:p>
        </w:tc>
      </w:tr>
      <w:tr w:rsidR="000C027D" w:rsidRPr="000C027D" w14:paraId="2869192D" w14:textId="77777777" w:rsidTr="00CE2D18">
        <w:trPr>
          <w:trHeight w:val="300"/>
          <w:jc w:val="center"/>
        </w:trPr>
        <w:tc>
          <w:tcPr>
            <w:tcW w:w="2860" w:type="dxa"/>
            <w:tcBorders>
              <w:top w:val="nil"/>
              <w:left w:val="nil"/>
              <w:bottom w:val="single" w:sz="4" w:space="0" w:color="auto"/>
              <w:right w:val="nil"/>
            </w:tcBorders>
            <w:shd w:val="clear" w:color="auto" w:fill="auto"/>
            <w:noWrap/>
            <w:vAlign w:val="bottom"/>
            <w:hideMark/>
          </w:tcPr>
          <w:p w14:paraId="4D1FDDD7" w14:textId="77777777" w:rsidR="000C027D" w:rsidRPr="000C027D" w:rsidRDefault="000C027D" w:rsidP="000C027D">
            <w:pPr>
              <w:spacing w:after="0"/>
              <w:rPr>
                <w:rFonts w:ascii="Arial" w:hAnsi="Arial" w:cs="Arial"/>
                <w:b/>
                <w:bCs/>
                <w:sz w:val="16"/>
                <w:szCs w:val="16"/>
              </w:rPr>
            </w:pPr>
            <w:r w:rsidRPr="000C027D">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5A8E5C71"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54,714</w:t>
            </w:r>
          </w:p>
        </w:tc>
        <w:tc>
          <w:tcPr>
            <w:tcW w:w="900" w:type="dxa"/>
            <w:tcBorders>
              <w:top w:val="nil"/>
              <w:left w:val="nil"/>
              <w:bottom w:val="single" w:sz="4" w:space="0" w:color="auto"/>
              <w:right w:val="nil"/>
            </w:tcBorders>
            <w:shd w:val="clear" w:color="000000" w:fill="D9D9D9"/>
            <w:noWrap/>
            <w:vAlign w:val="bottom"/>
            <w:hideMark/>
          </w:tcPr>
          <w:p w14:paraId="227D4500"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55,789</w:t>
            </w:r>
          </w:p>
        </w:tc>
        <w:tc>
          <w:tcPr>
            <w:tcW w:w="900" w:type="dxa"/>
            <w:tcBorders>
              <w:top w:val="nil"/>
              <w:left w:val="nil"/>
              <w:bottom w:val="single" w:sz="4" w:space="0" w:color="auto"/>
              <w:right w:val="nil"/>
            </w:tcBorders>
            <w:shd w:val="clear" w:color="auto" w:fill="auto"/>
            <w:noWrap/>
            <w:vAlign w:val="bottom"/>
            <w:hideMark/>
          </w:tcPr>
          <w:p w14:paraId="3ACCE4B2"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56,803</w:t>
            </w:r>
          </w:p>
        </w:tc>
        <w:tc>
          <w:tcPr>
            <w:tcW w:w="900" w:type="dxa"/>
            <w:tcBorders>
              <w:top w:val="nil"/>
              <w:left w:val="nil"/>
              <w:bottom w:val="single" w:sz="4" w:space="0" w:color="auto"/>
              <w:right w:val="nil"/>
            </w:tcBorders>
            <w:shd w:val="clear" w:color="auto" w:fill="auto"/>
            <w:noWrap/>
            <w:vAlign w:val="bottom"/>
            <w:hideMark/>
          </w:tcPr>
          <w:p w14:paraId="616E5661"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57,759</w:t>
            </w:r>
          </w:p>
        </w:tc>
        <w:tc>
          <w:tcPr>
            <w:tcW w:w="900" w:type="dxa"/>
            <w:tcBorders>
              <w:top w:val="nil"/>
              <w:left w:val="nil"/>
              <w:bottom w:val="single" w:sz="4" w:space="0" w:color="auto"/>
              <w:right w:val="nil"/>
            </w:tcBorders>
            <w:shd w:val="clear" w:color="auto" w:fill="auto"/>
            <w:noWrap/>
            <w:vAlign w:val="bottom"/>
            <w:hideMark/>
          </w:tcPr>
          <w:p w14:paraId="60F4BFA5" w14:textId="77777777" w:rsidR="000C027D" w:rsidRPr="000C027D" w:rsidRDefault="000C027D" w:rsidP="000C027D">
            <w:pPr>
              <w:spacing w:after="0"/>
              <w:jc w:val="right"/>
              <w:rPr>
                <w:rFonts w:ascii="Arial" w:hAnsi="Arial" w:cs="Arial"/>
                <w:b/>
                <w:bCs/>
                <w:color w:val="auto"/>
                <w:sz w:val="16"/>
                <w:szCs w:val="16"/>
              </w:rPr>
            </w:pPr>
            <w:r w:rsidRPr="000C027D">
              <w:rPr>
                <w:rFonts w:ascii="Arial" w:hAnsi="Arial" w:cs="Arial"/>
                <w:b/>
                <w:bCs/>
                <w:color w:val="auto"/>
                <w:sz w:val="16"/>
                <w:szCs w:val="16"/>
              </w:rPr>
              <w:t>58,527</w:t>
            </w:r>
          </w:p>
        </w:tc>
      </w:tr>
      <w:tr w:rsidR="000C027D" w:rsidRPr="000C027D" w14:paraId="0FCF2F85" w14:textId="77777777" w:rsidTr="000C027D">
        <w:trPr>
          <w:trHeight w:val="225"/>
          <w:jc w:val="center"/>
        </w:trPr>
        <w:tc>
          <w:tcPr>
            <w:tcW w:w="2860" w:type="dxa"/>
            <w:tcBorders>
              <w:top w:val="nil"/>
              <w:left w:val="nil"/>
              <w:bottom w:val="nil"/>
              <w:right w:val="nil"/>
            </w:tcBorders>
            <w:shd w:val="clear" w:color="auto" w:fill="auto"/>
            <w:noWrap/>
            <w:vAlign w:val="bottom"/>
            <w:hideMark/>
          </w:tcPr>
          <w:p w14:paraId="62F78CF7" w14:textId="77777777" w:rsidR="000C027D" w:rsidRPr="000C027D" w:rsidRDefault="000C027D" w:rsidP="000C027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DE7D3B8" w14:textId="77777777" w:rsidR="000C027D" w:rsidRPr="000C027D" w:rsidRDefault="000C027D" w:rsidP="000C027D">
            <w:pPr>
              <w:spacing w:after="0"/>
              <w:ind w:firstLineChars="100" w:firstLine="200"/>
              <w:rPr>
                <w:rFonts w:ascii="Times New Roman" w:hAnsi="Times New Roman"/>
                <w:color w:val="auto"/>
              </w:rPr>
            </w:pPr>
          </w:p>
        </w:tc>
        <w:tc>
          <w:tcPr>
            <w:tcW w:w="900" w:type="dxa"/>
            <w:tcBorders>
              <w:top w:val="nil"/>
              <w:left w:val="nil"/>
              <w:bottom w:val="nil"/>
              <w:right w:val="nil"/>
            </w:tcBorders>
            <w:shd w:val="clear" w:color="000000" w:fill="FFFFFF"/>
            <w:noWrap/>
            <w:vAlign w:val="bottom"/>
            <w:hideMark/>
          </w:tcPr>
          <w:p w14:paraId="51B21A93" w14:textId="77777777" w:rsidR="000C027D" w:rsidRPr="000C027D" w:rsidRDefault="000C027D" w:rsidP="000C027D">
            <w:pPr>
              <w:spacing w:after="0"/>
              <w:jc w:val="right"/>
              <w:rPr>
                <w:rFonts w:ascii="Arial" w:hAnsi="Arial" w:cs="Arial"/>
                <w:color w:val="auto"/>
                <w:sz w:val="16"/>
                <w:szCs w:val="16"/>
              </w:rPr>
            </w:pPr>
            <w:r w:rsidRPr="000C027D">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38B26659" w14:textId="77777777" w:rsidR="000C027D" w:rsidRPr="000C027D" w:rsidRDefault="000C027D" w:rsidP="000C027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2F0D4238" w14:textId="77777777" w:rsidR="000C027D" w:rsidRPr="000C027D" w:rsidRDefault="000C027D" w:rsidP="000C027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AB228AD" w14:textId="77777777" w:rsidR="000C027D" w:rsidRPr="000C027D" w:rsidRDefault="000C027D" w:rsidP="000C027D">
            <w:pPr>
              <w:spacing w:after="0"/>
              <w:rPr>
                <w:rFonts w:ascii="Times New Roman" w:hAnsi="Times New Roman"/>
                <w:color w:val="auto"/>
              </w:rPr>
            </w:pPr>
          </w:p>
        </w:tc>
      </w:tr>
      <w:tr w:rsidR="000C027D" w:rsidRPr="000C027D" w14:paraId="2DC0F1D5" w14:textId="77777777" w:rsidTr="000C027D">
        <w:trPr>
          <w:trHeight w:val="225"/>
          <w:jc w:val="center"/>
        </w:trPr>
        <w:tc>
          <w:tcPr>
            <w:tcW w:w="2860" w:type="dxa"/>
            <w:tcBorders>
              <w:top w:val="single" w:sz="4" w:space="0" w:color="auto"/>
              <w:left w:val="nil"/>
              <w:bottom w:val="nil"/>
              <w:right w:val="nil"/>
            </w:tcBorders>
            <w:shd w:val="clear" w:color="auto" w:fill="auto"/>
            <w:noWrap/>
            <w:vAlign w:val="bottom"/>
            <w:hideMark/>
          </w:tcPr>
          <w:p w14:paraId="1A5EBD69" w14:textId="77777777" w:rsidR="000C027D" w:rsidRPr="000C027D" w:rsidRDefault="000C027D" w:rsidP="000C027D">
            <w:pPr>
              <w:spacing w:after="0"/>
              <w:rPr>
                <w:rFonts w:ascii="Arial" w:hAnsi="Arial" w:cs="Arial"/>
                <w:sz w:val="16"/>
                <w:szCs w:val="16"/>
              </w:rPr>
            </w:pPr>
            <w:r w:rsidRPr="000C027D">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hideMark/>
          </w:tcPr>
          <w:p w14:paraId="3F95328C"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2021–22</w:t>
            </w:r>
          </w:p>
        </w:tc>
        <w:tc>
          <w:tcPr>
            <w:tcW w:w="900" w:type="dxa"/>
            <w:tcBorders>
              <w:top w:val="single" w:sz="4" w:space="0" w:color="000000"/>
              <w:left w:val="nil"/>
              <w:bottom w:val="single" w:sz="4" w:space="0" w:color="000000"/>
              <w:right w:val="nil"/>
            </w:tcBorders>
            <w:shd w:val="clear" w:color="000000" w:fill="D9D9D9"/>
            <w:noWrap/>
            <w:hideMark/>
          </w:tcPr>
          <w:p w14:paraId="59C0F0B0" w14:textId="77777777" w:rsidR="000C027D" w:rsidRPr="000C027D" w:rsidRDefault="000C027D" w:rsidP="000C027D">
            <w:pPr>
              <w:spacing w:before="40" w:after="0"/>
              <w:jc w:val="right"/>
              <w:rPr>
                <w:rFonts w:ascii="Arial" w:hAnsi="Arial" w:cs="Arial"/>
                <w:b/>
                <w:bCs/>
                <w:color w:val="auto"/>
                <w:sz w:val="16"/>
                <w:szCs w:val="16"/>
              </w:rPr>
            </w:pPr>
            <w:r w:rsidRPr="000C027D">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59DE62E2" w14:textId="77777777" w:rsidR="000C027D" w:rsidRPr="000C027D" w:rsidRDefault="000C027D" w:rsidP="000C027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438454DD" w14:textId="77777777" w:rsidR="000C027D" w:rsidRPr="000C027D" w:rsidRDefault="000C027D" w:rsidP="000C027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46B8772E" w14:textId="77777777" w:rsidR="000C027D" w:rsidRPr="000C027D" w:rsidRDefault="000C027D" w:rsidP="000C027D">
            <w:pPr>
              <w:spacing w:after="0"/>
              <w:rPr>
                <w:rFonts w:ascii="Times New Roman" w:hAnsi="Times New Roman"/>
                <w:color w:val="auto"/>
              </w:rPr>
            </w:pPr>
          </w:p>
        </w:tc>
      </w:tr>
      <w:tr w:rsidR="000C027D" w:rsidRPr="000C027D" w14:paraId="4FF895E4" w14:textId="77777777" w:rsidTr="000C027D">
        <w:trPr>
          <w:trHeight w:val="225"/>
          <w:jc w:val="center"/>
        </w:trPr>
        <w:tc>
          <w:tcPr>
            <w:tcW w:w="2860" w:type="dxa"/>
            <w:tcBorders>
              <w:top w:val="nil"/>
              <w:left w:val="nil"/>
              <w:bottom w:val="single" w:sz="4" w:space="0" w:color="auto"/>
              <w:right w:val="nil"/>
            </w:tcBorders>
            <w:shd w:val="clear" w:color="auto" w:fill="auto"/>
            <w:noWrap/>
            <w:vAlign w:val="bottom"/>
            <w:hideMark/>
          </w:tcPr>
          <w:p w14:paraId="5E0A5537" w14:textId="77777777" w:rsidR="000C027D" w:rsidRPr="000C027D" w:rsidRDefault="000C027D" w:rsidP="000C027D">
            <w:pPr>
              <w:spacing w:after="0"/>
              <w:rPr>
                <w:rFonts w:ascii="Arial" w:hAnsi="Arial" w:cs="Arial"/>
                <w:b/>
                <w:bCs/>
                <w:sz w:val="16"/>
                <w:szCs w:val="16"/>
              </w:rPr>
            </w:pPr>
            <w:r w:rsidRPr="000C027D">
              <w:rPr>
                <w:rFonts w:ascii="Arial" w:hAnsi="Arial" w:cs="Arial"/>
                <w:b/>
                <w:bCs/>
                <w:sz w:val="16"/>
                <w:szCs w:val="16"/>
              </w:rPr>
              <w:t>Average staffing level (number)</w:t>
            </w:r>
          </w:p>
        </w:tc>
        <w:tc>
          <w:tcPr>
            <w:tcW w:w="900" w:type="dxa"/>
            <w:tcBorders>
              <w:top w:val="nil"/>
              <w:left w:val="nil"/>
              <w:bottom w:val="single" w:sz="4" w:space="0" w:color="auto"/>
              <w:right w:val="nil"/>
            </w:tcBorders>
            <w:shd w:val="clear" w:color="auto" w:fill="auto"/>
            <w:noWrap/>
            <w:vAlign w:val="bottom"/>
            <w:hideMark/>
          </w:tcPr>
          <w:p w14:paraId="4D73FAD8" w14:textId="77777777" w:rsidR="000C027D" w:rsidRPr="000C027D" w:rsidRDefault="000C027D" w:rsidP="000C027D">
            <w:pPr>
              <w:spacing w:after="0"/>
              <w:jc w:val="right"/>
              <w:rPr>
                <w:rFonts w:ascii="Arial" w:hAnsi="Arial" w:cs="Arial"/>
                <w:sz w:val="16"/>
                <w:szCs w:val="16"/>
              </w:rPr>
            </w:pPr>
            <w:r w:rsidRPr="000C027D">
              <w:rPr>
                <w:rFonts w:ascii="Arial" w:hAnsi="Arial" w:cs="Arial"/>
                <w:sz w:val="16"/>
                <w:szCs w:val="16"/>
              </w:rPr>
              <w:t>29</w:t>
            </w:r>
          </w:p>
        </w:tc>
        <w:tc>
          <w:tcPr>
            <w:tcW w:w="900" w:type="dxa"/>
            <w:tcBorders>
              <w:top w:val="nil"/>
              <w:left w:val="nil"/>
              <w:bottom w:val="single" w:sz="4" w:space="0" w:color="auto"/>
              <w:right w:val="nil"/>
            </w:tcBorders>
            <w:shd w:val="clear" w:color="000000" w:fill="D9D9D9"/>
            <w:noWrap/>
            <w:vAlign w:val="bottom"/>
            <w:hideMark/>
          </w:tcPr>
          <w:p w14:paraId="756AFE77" w14:textId="77777777" w:rsidR="000C027D" w:rsidRPr="000C027D" w:rsidRDefault="000C027D" w:rsidP="000C027D">
            <w:pPr>
              <w:spacing w:after="0"/>
              <w:jc w:val="right"/>
              <w:rPr>
                <w:rFonts w:ascii="Arial" w:hAnsi="Arial" w:cs="Arial"/>
                <w:sz w:val="16"/>
                <w:szCs w:val="16"/>
              </w:rPr>
            </w:pPr>
            <w:r w:rsidRPr="000C027D">
              <w:rPr>
                <w:rFonts w:ascii="Arial" w:hAnsi="Arial" w:cs="Arial"/>
                <w:sz w:val="16"/>
                <w:szCs w:val="16"/>
              </w:rPr>
              <w:t>30</w:t>
            </w:r>
          </w:p>
        </w:tc>
        <w:tc>
          <w:tcPr>
            <w:tcW w:w="900" w:type="dxa"/>
            <w:tcBorders>
              <w:top w:val="nil"/>
              <w:left w:val="nil"/>
              <w:bottom w:val="nil"/>
              <w:right w:val="nil"/>
            </w:tcBorders>
            <w:shd w:val="clear" w:color="auto" w:fill="auto"/>
            <w:noWrap/>
            <w:vAlign w:val="center"/>
            <w:hideMark/>
          </w:tcPr>
          <w:p w14:paraId="24B11ECE" w14:textId="77777777" w:rsidR="000C027D" w:rsidRPr="000C027D" w:rsidRDefault="000C027D" w:rsidP="000C027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39F79D2D" w14:textId="77777777" w:rsidR="000C027D" w:rsidRPr="000C027D" w:rsidRDefault="000C027D" w:rsidP="000C027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6B55A71B" w14:textId="77777777" w:rsidR="000C027D" w:rsidRPr="000C027D" w:rsidRDefault="000C027D" w:rsidP="000C027D">
            <w:pPr>
              <w:spacing w:after="0"/>
              <w:rPr>
                <w:rFonts w:ascii="Times New Roman" w:hAnsi="Times New Roman"/>
                <w:color w:val="auto"/>
              </w:rPr>
            </w:pPr>
          </w:p>
        </w:tc>
      </w:tr>
    </w:tbl>
    <w:p w14:paraId="6905C3A5" w14:textId="05413B27" w:rsidR="00CE2D18" w:rsidRPr="00CE2D18" w:rsidRDefault="00CE2D18" w:rsidP="00CE2D18">
      <w:pPr>
        <w:pStyle w:val="FootnoteText"/>
        <w:spacing w:before="120"/>
      </w:pPr>
      <w:r w:rsidRPr="00CE2D18">
        <w:rPr>
          <w:vertAlign w:val="superscript"/>
        </w:rPr>
        <w:t>(a)</w:t>
      </w:r>
      <w:r>
        <w:tab/>
      </w:r>
      <w:r w:rsidRPr="00DC5CC6">
        <w:rPr>
          <w:i/>
        </w:rPr>
        <w:t>Appropriation Act (No. 1) 2021–22.</w:t>
      </w:r>
    </w:p>
    <w:p w14:paraId="1D2F8AC7" w14:textId="3EBB530A" w:rsidR="00CE2D18" w:rsidRPr="00CE2D18" w:rsidRDefault="00CE2D18" w:rsidP="00CE2D18">
      <w:pPr>
        <w:pStyle w:val="FootnoteText"/>
      </w:pPr>
      <w:r w:rsidRPr="00CE2D18">
        <w:rPr>
          <w:vertAlign w:val="superscript"/>
        </w:rPr>
        <w:t>(b)</w:t>
      </w:r>
      <w:r>
        <w:tab/>
      </w:r>
      <w:r w:rsidRPr="00CE2D18">
        <w:t>Departmental appropriation combines 'Ordinary annual services Appropriation Bill (No. 1)' and 'Revenue from independent sources (s74)'.</w:t>
      </w:r>
    </w:p>
    <w:p w14:paraId="24E77A4C" w14:textId="6C53E58B" w:rsidR="00113191" w:rsidRDefault="00CE2D18" w:rsidP="00407741">
      <w:pPr>
        <w:pStyle w:val="FootnoteText"/>
      </w:pPr>
      <w:r w:rsidRPr="00CE2D18">
        <w:rPr>
          <w:vertAlign w:val="superscript"/>
        </w:rPr>
        <w:t>(c)</w:t>
      </w:r>
      <w:r>
        <w:tab/>
      </w:r>
      <w:r w:rsidRPr="00CE2D18">
        <w:t xml:space="preserve">Expenses not requiring appropriation in the Budget year are made up of depreciation expense, </w:t>
      </w:r>
      <w:r w:rsidR="00407741" w:rsidRPr="00CE2D18">
        <w:t xml:space="preserve">amortisation expense, </w:t>
      </w:r>
      <w:proofErr w:type="spellStart"/>
      <w:r w:rsidR="00407741" w:rsidRPr="00CE2D18">
        <w:t>makegood</w:t>
      </w:r>
      <w:proofErr w:type="spellEnd"/>
      <w:r w:rsidR="00407741" w:rsidRPr="00CE2D18">
        <w:t xml:space="preserve"> expense and audit fees.</w:t>
      </w:r>
    </w:p>
    <w:p w14:paraId="79392163" w14:textId="21BA812F" w:rsidR="00BC0659" w:rsidRPr="00113191" w:rsidRDefault="00BC0659" w:rsidP="00CE2D18">
      <w:pPr>
        <w:pStyle w:val="FootnoteText"/>
        <w:rPr>
          <w:rFonts w:ascii="Book Antiqua" w:hAnsi="Book Antiqua"/>
        </w:rPr>
      </w:pPr>
      <w:r w:rsidRPr="00113191">
        <w:rPr>
          <w:rFonts w:ascii="Book Antiqua" w:hAnsi="Book Antiqua"/>
        </w:rPr>
        <w:br w:type="page"/>
      </w:r>
    </w:p>
    <w:p w14:paraId="1FC2DC89" w14:textId="77777777" w:rsidR="00BC0659" w:rsidRPr="00EE76CA" w:rsidRDefault="00BC0659" w:rsidP="00BC0659">
      <w:pPr>
        <w:pStyle w:val="Heading4"/>
        <w:rPr>
          <w:color w:val="000000" w:themeColor="text1"/>
        </w:rPr>
      </w:pPr>
      <w:r w:rsidRPr="00EE76CA">
        <w:rPr>
          <w:color w:val="000000" w:themeColor="text1"/>
        </w:rPr>
        <w:lastRenderedPageBreak/>
        <w:t xml:space="preserve">Planned Performance for the </w:t>
      </w:r>
      <w:r w:rsidR="00CF2E99" w:rsidRPr="00EE76CA">
        <w:rPr>
          <w:color w:val="000000" w:themeColor="text1"/>
        </w:rPr>
        <w:t>OTA</w:t>
      </w:r>
    </w:p>
    <w:p w14:paraId="11933A21" w14:textId="160E64EC" w:rsidR="00BC0659" w:rsidRPr="00EE76CA" w:rsidRDefault="00BC0659" w:rsidP="00BC0659">
      <w:pPr>
        <w:rPr>
          <w:i/>
          <w:color w:val="000000" w:themeColor="text1"/>
        </w:rPr>
      </w:pPr>
      <w:r w:rsidRPr="00EE76CA">
        <w:rPr>
          <w:color w:val="000000" w:themeColor="text1"/>
        </w:rPr>
        <w:t xml:space="preserve">Table 2.1.2 details the performance </w:t>
      </w:r>
      <w:r w:rsidR="00CF2E99" w:rsidRPr="00EE76CA">
        <w:rPr>
          <w:color w:val="000000" w:themeColor="text1"/>
        </w:rPr>
        <w:t>measure</w:t>
      </w:r>
      <w:r w:rsidRPr="00EE76CA">
        <w:rPr>
          <w:color w:val="000000" w:themeColor="text1"/>
        </w:rPr>
        <w:t xml:space="preserve"> for the program associated with Outcome 1. </w:t>
      </w:r>
      <w:r w:rsidR="00005E03" w:rsidRPr="00005E03">
        <w:rPr>
          <w:color w:val="auto"/>
        </w:rPr>
        <w:t xml:space="preserve">It also provides the related key activities as expressed in the current </w:t>
      </w:r>
      <w:r w:rsidR="003F2264">
        <w:rPr>
          <w:color w:val="auto"/>
        </w:rPr>
        <w:t>C</w:t>
      </w:r>
      <w:r w:rsidR="00005E03" w:rsidRPr="00005E03">
        <w:rPr>
          <w:color w:val="auto"/>
        </w:rPr>
        <w:t xml:space="preserve">orporate </w:t>
      </w:r>
      <w:r w:rsidR="003F2264">
        <w:rPr>
          <w:color w:val="auto"/>
        </w:rPr>
        <w:t>P</w:t>
      </w:r>
      <w:r w:rsidR="00005E03" w:rsidRPr="00005E03">
        <w:rPr>
          <w:color w:val="auto"/>
        </w:rPr>
        <w:t xml:space="preserve">lan where further detail is provided about the delivery of the activities related to the program, the context in which these activities are delivered and how the performance of these activities will be measured. </w:t>
      </w:r>
      <w:r w:rsidR="00DF40C5">
        <w:rPr>
          <w:color w:val="auto"/>
        </w:rPr>
        <w:t>Where relevant, details of 2022–</w:t>
      </w:r>
      <w:r w:rsidR="00005E03" w:rsidRPr="00005E03">
        <w:rPr>
          <w:color w:val="auto"/>
        </w:rPr>
        <w:t>23 Budget measures that have created new programs or materially changed existing programs are provided.</w:t>
      </w:r>
    </w:p>
    <w:p w14:paraId="5829CCF8" w14:textId="4A7380C9" w:rsidR="00BC0659" w:rsidRPr="00EE76CA" w:rsidRDefault="00BC0659" w:rsidP="00BC0659">
      <w:pPr>
        <w:pStyle w:val="Tablenumberandreference"/>
        <w:rPr>
          <w:color w:val="000000" w:themeColor="text1"/>
        </w:rPr>
      </w:pPr>
      <w:r w:rsidRPr="00EE76CA">
        <w:rPr>
          <w:color w:val="000000" w:themeColor="text1"/>
        </w:rPr>
        <w:t xml:space="preserve">Table 2.1.2: Performance </w:t>
      </w:r>
      <w:r w:rsidR="00CF2E99" w:rsidRPr="00EE76CA">
        <w:rPr>
          <w:color w:val="000000" w:themeColor="text1"/>
        </w:rPr>
        <w:t>Measure</w:t>
      </w:r>
      <w:r w:rsidR="00F4035F" w:rsidRPr="00EE76CA">
        <w:rPr>
          <w:color w:val="000000" w:themeColor="text1"/>
        </w:rPr>
        <w:t>s</w:t>
      </w:r>
      <w:r w:rsidRPr="00EE76CA">
        <w:rPr>
          <w:color w:val="000000" w:themeColor="text1"/>
        </w:rPr>
        <w:t xml:space="preserve"> for the </w:t>
      </w:r>
      <w:r w:rsidR="00CF2E99" w:rsidRPr="00EE76CA">
        <w:rPr>
          <w:color w:val="000000" w:themeColor="text1"/>
        </w:rPr>
        <w:t>OTA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94"/>
        <w:gridCol w:w="1445"/>
        <w:gridCol w:w="1463"/>
        <w:gridCol w:w="1448"/>
        <w:gridCol w:w="1460"/>
      </w:tblGrid>
      <w:tr w:rsidR="00EE76CA" w:rsidRPr="00EE76CA" w14:paraId="30C22AEE" w14:textId="77777777" w:rsidTr="00210F0B">
        <w:trPr>
          <w:jc w:val="center"/>
        </w:trPr>
        <w:tc>
          <w:tcPr>
            <w:tcW w:w="5000" w:type="pct"/>
            <w:gridSpan w:val="5"/>
            <w:shd w:val="clear" w:color="auto" w:fill="D9D9D9" w:themeFill="background1" w:themeFillShade="D9"/>
            <w:tcMar>
              <w:left w:w="85" w:type="dxa"/>
            </w:tcMar>
            <w:vAlign w:val="center"/>
          </w:tcPr>
          <w:p w14:paraId="56A91CC9" w14:textId="4727CA20" w:rsidR="00A86EE3" w:rsidRPr="00E26AB1" w:rsidRDefault="00BC0659" w:rsidP="0052128F">
            <w:pPr>
              <w:pStyle w:val="Tableheadingrow9pt"/>
              <w:rPr>
                <w:color w:val="000000" w:themeColor="text1"/>
              </w:rPr>
            </w:pPr>
            <w:r w:rsidRPr="00EE76CA">
              <w:rPr>
                <w:color w:val="000000" w:themeColor="text1"/>
              </w:rPr>
              <w:t>Outcome 1</w:t>
            </w:r>
          </w:p>
        </w:tc>
      </w:tr>
      <w:tr w:rsidR="00EE76CA" w:rsidRPr="00EE76CA" w14:paraId="23E56AC1" w14:textId="77777777" w:rsidTr="0052128F">
        <w:trPr>
          <w:jc w:val="center"/>
        </w:trPr>
        <w:tc>
          <w:tcPr>
            <w:tcW w:w="5000" w:type="pct"/>
            <w:gridSpan w:val="5"/>
            <w:shd w:val="clear" w:color="auto" w:fill="auto"/>
            <w:tcMar>
              <w:left w:w="85" w:type="dxa"/>
            </w:tcMar>
          </w:tcPr>
          <w:p w14:paraId="23F5B31F" w14:textId="77777777" w:rsidR="00BC0659" w:rsidRPr="00EE76CA" w:rsidRDefault="00CF2E99" w:rsidP="0052128F">
            <w:pPr>
              <w:pStyle w:val="Tabletextnormal9pt"/>
              <w:rPr>
                <w:rFonts w:eastAsiaTheme="minorEastAsia"/>
                <w:color w:val="000000" w:themeColor="text1"/>
              </w:rPr>
            </w:pPr>
            <w:r w:rsidRPr="00EE76CA">
              <w:rPr>
                <w:rFonts w:eastAsiaTheme="minorEastAsia"/>
                <w:color w:val="000000" w:themeColor="text1"/>
              </w:rPr>
              <w:t>Improved access to organ and tissue transplants, including through a nationally coordinated and consistent approach and system.</w:t>
            </w:r>
          </w:p>
        </w:tc>
      </w:tr>
      <w:tr w:rsidR="00EE76CA" w:rsidRPr="00EE76CA" w14:paraId="4E0D0F32" w14:textId="77777777" w:rsidTr="0052128F">
        <w:trPr>
          <w:jc w:val="center"/>
        </w:trPr>
        <w:tc>
          <w:tcPr>
            <w:tcW w:w="5000" w:type="pct"/>
            <w:gridSpan w:val="5"/>
            <w:shd w:val="clear" w:color="auto" w:fill="D9D9D9" w:themeFill="background1" w:themeFillShade="D9"/>
            <w:tcMar>
              <w:left w:w="85" w:type="dxa"/>
            </w:tcMar>
          </w:tcPr>
          <w:p w14:paraId="333D3452" w14:textId="771DC99C" w:rsidR="00A86EE3" w:rsidRPr="00EE76CA" w:rsidRDefault="00BC0659" w:rsidP="00A956F7">
            <w:pPr>
              <w:pStyle w:val="Tableheadingrow9pt"/>
              <w:rPr>
                <w:color w:val="000000" w:themeColor="text1"/>
              </w:rPr>
            </w:pPr>
            <w:r w:rsidRPr="00EE76CA">
              <w:rPr>
                <w:color w:val="000000" w:themeColor="text1"/>
              </w:rPr>
              <w:t xml:space="preserve">Program Objective – Program 1.1: </w:t>
            </w:r>
            <w:r w:rsidR="00CF2E99" w:rsidRPr="00EE76CA">
              <w:rPr>
                <w:color w:val="000000" w:themeColor="text1"/>
              </w:rPr>
              <w:t>A Nationally Coordinated System for Organ and Tissue Donation for Transplantation</w:t>
            </w:r>
          </w:p>
        </w:tc>
      </w:tr>
      <w:tr w:rsidR="00EE76CA" w:rsidRPr="00EE76CA" w14:paraId="14982E3E" w14:textId="77777777" w:rsidTr="0052128F">
        <w:trPr>
          <w:jc w:val="center"/>
        </w:trPr>
        <w:tc>
          <w:tcPr>
            <w:tcW w:w="5000" w:type="pct"/>
            <w:gridSpan w:val="5"/>
            <w:shd w:val="clear" w:color="auto" w:fill="auto"/>
            <w:tcMar>
              <w:left w:w="85" w:type="dxa"/>
            </w:tcMar>
          </w:tcPr>
          <w:p w14:paraId="660CD019" w14:textId="2786D918" w:rsidR="00BC0659" w:rsidRPr="00EE76CA" w:rsidRDefault="00DC4CA3" w:rsidP="00117748">
            <w:pPr>
              <w:pStyle w:val="Tabletextnormal9pt"/>
              <w:rPr>
                <w:rFonts w:eastAsiaTheme="minorEastAsia"/>
                <w:color w:val="000000" w:themeColor="text1"/>
              </w:rPr>
            </w:pPr>
            <w:r w:rsidRPr="00EE76CA">
              <w:rPr>
                <w:rFonts w:eastAsiaTheme="minorEastAsia"/>
                <w:color w:val="000000" w:themeColor="text1"/>
              </w:rPr>
              <w:t xml:space="preserve">Lead the delivery of national systems and processes, and continue to raise community awareness to </w:t>
            </w:r>
            <w:r w:rsidR="00117748" w:rsidRPr="00EE76CA">
              <w:rPr>
                <w:rFonts w:eastAsiaTheme="minorEastAsia"/>
                <w:color w:val="000000" w:themeColor="text1"/>
              </w:rPr>
              <w:t xml:space="preserve">increase </w:t>
            </w:r>
            <w:r w:rsidRPr="00EE76CA">
              <w:rPr>
                <w:rFonts w:eastAsiaTheme="minorEastAsia"/>
                <w:color w:val="000000" w:themeColor="text1"/>
              </w:rPr>
              <w:t xml:space="preserve">donation transplantation in collaboration with state and territory governments, </w:t>
            </w:r>
            <w:r w:rsidR="00CF3C53">
              <w:rPr>
                <w:rFonts w:eastAsiaTheme="minorEastAsia"/>
                <w:color w:val="000000" w:themeColor="text1"/>
              </w:rPr>
              <w:t xml:space="preserve">the </w:t>
            </w:r>
            <w:r w:rsidRPr="00EE76CA">
              <w:rPr>
                <w:rFonts w:eastAsiaTheme="minorEastAsia"/>
                <w:color w:val="000000" w:themeColor="text1"/>
              </w:rPr>
              <w:t>DonateLife Network,</w:t>
            </w:r>
            <w:r w:rsidR="00CF3C53">
              <w:rPr>
                <w:rFonts w:eastAsiaTheme="minorEastAsia"/>
                <w:color w:val="000000" w:themeColor="text1"/>
              </w:rPr>
              <w:t xml:space="preserve"> hospitals,</w:t>
            </w:r>
            <w:r w:rsidRPr="00EE76CA">
              <w:rPr>
                <w:rFonts w:eastAsiaTheme="minorEastAsia"/>
                <w:color w:val="000000" w:themeColor="text1"/>
              </w:rPr>
              <w:t xml:space="preserve"> clinicians, and the community.</w:t>
            </w:r>
          </w:p>
        </w:tc>
      </w:tr>
      <w:tr w:rsidR="00EE76CA" w:rsidRPr="00EE76CA" w14:paraId="111E4869" w14:textId="77777777" w:rsidTr="0052128F">
        <w:trPr>
          <w:jc w:val="center"/>
        </w:trPr>
        <w:tc>
          <w:tcPr>
            <w:tcW w:w="5000" w:type="pct"/>
            <w:gridSpan w:val="5"/>
            <w:shd w:val="clear" w:color="auto" w:fill="D9D9D9" w:themeFill="background1" w:themeFillShade="D9"/>
            <w:tcMar>
              <w:left w:w="85" w:type="dxa"/>
            </w:tcMar>
            <w:vAlign w:val="center"/>
          </w:tcPr>
          <w:p w14:paraId="2D32CE3A" w14:textId="443384AF" w:rsidR="00A86EE3" w:rsidRPr="00043127" w:rsidRDefault="00005E03" w:rsidP="00005E03">
            <w:pPr>
              <w:pStyle w:val="Tableheadingrow9pt"/>
              <w:rPr>
                <w:color w:val="000000" w:themeColor="text1"/>
              </w:rPr>
            </w:pPr>
            <w:r>
              <w:rPr>
                <w:color w:val="000000" w:themeColor="text1"/>
              </w:rPr>
              <w:t>Key Activities</w:t>
            </w:r>
          </w:p>
        </w:tc>
      </w:tr>
      <w:tr w:rsidR="00BC0659" w:rsidRPr="00EE76CA" w14:paraId="54135C7E" w14:textId="77777777" w:rsidTr="000459A6">
        <w:trPr>
          <w:trHeight w:val="880"/>
          <w:jc w:val="center"/>
        </w:trPr>
        <w:tc>
          <w:tcPr>
            <w:tcW w:w="5000" w:type="pct"/>
            <w:gridSpan w:val="5"/>
            <w:tcBorders>
              <w:bottom w:val="single" w:sz="4" w:space="0" w:color="auto"/>
            </w:tcBorders>
            <w:shd w:val="clear" w:color="auto" w:fill="auto"/>
            <w:tcMar>
              <w:left w:w="85" w:type="dxa"/>
            </w:tcMar>
          </w:tcPr>
          <w:p w14:paraId="60DAAAC0" w14:textId="521E48AF" w:rsidR="00BC0659" w:rsidRPr="00E26AB1" w:rsidRDefault="00043127" w:rsidP="00DC5CC6">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color w:val="000000" w:themeColor="text1"/>
                <w:sz w:val="18"/>
                <w:szCs w:val="18"/>
              </w:rPr>
            </w:pPr>
            <w:r w:rsidRPr="00E26AB1">
              <w:rPr>
                <w:rFonts w:ascii="Arial" w:hAnsi="Arial" w:cs="Arial"/>
                <w:color w:val="000000" w:themeColor="text1"/>
                <w:sz w:val="18"/>
                <w:szCs w:val="18"/>
              </w:rPr>
              <w:t>Increase donation for transplantation</w:t>
            </w:r>
            <w:r w:rsidR="000459A6">
              <w:rPr>
                <w:rFonts w:ascii="Arial" w:hAnsi="Arial" w:cs="Arial"/>
                <w:color w:val="000000" w:themeColor="text1"/>
                <w:sz w:val="18"/>
                <w:szCs w:val="18"/>
              </w:rPr>
              <w:t>.</w:t>
            </w:r>
          </w:p>
          <w:p w14:paraId="017AE02A" w14:textId="4C4AD799" w:rsidR="00043127" w:rsidRPr="00E26AB1" w:rsidRDefault="00043127" w:rsidP="00DC5CC6">
            <w:pPr>
              <w:pStyle w:val="ListParagraph"/>
              <w:numPr>
                <w:ilvl w:val="0"/>
                <w:numId w:val="9"/>
              </w:numPr>
              <w:spacing w:before="40" w:after="40"/>
              <w:ind w:left="284" w:hanging="284"/>
              <w:contextualSpacing w:val="0"/>
              <w:rPr>
                <w:rFonts w:ascii="Arial" w:hAnsi="Arial" w:cs="Arial"/>
                <w:sz w:val="18"/>
                <w:szCs w:val="18"/>
              </w:rPr>
            </w:pPr>
            <w:r w:rsidRPr="00E26AB1">
              <w:rPr>
                <w:rFonts w:ascii="Arial" w:hAnsi="Arial" w:cs="Arial"/>
                <w:sz w:val="18"/>
                <w:szCs w:val="18"/>
              </w:rPr>
              <w:t>Increase consent rates for deceased organ and tissue donation</w:t>
            </w:r>
            <w:r w:rsidR="000459A6">
              <w:rPr>
                <w:rFonts w:ascii="Arial" w:hAnsi="Arial" w:cs="Arial"/>
                <w:sz w:val="18"/>
                <w:szCs w:val="18"/>
              </w:rPr>
              <w:t>.</w:t>
            </w:r>
          </w:p>
          <w:p w14:paraId="1E0707ED" w14:textId="4C48429A" w:rsidR="00043127" w:rsidRPr="00043127" w:rsidRDefault="00043127" w:rsidP="00DC5CC6">
            <w:pPr>
              <w:pStyle w:val="Tabletextnormal9pt"/>
              <w:numPr>
                <w:ilvl w:val="0"/>
                <w:numId w:val="9"/>
              </w:numPr>
              <w:ind w:left="284" w:hanging="284"/>
              <w:rPr>
                <w:color w:val="000000" w:themeColor="text1"/>
              </w:rPr>
            </w:pPr>
            <w:r w:rsidRPr="00043127">
              <w:rPr>
                <w:color w:val="000000" w:themeColor="text1"/>
              </w:rPr>
              <w:t>Provide specialist support for families involved in the donation process</w:t>
            </w:r>
            <w:r w:rsidR="000459A6">
              <w:rPr>
                <w:color w:val="000000" w:themeColor="text1"/>
              </w:rPr>
              <w:t>.</w:t>
            </w:r>
          </w:p>
          <w:p w14:paraId="1265524F" w14:textId="47DCF7EB" w:rsidR="00773FAE" w:rsidRPr="000459A6" w:rsidRDefault="00043127" w:rsidP="00DC5CC6">
            <w:pPr>
              <w:pStyle w:val="ListParagraph"/>
              <w:numPr>
                <w:ilvl w:val="0"/>
                <w:numId w:val="9"/>
              </w:numPr>
              <w:spacing w:before="40" w:after="40"/>
              <w:ind w:left="284" w:hanging="284"/>
              <w:contextualSpacing w:val="0"/>
              <w:rPr>
                <w:rFonts w:ascii="Arial" w:hAnsi="Arial" w:cs="Arial"/>
                <w:color w:val="000000" w:themeColor="text1"/>
                <w:sz w:val="18"/>
                <w:szCs w:val="18"/>
              </w:rPr>
            </w:pPr>
            <w:r w:rsidRPr="00E26AB1">
              <w:rPr>
                <w:rFonts w:ascii="Arial" w:hAnsi="Arial" w:cs="Arial"/>
                <w:color w:val="000000" w:themeColor="text1"/>
                <w:sz w:val="18"/>
                <w:szCs w:val="18"/>
              </w:rPr>
              <w:t>Enhance systems and processes to support donation and transplantation</w:t>
            </w:r>
            <w:r w:rsidR="000459A6">
              <w:rPr>
                <w:rFonts w:ascii="Arial" w:hAnsi="Arial" w:cs="Arial"/>
                <w:color w:val="000000" w:themeColor="text1"/>
                <w:sz w:val="18"/>
                <w:szCs w:val="18"/>
              </w:rPr>
              <w:t>.</w:t>
            </w:r>
          </w:p>
        </w:tc>
      </w:tr>
      <w:tr w:rsidR="00EE76CA" w:rsidRPr="00EE76CA" w14:paraId="7F7ECEFC" w14:textId="77777777" w:rsidTr="0052128F">
        <w:trPr>
          <w:trHeight w:val="104"/>
          <w:tblHeader/>
          <w:jc w:val="center"/>
        </w:trPr>
        <w:tc>
          <w:tcPr>
            <w:tcW w:w="5000" w:type="pct"/>
            <w:gridSpan w:val="5"/>
            <w:shd w:val="clear" w:color="auto" w:fill="D9D9D9" w:themeFill="background1" w:themeFillShade="D9"/>
            <w:tcMar>
              <w:left w:w="85" w:type="dxa"/>
            </w:tcMar>
          </w:tcPr>
          <w:p w14:paraId="1D41C712" w14:textId="04DE5C6F" w:rsidR="00005E03" w:rsidRPr="00EE76CA" w:rsidRDefault="00BC0659" w:rsidP="00210F0B">
            <w:pPr>
              <w:pStyle w:val="Tableheadingrow9pt"/>
              <w:keepNext/>
              <w:keepLines/>
              <w:rPr>
                <w:color w:val="000000" w:themeColor="text1"/>
              </w:rPr>
            </w:pPr>
            <w:r w:rsidRPr="00EE76CA">
              <w:rPr>
                <w:color w:val="000000" w:themeColor="text1"/>
              </w:rPr>
              <w:t xml:space="preserve">Performance </w:t>
            </w:r>
            <w:r w:rsidR="00CF2E99" w:rsidRPr="00EE76CA">
              <w:rPr>
                <w:color w:val="000000" w:themeColor="text1"/>
              </w:rPr>
              <w:t>Measure</w:t>
            </w:r>
            <w:r w:rsidR="000B033D" w:rsidRPr="00EE76CA">
              <w:rPr>
                <w:color w:val="000000" w:themeColor="text1"/>
              </w:rPr>
              <w:t>s</w:t>
            </w:r>
            <w:r w:rsidR="00E10372" w:rsidRPr="00EE76CA">
              <w:rPr>
                <w:rStyle w:val="FootnoteReference"/>
                <w:rFonts w:ascii="Arial Bold" w:hAnsi="Arial Bold"/>
                <w:color w:val="000000" w:themeColor="text1"/>
                <w:sz w:val="18"/>
              </w:rPr>
              <w:footnoteReference w:id="2"/>
            </w:r>
          </w:p>
        </w:tc>
      </w:tr>
      <w:tr w:rsidR="00EE76CA" w:rsidRPr="00EE76CA" w14:paraId="6CFEF16D" w14:textId="77777777" w:rsidTr="0052128F">
        <w:tblPrEx>
          <w:tblCellMar>
            <w:top w:w="0" w:type="dxa"/>
            <w:left w:w="108" w:type="dxa"/>
            <w:bottom w:w="0" w:type="dxa"/>
            <w:right w:w="108" w:type="dxa"/>
          </w:tblCellMar>
        </w:tblPrEx>
        <w:trPr>
          <w:trHeight w:val="70"/>
          <w:jc w:val="center"/>
        </w:trPr>
        <w:tc>
          <w:tcPr>
            <w:tcW w:w="5000" w:type="pct"/>
            <w:gridSpan w:val="5"/>
            <w:shd w:val="clear" w:color="auto" w:fill="D9D9D9" w:themeFill="background1" w:themeFillShade="D9"/>
            <w:tcMar>
              <w:left w:w="85" w:type="dxa"/>
            </w:tcMar>
            <w:vAlign w:val="center"/>
          </w:tcPr>
          <w:p w14:paraId="3ED78465" w14:textId="654B086D" w:rsidR="00005E03" w:rsidRPr="00D80DF5" w:rsidRDefault="00CF2E99" w:rsidP="00005E03">
            <w:pPr>
              <w:pStyle w:val="Tableheadingrowmeasures85pt"/>
              <w:rPr>
                <w:color w:val="000000" w:themeColor="text1"/>
              </w:rPr>
            </w:pPr>
            <w:r w:rsidRPr="00EE76CA">
              <w:rPr>
                <w:color w:val="000000" w:themeColor="text1"/>
              </w:rPr>
              <w:t>Increase the donation rate of deceased organ donors per million population (dpmp) through delivery of a nationally coordinated and consistent approach.</w:t>
            </w:r>
          </w:p>
        </w:tc>
      </w:tr>
      <w:tr w:rsidR="002B0F4E" w:rsidRPr="00EE76CA" w14:paraId="1D09B61F" w14:textId="77777777" w:rsidTr="001940BD">
        <w:tblPrEx>
          <w:tblCellMar>
            <w:top w:w="0" w:type="dxa"/>
            <w:left w:w="108" w:type="dxa"/>
            <w:bottom w:w="0" w:type="dxa"/>
            <w:right w:w="108" w:type="dxa"/>
          </w:tblCellMar>
        </w:tblPrEx>
        <w:trPr>
          <w:trHeight w:val="132"/>
          <w:jc w:val="center"/>
        </w:trPr>
        <w:tc>
          <w:tcPr>
            <w:tcW w:w="1076" w:type="pct"/>
            <w:shd w:val="clear" w:color="auto" w:fill="auto"/>
            <w:tcMar>
              <w:left w:w="85" w:type="dxa"/>
            </w:tcMar>
            <w:vAlign w:val="center"/>
          </w:tcPr>
          <w:p w14:paraId="0B80E188" w14:textId="7638C6B4" w:rsidR="002B0F4E" w:rsidRPr="00EE76CA" w:rsidRDefault="002B0F4E" w:rsidP="006D7974">
            <w:pPr>
              <w:pStyle w:val="Tableheadingrowmeasures85pt"/>
              <w:keepNext/>
              <w:keepLines/>
              <w:rPr>
                <w:color w:val="000000" w:themeColor="text1"/>
              </w:rPr>
            </w:pPr>
            <w:r>
              <w:rPr>
                <w:color w:val="auto"/>
              </w:rPr>
              <w:t>Current Year</w:t>
            </w:r>
            <w:r>
              <w:rPr>
                <w:color w:val="auto"/>
              </w:rPr>
              <w:br/>
            </w:r>
            <w:r w:rsidRPr="005D0368">
              <w:rPr>
                <w:color w:val="auto"/>
              </w:rPr>
              <w:t>202</w:t>
            </w:r>
            <w:r w:rsidR="00D80DF5">
              <w:rPr>
                <w:color w:val="auto"/>
              </w:rPr>
              <w:t>1</w:t>
            </w:r>
            <w:r>
              <w:rPr>
                <w:color w:val="auto"/>
              </w:rPr>
              <w:br/>
              <w:t>Planned Performance Result</w:t>
            </w:r>
            <w:r w:rsidRPr="00EE76CA">
              <w:rPr>
                <w:rStyle w:val="FootnoteReference"/>
                <w:rFonts w:ascii="Arial Bold" w:hAnsi="Arial Bold"/>
                <w:color w:val="000000" w:themeColor="text1"/>
                <w:sz w:val="17"/>
              </w:rPr>
              <w:t xml:space="preserve"> </w:t>
            </w:r>
          </w:p>
        </w:tc>
        <w:tc>
          <w:tcPr>
            <w:tcW w:w="975" w:type="pct"/>
            <w:shd w:val="clear" w:color="auto" w:fill="auto"/>
            <w:tcMar>
              <w:left w:w="85" w:type="dxa"/>
            </w:tcMar>
          </w:tcPr>
          <w:p w14:paraId="6A58C67E" w14:textId="0CB982D0" w:rsidR="002B0F4E" w:rsidRPr="00EE76CA" w:rsidRDefault="002B0F4E" w:rsidP="001940BD">
            <w:pPr>
              <w:pStyle w:val="Tableheadingrowmeasures85pt"/>
              <w:keepNext/>
              <w:keepLines/>
              <w:rPr>
                <w:color w:val="000000" w:themeColor="text1"/>
              </w:rPr>
            </w:pPr>
            <w:r>
              <w:rPr>
                <w:color w:val="auto"/>
              </w:rPr>
              <w:t>Budget Year</w:t>
            </w:r>
            <w:r>
              <w:rPr>
                <w:color w:val="auto"/>
              </w:rPr>
              <w:br/>
            </w:r>
            <w:r w:rsidRPr="005D0368">
              <w:rPr>
                <w:color w:val="auto"/>
              </w:rPr>
              <w:t>202</w:t>
            </w:r>
            <w:r>
              <w:rPr>
                <w:color w:val="auto"/>
              </w:rPr>
              <w:t>2</w:t>
            </w:r>
            <w:r w:rsidRPr="005D0368">
              <w:rPr>
                <w:color w:val="auto"/>
              </w:rPr>
              <w:t xml:space="preserve"> </w:t>
            </w:r>
            <w:r>
              <w:rPr>
                <w:color w:val="auto"/>
              </w:rPr>
              <w:t>Planned Performance Result</w:t>
            </w:r>
            <w:r w:rsidRPr="00EE76CA">
              <w:rPr>
                <w:rStyle w:val="FootnoteReference"/>
                <w:rFonts w:ascii="Arial Bold" w:hAnsi="Arial Bold"/>
                <w:color w:val="000000" w:themeColor="text1"/>
                <w:sz w:val="17"/>
              </w:rPr>
              <w:t xml:space="preserve"> </w:t>
            </w:r>
          </w:p>
        </w:tc>
        <w:tc>
          <w:tcPr>
            <w:tcW w:w="987" w:type="pct"/>
            <w:shd w:val="clear" w:color="auto" w:fill="auto"/>
            <w:tcMar>
              <w:left w:w="85" w:type="dxa"/>
            </w:tcMar>
          </w:tcPr>
          <w:p w14:paraId="6AC3B06E" w14:textId="594EF7D5" w:rsidR="002B0F4E" w:rsidRPr="00EE76CA" w:rsidRDefault="002B0F4E" w:rsidP="002B0F4E">
            <w:pPr>
              <w:pStyle w:val="Tableheadingrowmeasures85pt"/>
              <w:keepNext/>
              <w:keepLines/>
              <w:rPr>
                <w:color w:val="000000" w:themeColor="text1"/>
              </w:rPr>
            </w:pPr>
            <w:r>
              <w:rPr>
                <w:color w:val="auto"/>
              </w:rPr>
              <w:t>Forward Estimates</w:t>
            </w:r>
            <w:r>
              <w:rPr>
                <w:color w:val="auto"/>
              </w:rPr>
              <w:br/>
            </w:r>
            <w:r w:rsidRPr="005D0368">
              <w:rPr>
                <w:color w:val="auto"/>
              </w:rPr>
              <w:t>202</w:t>
            </w:r>
            <w:r>
              <w:rPr>
                <w:color w:val="auto"/>
              </w:rPr>
              <w:t>3</w:t>
            </w:r>
            <w:r w:rsidRPr="005D0368">
              <w:rPr>
                <w:color w:val="auto"/>
              </w:rPr>
              <w:t xml:space="preserve"> </w:t>
            </w:r>
            <w:r>
              <w:rPr>
                <w:color w:val="auto"/>
              </w:rPr>
              <w:t>Planned Performance Result</w:t>
            </w:r>
          </w:p>
        </w:tc>
        <w:tc>
          <w:tcPr>
            <w:tcW w:w="977" w:type="pct"/>
            <w:shd w:val="clear" w:color="auto" w:fill="auto"/>
            <w:tcMar>
              <w:left w:w="85" w:type="dxa"/>
            </w:tcMar>
          </w:tcPr>
          <w:p w14:paraId="705451F0" w14:textId="75CC4CBC" w:rsidR="002B0F4E" w:rsidRPr="00EE76CA" w:rsidRDefault="002B0F4E" w:rsidP="002B0F4E">
            <w:pPr>
              <w:pStyle w:val="Tableheadingrowmeasures85pt"/>
              <w:rPr>
                <w:color w:val="000000" w:themeColor="text1"/>
              </w:rPr>
            </w:pPr>
            <w:r>
              <w:rPr>
                <w:color w:val="auto"/>
              </w:rPr>
              <w:t>Forward Estimates</w:t>
            </w:r>
            <w:r>
              <w:rPr>
                <w:color w:val="auto"/>
              </w:rPr>
              <w:br/>
            </w:r>
            <w:r w:rsidRPr="005D0368">
              <w:rPr>
                <w:color w:val="auto"/>
              </w:rPr>
              <w:t>202</w:t>
            </w:r>
            <w:r>
              <w:rPr>
                <w:color w:val="auto"/>
              </w:rPr>
              <w:t>4</w:t>
            </w:r>
            <w:r w:rsidR="00D80DF5">
              <w:rPr>
                <w:color w:val="auto"/>
              </w:rPr>
              <w:t xml:space="preserve"> </w:t>
            </w:r>
            <w:r>
              <w:rPr>
                <w:color w:val="auto"/>
              </w:rPr>
              <w:t>Planned Performance Result</w:t>
            </w:r>
          </w:p>
        </w:tc>
        <w:tc>
          <w:tcPr>
            <w:tcW w:w="985" w:type="pct"/>
            <w:shd w:val="clear" w:color="auto" w:fill="auto"/>
            <w:tcMar>
              <w:left w:w="85" w:type="dxa"/>
            </w:tcMar>
          </w:tcPr>
          <w:p w14:paraId="6DD84631" w14:textId="4244B88F" w:rsidR="002B0F4E" w:rsidRPr="00EE76CA" w:rsidRDefault="002B0F4E" w:rsidP="002B0F4E">
            <w:pPr>
              <w:pStyle w:val="Tableheadingrowmeasures85pt"/>
              <w:rPr>
                <w:color w:val="000000" w:themeColor="text1"/>
              </w:rPr>
            </w:pPr>
            <w:r>
              <w:rPr>
                <w:color w:val="auto"/>
              </w:rPr>
              <w:t>Forward Estimates</w:t>
            </w:r>
            <w:r>
              <w:rPr>
                <w:color w:val="auto"/>
              </w:rPr>
              <w:br/>
            </w:r>
            <w:r w:rsidRPr="005D0368">
              <w:rPr>
                <w:color w:val="auto"/>
              </w:rPr>
              <w:t>202</w:t>
            </w:r>
            <w:r>
              <w:rPr>
                <w:color w:val="auto"/>
              </w:rPr>
              <w:t>5</w:t>
            </w:r>
            <w:r w:rsidR="00D80DF5">
              <w:rPr>
                <w:color w:val="auto"/>
              </w:rPr>
              <w:t xml:space="preserve"> </w:t>
            </w:r>
            <w:r>
              <w:rPr>
                <w:color w:val="auto"/>
              </w:rPr>
              <w:t>Planned Performance Result</w:t>
            </w:r>
          </w:p>
        </w:tc>
      </w:tr>
      <w:tr w:rsidR="00EE76CA" w:rsidRPr="00EE76CA" w14:paraId="78645080" w14:textId="77777777" w:rsidTr="0052128F">
        <w:tblPrEx>
          <w:tblCellMar>
            <w:top w:w="0" w:type="dxa"/>
            <w:left w:w="108" w:type="dxa"/>
            <w:bottom w:w="0" w:type="dxa"/>
            <w:right w:w="108" w:type="dxa"/>
          </w:tblCellMar>
        </w:tblPrEx>
        <w:trPr>
          <w:jc w:val="center"/>
        </w:trPr>
        <w:tc>
          <w:tcPr>
            <w:tcW w:w="1076" w:type="pct"/>
            <w:shd w:val="clear" w:color="auto" w:fill="auto"/>
            <w:tcMar>
              <w:left w:w="85" w:type="dxa"/>
            </w:tcMar>
          </w:tcPr>
          <w:p w14:paraId="189C8188" w14:textId="77777777" w:rsidR="00335A4B" w:rsidRPr="00EE76CA" w:rsidRDefault="00335A4B" w:rsidP="00335A4B">
            <w:pPr>
              <w:pStyle w:val="Tabletextmeasures85pt"/>
              <w:keepNext/>
              <w:rPr>
                <w:color w:val="000000" w:themeColor="text1"/>
              </w:rPr>
            </w:pPr>
            <w:r w:rsidRPr="00EE76CA">
              <w:rPr>
                <w:color w:val="000000" w:themeColor="text1"/>
              </w:rPr>
              <w:t>25 dpmp</w:t>
            </w:r>
          </w:p>
        </w:tc>
        <w:tc>
          <w:tcPr>
            <w:tcW w:w="975" w:type="pct"/>
            <w:vMerge w:val="restart"/>
            <w:shd w:val="clear" w:color="auto" w:fill="auto"/>
            <w:tcMar>
              <w:left w:w="85" w:type="dxa"/>
            </w:tcMar>
          </w:tcPr>
          <w:p w14:paraId="4721EFB5" w14:textId="7095BBDA" w:rsidR="002958C8" w:rsidRPr="00EE76CA" w:rsidRDefault="00DC4CA3" w:rsidP="0017078A">
            <w:pPr>
              <w:pStyle w:val="Tabletextmeasures85pt"/>
              <w:rPr>
                <w:color w:val="000000" w:themeColor="text1"/>
              </w:rPr>
            </w:pPr>
            <w:r w:rsidRPr="00EE76CA">
              <w:rPr>
                <w:color w:val="000000" w:themeColor="text1"/>
              </w:rPr>
              <w:t>25 dpmp</w:t>
            </w:r>
          </w:p>
        </w:tc>
        <w:tc>
          <w:tcPr>
            <w:tcW w:w="987" w:type="pct"/>
            <w:vMerge w:val="restart"/>
            <w:shd w:val="clear" w:color="auto" w:fill="auto"/>
            <w:tcMar>
              <w:left w:w="85" w:type="dxa"/>
            </w:tcMar>
          </w:tcPr>
          <w:p w14:paraId="7BF5E085" w14:textId="0FC94070" w:rsidR="00335A4B" w:rsidRPr="00EE76CA" w:rsidRDefault="00D80DF5" w:rsidP="00335A4B">
            <w:pPr>
              <w:pStyle w:val="Tabletextmeasures85pt"/>
              <w:rPr>
                <w:color w:val="000000" w:themeColor="text1"/>
              </w:rPr>
            </w:pPr>
            <w:r>
              <w:rPr>
                <w:color w:val="000000" w:themeColor="text1"/>
              </w:rPr>
              <w:t>25 dpmp</w:t>
            </w:r>
          </w:p>
        </w:tc>
        <w:tc>
          <w:tcPr>
            <w:tcW w:w="977" w:type="pct"/>
            <w:vMerge w:val="restart"/>
            <w:shd w:val="clear" w:color="auto" w:fill="auto"/>
            <w:tcMar>
              <w:left w:w="85" w:type="dxa"/>
            </w:tcMar>
          </w:tcPr>
          <w:p w14:paraId="22B3527E" w14:textId="74D0E789" w:rsidR="006B0F59" w:rsidRPr="00EE76CA" w:rsidRDefault="00801BB7" w:rsidP="00335A4B">
            <w:pPr>
              <w:pStyle w:val="Tabletextmeasures85pt"/>
              <w:rPr>
                <w:color w:val="000000" w:themeColor="text1"/>
              </w:rPr>
            </w:pPr>
            <w:r>
              <w:rPr>
                <w:color w:val="000000" w:themeColor="text1"/>
              </w:rPr>
              <w:t>25 dpmp</w:t>
            </w:r>
          </w:p>
        </w:tc>
        <w:tc>
          <w:tcPr>
            <w:tcW w:w="985" w:type="pct"/>
            <w:vMerge w:val="restart"/>
            <w:shd w:val="clear" w:color="auto" w:fill="auto"/>
            <w:tcMar>
              <w:left w:w="85" w:type="dxa"/>
            </w:tcMar>
          </w:tcPr>
          <w:p w14:paraId="54706F22" w14:textId="5D69F83B" w:rsidR="00335A4B" w:rsidRPr="00EE76CA" w:rsidRDefault="00801BB7" w:rsidP="00335A4B">
            <w:pPr>
              <w:pStyle w:val="Tabletextmeasures85pt"/>
              <w:rPr>
                <w:color w:val="000000" w:themeColor="text1"/>
                <w:highlight w:val="yellow"/>
              </w:rPr>
            </w:pPr>
            <w:r w:rsidRPr="00F35E34">
              <w:rPr>
                <w:color w:val="000000" w:themeColor="text1"/>
              </w:rPr>
              <w:t>25 dpmp</w:t>
            </w:r>
          </w:p>
        </w:tc>
      </w:tr>
      <w:tr w:rsidR="00EE76CA" w:rsidRPr="00EE76CA" w14:paraId="0428C8E0" w14:textId="77777777" w:rsidTr="0052128F">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3B7146F2" w14:textId="7174B239" w:rsidR="00335A4B" w:rsidRPr="00EE76CA" w:rsidRDefault="00DC4CA3" w:rsidP="001C78E9">
            <w:pPr>
              <w:pStyle w:val="Tabletextmeasures85pt"/>
              <w:rPr>
                <w:b/>
                <w:color w:val="000000" w:themeColor="text1"/>
                <w:highlight w:val="yellow"/>
              </w:rPr>
            </w:pPr>
            <w:r w:rsidRPr="00EE76CA">
              <w:rPr>
                <w:b/>
                <w:color w:val="000000" w:themeColor="text1"/>
              </w:rPr>
              <w:t>202</w:t>
            </w:r>
            <w:r w:rsidR="001C78E9">
              <w:rPr>
                <w:b/>
                <w:color w:val="000000" w:themeColor="text1"/>
              </w:rPr>
              <w:t>1</w:t>
            </w:r>
            <w:r w:rsidR="00005E03">
              <w:rPr>
                <w:b/>
                <w:color w:val="000000" w:themeColor="text1"/>
              </w:rPr>
              <w:t xml:space="preserve"> Performance Result</w:t>
            </w:r>
          </w:p>
        </w:tc>
        <w:tc>
          <w:tcPr>
            <w:tcW w:w="975" w:type="pct"/>
            <w:vMerge/>
            <w:shd w:val="clear" w:color="auto" w:fill="auto"/>
            <w:tcMar>
              <w:left w:w="85" w:type="dxa"/>
            </w:tcMar>
          </w:tcPr>
          <w:p w14:paraId="03BB82EA" w14:textId="77777777" w:rsidR="00335A4B" w:rsidRPr="00EE76CA" w:rsidRDefault="00335A4B" w:rsidP="00335A4B">
            <w:pPr>
              <w:pStyle w:val="Tabletextmeasures85pt"/>
              <w:rPr>
                <w:color w:val="000000" w:themeColor="text1"/>
                <w:highlight w:val="yellow"/>
              </w:rPr>
            </w:pPr>
          </w:p>
        </w:tc>
        <w:tc>
          <w:tcPr>
            <w:tcW w:w="987" w:type="pct"/>
            <w:vMerge/>
            <w:shd w:val="clear" w:color="auto" w:fill="auto"/>
            <w:tcMar>
              <w:left w:w="85" w:type="dxa"/>
            </w:tcMar>
          </w:tcPr>
          <w:p w14:paraId="4B9A0C0C" w14:textId="77777777" w:rsidR="00335A4B" w:rsidRPr="00EE76CA" w:rsidRDefault="00335A4B" w:rsidP="00335A4B">
            <w:pPr>
              <w:pStyle w:val="Tabletextmeasures85pt"/>
              <w:rPr>
                <w:color w:val="000000" w:themeColor="text1"/>
                <w:highlight w:val="yellow"/>
              </w:rPr>
            </w:pPr>
          </w:p>
        </w:tc>
        <w:tc>
          <w:tcPr>
            <w:tcW w:w="977" w:type="pct"/>
            <w:vMerge/>
            <w:shd w:val="clear" w:color="auto" w:fill="auto"/>
            <w:tcMar>
              <w:left w:w="85" w:type="dxa"/>
            </w:tcMar>
          </w:tcPr>
          <w:p w14:paraId="6FCCF54F" w14:textId="77777777" w:rsidR="00335A4B" w:rsidRPr="00EE76CA" w:rsidRDefault="00335A4B" w:rsidP="00335A4B">
            <w:pPr>
              <w:pStyle w:val="Tabletextmeasures85pt"/>
              <w:rPr>
                <w:color w:val="000000" w:themeColor="text1"/>
                <w:highlight w:val="yellow"/>
              </w:rPr>
            </w:pPr>
          </w:p>
        </w:tc>
        <w:tc>
          <w:tcPr>
            <w:tcW w:w="985" w:type="pct"/>
            <w:vMerge/>
            <w:shd w:val="clear" w:color="auto" w:fill="auto"/>
            <w:tcMar>
              <w:left w:w="85" w:type="dxa"/>
            </w:tcMar>
          </w:tcPr>
          <w:p w14:paraId="24EBC672" w14:textId="77777777" w:rsidR="00335A4B" w:rsidRPr="00EE76CA" w:rsidRDefault="00335A4B" w:rsidP="00335A4B">
            <w:pPr>
              <w:pStyle w:val="Tabletextmeasures85pt"/>
              <w:rPr>
                <w:color w:val="000000" w:themeColor="text1"/>
                <w:highlight w:val="yellow"/>
              </w:rPr>
            </w:pPr>
          </w:p>
        </w:tc>
      </w:tr>
      <w:tr w:rsidR="00EE76CA" w:rsidRPr="00EE76CA" w14:paraId="404E4995" w14:textId="77777777" w:rsidTr="006B0F59">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tcPr>
          <w:p w14:paraId="2BAEFB77" w14:textId="43BD12C8" w:rsidR="00D80DF5" w:rsidRPr="00EE76CA" w:rsidRDefault="00CF3C53" w:rsidP="006B0F59">
            <w:pPr>
              <w:pStyle w:val="Tabletextmeasures85pt"/>
              <w:rPr>
                <w:color w:val="000000" w:themeColor="text1"/>
                <w:highlight w:val="yellow"/>
              </w:rPr>
            </w:pPr>
            <w:r w:rsidRPr="00CF3C53">
              <w:rPr>
                <w:color w:val="000000" w:themeColor="text1"/>
              </w:rPr>
              <w:t>16.4 dpmp</w:t>
            </w:r>
            <w:r w:rsidR="00060542">
              <w:rPr>
                <w:rStyle w:val="FootnoteReference"/>
                <w:color w:val="000000" w:themeColor="text1"/>
              </w:rPr>
              <w:footnoteReference w:id="3"/>
            </w:r>
          </w:p>
        </w:tc>
        <w:tc>
          <w:tcPr>
            <w:tcW w:w="975" w:type="pct"/>
            <w:vMerge/>
            <w:tcBorders>
              <w:bottom w:val="single" w:sz="4" w:space="0" w:color="auto"/>
            </w:tcBorders>
            <w:shd w:val="clear" w:color="auto" w:fill="auto"/>
            <w:tcMar>
              <w:left w:w="85" w:type="dxa"/>
            </w:tcMar>
          </w:tcPr>
          <w:p w14:paraId="72F1BFA5" w14:textId="77777777" w:rsidR="00335A4B" w:rsidRPr="00EE76CA" w:rsidRDefault="00335A4B" w:rsidP="00335A4B">
            <w:pPr>
              <w:pStyle w:val="Tabletextmeasures85pt"/>
              <w:rPr>
                <w:color w:val="000000" w:themeColor="text1"/>
                <w:highlight w:val="yellow"/>
              </w:rPr>
            </w:pPr>
          </w:p>
        </w:tc>
        <w:tc>
          <w:tcPr>
            <w:tcW w:w="987" w:type="pct"/>
            <w:vMerge/>
            <w:tcBorders>
              <w:bottom w:val="single" w:sz="4" w:space="0" w:color="auto"/>
            </w:tcBorders>
            <w:shd w:val="clear" w:color="auto" w:fill="auto"/>
            <w:tcMar>
              <w:left w:w="85" w:type="dxa"/>
            </w:tcMar>
          </w:tcPr>
          <w:p w14:paraId="3F521EB8" w14:textId="77777777" w:rsidR="00335A4B" w:rsidRPr="00EE76CA" w:rsidRDefault="00335A4B" w:rsidP="00335A4B">
            <w:pPr>
              <w:pStyle w:val="Tabletextmeasures85pt"/>
              <w:rPr>
                <w:color w:val="000000" w:themeColor="text1"/>
                <w:highlight w:val="yellow"/>
              </w:rPr>
            </w:pPr>
          </w:p>
        </w:tc>
        <w:tc>
          <w:tcPr>
            <w:tcW w:w="977" w:type="pct"/>
            <w:vMerge/>
            <w:tcBorders>
              <w:bottom w:val="single" w:sz="4" w:space="0" w:color="auto"/>
            </w:tcBorders>
            <w:shd w:val="clear" w:color="auto" w:fill="auto"/>
            <w:tcMar>
              <w:left w:w="85" w:type="dxa"/>
            </w:tcMar>
          </w:tcPr>
          <w:p w14:paraId="4C714366" w14:textId="77777777" w:rsidR="00335A4B" w:rsidRPr="00EE76CA" w:rsidRDefault="00335A4B" w:rsidP="00335A4B">
            <w:pPr>
              <w:pStyle w:val="Tabletextmeasures85pt"/>
              <w:rPr>
                <w:color w:val="000000" w:themeColor="text1"/>
                <w:highlight w:val="yellow"/>
              </w:rPr>
            </w:pPr>
          </w:p>
        </w:tc>
        <w:tc>
          <w:tcPr>
            <w:tcW w:w="985" w:type="pct"/>
            <w:vMerge/>
            <w:tcBorders>
              <w:bottom w:val="single" w:sz="4" w:space="0" w:color="auto"/>
            </w:tcBorders>
            <w:shd w:val="clear" w:color="auto" w:fill="auto"/>
            <w:tcMar>
              <w:left w:w="85" w:type="dxa"/>
            </w:tcMar>
          </w:tcPr>
          <w:p w14:paraId="30336FA1" w14:textId="77777777" w:rsidR="00335A4B" w:rsidRPr="00EE76CA" w:rsidRDefault="00335A4B" w:rsidP="00335A4B">
            <w:pPr>
              <w:pStyle w:val="Tabletextmeasures85pt"/>
              <w:rPr>
                <w:color w:val="000000" w:themeColor="text1"/>
                <w:highlight w:val="yellow"/>
              </w:rPr>
            </w:pPr>
          </w:p>
        </w:tc>
      </w:tr>
    </w:tbl>
    <w:p w14:paraId="41E44C18" w14:textId="77777777" w:rsidR="00210F0B" w:rsidRDefault="00210F0B">
      <w:r>
        <w:rPr>
          <w:b/>
        </w:rPr>
        <w:br w:type="page"/>
      </w:r>
    </w:p>
    <w:tbl>
      <w:tblPr>
        <w:tblStyle w:val="TableGrid"/>
        <w:tblW w:w="5034" w:type="pct"/>
        <w:jc w:val="center"/>
        <w:tblLayout w:type="fixed"/>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94"/>
        <w:gridCol w:w="956"/>
        <w:gridCol w:w="489"/>
        <w:gridCol w:w="1463"/>
        <w:gridCol w:w="461"/>
        <w:gridCol w:w="987"/>
        <w:gridCol w:w="1460"/>
      </w:tblGrid>
      <w:tr w:rsidR="00EE76CA" w:rsidRPr="00EE76CA" w14:paraId="6E51994B" w14:textId="77777777" w:rsidTr="00210F0B">
        <w:trPr>
          <w:trHeight w:val="70"/>
          <w:jc w:val="center"/>
        </w:trPr>
        <w:tc>
          <w:tcPr>
            <w:tcW w:w="5000" w:type="pct"/>
            <w:gridSpan w:val="7"/>
            <w:shd w:val="clear" w:color="auto" w:fill="D9D9D9" w:themeFill="background1" w:themeFillShade="D9"/>
            <w:tcMar>
              <w:left w:w="85" w:type="dxa"/>
            </w:tcMar>
            <w:vAlign w:val="center"/>
          </w:tcPr>
          <w:p w14:paraId="1669A7A8" w14:textId="73E20B9C" w:rsidR="00005E03" w:rsidRPr="00EE76CA" w:rsidRDefault="00335A4B" w:rsidP="00005E03">
            <w:pPr>
              <w:pStyle w:val="Tableheadingrowmeasures85pt"/>
              <w:rPr>
                <w:color w:val="000000" w:themeColor="text1"/>
              </w:rPr>
            </w:pPr>
            <w:r w:rsidRPr="00EE76CA">
              <w:rPr>
                <w:color w:val="000000" w:themeColor="text1"/>
              </w:rPr>
              <w:lastRenderedPageBreak/>
              <w:t>Increase the rate of consent to organ donation through clinical best practice and community engagement.</w:t>
            </w:r>
          </w:p>
        </w:tc>
      </w:tr>
      <w:tr w:rsidR="002B0F4E" w:rsidRPr="00EE76CA" w14:paraId="49D9131A" w14:textId="77777777" w:rsidTr="00210F0B">
        <w:trPr>
          <w:trHeight w:val="132"/>
          <w:jc w:val="center"/>
        </w:trPr>
        <w:tc>
          <w:tcPr>
            <w:tcW w:w="1076" w:type="pct"/>
            <w:shd w:val="clear" w:color="auto" w:fill="auto"/>
            <w:tcMar>
              <w:left w:w="85" w:type="dxa"/>
            </w:tcMar>
          </w:tcPr>
          <w:p w14:paraId="4B72B41A" w14:textId="058AC4B2" w:rsidR="002B0F4E" w:rsidRPr="00EE76CA" w:rsidRDefault="002B0F4E" w:rsidP="002B0F4E">
            <w:pPr>
              <w:pStyle w:val="Tableheadingrowmeasures85pt"/>
              <w:keepNext/>
              <w:keepLines/>
              <w:rPr>
                <w:color w:val="000000" w:themeColor="text1"/>
              </w:rPr>
            </w:pPr>
            <w:r>
              <w:rPr>
                <w:color w:val="auto"/>
              </w:rPr>
              <w:t>Current Year</w:t>
            </w:r>
            <w:r>
              <w:rPr>
                <w:color w:val="auto"/>
              </w:rPr>
              <w:br/>
            </w:r>
            <w:r w:rsidRPr="005D0368">
              <w:rPr>
                <w:color w:val="auto"/>
              </w:rPr>
              <w:t>202</w:t>
            </w:r>
            <w:r>
              <w:rPr>
                <w:color w:val="auto"/>
              </w:rPr>
              <w:t>1</w:t>
            </w:r>
            <w:r>
              <w:rPr>
                <w:color w:val="auto"/>
              </w:rPr>
              <w:br/>
              <w:t>Planned Performance Result</w:t>
            </w:r>
          </w:p>
        </w:tc>
        <w:tc>
          <w:tcPr>
            <w:tcW w:w="975" w:type="pct"/>
            <w:gridSpan w:val="2"/>
            <w:shd w:val="clear" w:color="auto" w:fill="auto"/>
            <w:tcMar>
              <w:left w:w="85" w:type="dxa"/>
            </w:tcMar>
          </w:tcPr>
          <w:p w14:paraId="0A742BFB" w14:textId="5DC72E5F" w:rsidR="002B0F4E" w:rsidRPr="00EE76CA" w:rsidRDefault="002B0F4E" w:rsidP="002B0F4E">
            <w:pPr>
              <w:pStyle w:val="Tableheadingrowmeasures85pt"/>
              <w:keepNext/>
              <w:keepLines/>
              <w:rPr>
                <w:color w:val="000000" w:themeColor="text1"/>
              </w:rPr>
            </w:pPr>
            <w:r>
              <w:rPr>
                <w:color w:val="auto"/>
              </w:rPr>
              <w:t>Budget Year</w:t>
            </w:r>
            <w:r>
              <w:rPr>
                <w:color w:val="auto"/>
              </w:rPr>
              <w:br/>
            </w:r>
            <w:r w:rsidRPr="005D0368">
              <w:rPr>
                <w:color w:val="auto"/>
              </w:rPr>
              <w:t>202</w:t>
            </w:r>
            <w:r>
              <w:rPr>
                <w:color w:val="auto"/>
              </w:rPr>
              <w:t>2</w:t>
            </w:r>
            <w:r w:rsidRPr="005D0368">
              <w:rPr>
                <w:color w:val="auto"/>
              </w:rPr>
              <w:t xml:space="preserve"> </w:t>
            </w:r>
            <w:r>
              <w:rPr>
                <w:color w:val="auto"/>
              </w:rPr>
              <w:t>Planned Performance Result</w:t>
            </w:r>
          </w:p>
        </w:tc>
        <w:tc>
          <w:tcPr>
            <w:tcW w:w="987" w:type="pct"/>
            <w:shd w:val="clear" w:color="auto" w:fill="auto"/>
            <w:tcMar>
              <w:left w:w="85" w:type="dxa"/>
            </w:tcMar>
          </w:tcPr>
          <w:p w14:paraId="25C7EA31" w14:textId="71C8A2D1" w:rsidR="002B0F4E" w:rsidRPr="00EE76CA" w:rsidRDefault="002B0F4E" w:rsidP="002B0F4E">
            <w:pPr>
              <w:pStyle w:val="Tableheadingrowmeasures85pt"/>
              <w:keepNext/>
              <w:keepLines/>
              <w:rPr>
                <w:color w:val="000000" w:themeColor="text1"/>
              </w:rPr>
            </w:pPr>
            <w:r>
              <w:rPr>
                <w:color w:val="auto"/>
              </w:rPr>
              <w:t>Forward Estimates</w:t>
            </w:r>
            <w:r>
              <w:rPr>
                <w:color w:val="auto"/>
              </w:rPr>
              <w:br/>
            </w:r>
            <w:r w:rsidRPr="005D0368">
              <w:rPr>
                <w:color w:val="auto"/>
              </w:rPr>
              <w:t>202</w:t>
            </w:r>
            <w:r>
              <w:rPr>
                <w:color w:val="auto"/>
              </w:rPr>
              <w:t>3</w:t>
            </w:r>
            <w:r w:rsidRPr="005D0368">
              <w:rPr>
                <w:color w:val="auto"/>
              </w:rPr>
              <w:t xml:space="preserve"> </w:t>
            </w:r>
            <w:r>
              <w:rPr>
                <w:color w:val="auto"/>
              </w:rPr>
              <w:t>Planned Performance Result</w:t>
            </w:r>
          </w:p>
        </w:tc>
        <w:tc>
          <w:tcPr>
            <w:tcW w:w="977" w:type="pct"/>
            <w:gridSpan w:val="2"/>
            <w:shd w:val="clear" w:color="auto" w:fill="auto"/>
            <w:tcMar>
              <w:left w:w="85" w:type="dxa"/>
            </w:tcMar>
          </w:tcPr>
          <w:p w14:paraId="01702183" w14:textId="4C681838" w:rsidR="002B0F4E" w:rsidRPr="00EE76CA" w:rsidRDefault="002B0F4E" w:rsidP="002B0F4E">
            <w:pPr>
              <w:pStyle w:val="Tableheadingrowmeasures85pt"/>
              <w:rPr>
                <w:color w:val="000000" w:themeColor="text1"/>
              </w:rPr>
            </w:pPr>
            <w:r>
              <w:rPr>
                <w:color w:val="auto"/>
              </w:rPr>
              <w:t>Forward Estimates</w:t>
            </w:r>
            <w:r>
              <w:rPr>
                <w:color w:val="auto"/>
              </w:rPr>
              <w:br/>
            </w:r>
            <w:r w:rsidRPr="005D0368">
              <w:rPr>
                <w:color w:val="auto"/>
              </w:rPr>
              <w:t>202</w:t>
            </w:r>
            <w:r>
              <w:rPr>
                <w:color w:val="auto"/>
              </w:rPr>
              <w:t>4</w:t>
            </w:r>
            <w:r w:rsidRPr="005D0368">
              <w:rPr>
                <w:color w:val="auto"/>
              </w:rPr>
              <w:t xml:space="preserve"> </w:t>
            </w:r>
            <w:r>
              <w:rPr>
                <w:color w:val="auto"/>
              </w:rPr>
              <w:t>Planned Performance Result</w:t>
            </w:r>
          </w:p>
        </w:tc>
        <w:tc>
          <w:tcPr>
            <w:tcW w:w="985" w:type="pct"/>
            <w:shd w:val="clear" w:color="auto" w:fill="auto"/>
            <w:tcMar>
              <w:left w:w="85" w:type="dxa"/>
            </w:tcMar>
          </w:tcPr>
          <w:p w14:paraId="45C24B8C" w14:textId="72450810" w:rsidR="002B0F4E" w:rsidRPr="00EE76CA" w:rsidRDefault="002B0F4E" w:rsidP="00F35E34">
            <w:pPr>
              <w:pStyle w:val="Tableheadingrowmeasures85pt"/>
              <w:rPr>
                <w:color w:val="000000" w:themeColor="text1"/>
              </w:rPr>
            </w:pPr>
            <w:r>
              <w:rPr>
                <w:color w:val="auto"/>
              </w:rPr>
              <w:t>Forward Estimates</w:t>
            </w:r>
            <w:r>
              <w:rPr>
                <w:color w:val="auto"/>
              </w:rPr>
              <w:br/>
            </w:r>
            <w:r w:rsidRPr="005D0368">
              <w:rPr>
                <w:color w:val="auto"/>
              </w:rPr>
              <w:t>202</w:t>
            </w:r>
            <w:r>
              <w:rPr>
                <w:color w:val="auto"/>
              </w:rPr>
              <w:t>5</w:t>
            </w:r>
            <w:r w:rsidR="00F35E34">
              <w:rPr>
                <w:color w:val="auto"/>
              </w:rPr>
              <w:t xml:space="preserve"> </w:t>
            </w:r>
            <w:r>
              <w:rPr>
                <w:color w:val="auto"/>
              </w:rPr>
              <w:t>Planned Performance Result</w:t>
            </w:r>
          </w:p>
        </w:tc>
      </w:tr>
      <w:tr w:rsidR="00EE76CA" w:rsidRPr="00EE76CA" w14:paraId="0E7E602E" w14:textId="77777777" w:rsidTr="00210F0B">
        <w:trPr>
          <w:trHeight w:val="94"/>
          <w:jc w:val="center"/>
        </w:trPr>
        <w:tc>
          <w:tcPr>
            <w:tcW w:w="1076" w:type="pct"/>
            <w:shd w:val="clear" w:color="auto" w:fill="auto"/>
            <w:tcMar>
              <w:left w:w="85" w:type="dxa"/>
            </w:tcMar>
          </w:tcPr>
          <w:p w14:paraId="27BE9833" w14:textId="77777777" w:rsidR="00335A4B" w:rsidRPr="00EE76CA" w:rsidRDefault="00335A4B" w:rsidP="0052128F">
            <w:pPr>
              <w:pStyle w:val="Tabletextmeasures85pt"/>
              <w:keepNext/>
              <w:rPr>
                <w:color w:val="000000" w:themeColor="text1"/>
              </w:rPr>
            </w:pPr>
            <w:r w:rsidRPr="00EE76CA">
              <w:rPr>
                <w:color w:val="000000" w:themeColor="text1"/>
              </w:rPr>
              <w:t>≥70%</w:t>
            </w:r>
          </w:p>
        </w:tc>
        <w:tc>
          <w:tcPr>
            <w:tcW w:w="975" w:type="pct"/>
            <w:gridSpan w:val="2"/>
            <w:vMerge w:val="restart"/>
            <w:shd w:val="clear" w:color="auto" w:fill="auto"/>
            <w:tcMar>
              <w:left w:w="85" w:type="dxa"/>
            </w:tcMar>
          </w:tcPr>
          <w:p w14:paraId="1EBEFBDB" w14:textId="77777777" w:rsidR="00335A4B" w:rsidRDefault="00DC4CA3" w:rsidP="0052128F">
            <w:pPr>
              <w:pStyle w:val="Tabletextmeasures85pt"/>
              <w:rPr>
                <w:color w:val="000000" w:themeColor="text1"/>
              </w:rPr>
            </w:pPr>
            <w:r w:rsidRPr="00EE76CA">
              <w:rPr>
                <w:color w:val="000000" w:themeColor="text1"/>
              </w:rPr>
              <w:t>≥70%</w:t>
            </w:r>
          </w:p>
          <w:p w14:paraId="55E1A881" w14:textId="340DB12F" w:rsidR="002958C8" w:rsidRPr="00EE76CA" w:rsidRDefault="002958C8" w:rsidP="0052128F">
            <w:pPr>
              <w:pStyle w:val="Tabletextmeasures85pt"/>
              <w:rPr>
                <w:color w:val="000000" w:themeColor="text1"/>
                <w:highlight w:val="yellow"/>
              </w:rPr>
            </w:pPr>
          </w:p>
        </w:tc>
        <w:tc>
          <w:tcPr>
            <w:tcW w:w="987" w:type="pct"/>
            <w:vMerge w:val="restart"/>
            <w:shd w:val="clear" w:color="auto" w:fill="auto"/>
            <w:tcMar>
              <w:left w:w="85" w:type="dxa"/>
            </w:tcMar>
          </w:tcPr>
          <w:p w14:paraId="4D0A3DBF" w14:textId="5FE56CCD" w:rsidR="00335A4B" w:rsidRPr="00EE76CA" w:rsidRDefault="006D7974" w:rsidP="0052128F">
            <w:pPr>
              <w:pStyle w:val="Tabletextmeasures85pt"/>
              <w:rPr>
                <w:color w:val="000000" w:themeColor="text1"/>
                <w:highlight w:val="yellow"/>
              </w:rPr>
            </w:pPr>
            <w:r w:rsidRPr="00EE76CA">
              <w:rPr>
                <w:color w:val="000000" w:themeColor="text1"/>
              </w:rPr>
              <w:t>≥70%</w:t>
            </w:r>
          </w:p>
        </w:tc>
        <w:tc>
          <w:tcPr>
            <w:tcW w:w="977" w:type="pct"/>
            <w:gridSpan w:val="2"/>
            <w:vMerge w:val="restart"/>
            <w:shd w:val="clear" w:color="auto" w:fill="auto"/>
            <w:tcMar>
              <w:left w:w="85" w:type="dxa"/>
            </w:tcMar>
          </w:tcPr>
          <w:p w14:paraId="1CEF9CE9" w14:textId="411C53E0" w:rsidR="00335A4B" w:rsidRPr="00EE76CA" w:rsidRDefault="006D7974" w:rsidP="0065561D">
            <w:pPr>
              <w:pStyle w:val="Tabletextmeasures85pt"/>
              <w:rPr>
                <w:color w:val="000000" w:themeColor="text1"/>
                <w:highlight w:val="yellow"/>
              </w:rPr>
            </w:pPr>
            <w:r w:rsidRPr="00EE76CA">
              <w:rPr>
                <w:color w:val="000000" w:themeColor="text1"/>
              </w:rPr>
              <w:t>≥70%</w:t>
            </w:r>
          </w:p>
        </w:tc>
        <w:tc>
          <w:tcPr>
            <w:tcW w:w="985" w:type="pct"/>
            <w:vMerge w:val="restart"/>
            <w:shd w:val="clear" w:color="auto" w:fill="auto"/>
            <w:tcMar>
              <w:left w:w="85" w:type="dxa"/>
            </w:tcMar>
          </w:tcPr>
          <w:p w14:paraId="2F6345ED" w14:textId="65C56FB2" w:rsidR="00335A4B" w:rsidRPr="00EE76CA" w:rsidRDefault="006D7974" w:rsidP="0052128F">
            <w:pPr>
              <w:pStyle w:val="Tabletextmeasures85pt"/>
              <w:rPr>
                <w:color w:val="000000" w:themeColor="text1"/>
                <w:highlight w:val="yellow"/>
              </w:rPr>
            </w:pPr>
            <w:r w:rsidRPr="00EE76CA">
              <w:rPr>
                <w:color w:val="000000" w:themeColor="text1"/>
              </w:rPr>
              <w:t>≥70%</w:t>
            </w:r>
          </w:p>
        </w:tc>
      </w:tr>
      <w:tr w:rsidR="00EE76CA" w:rsidRPr="00EE76CA" w14:paraId="7C06FF40" w14:textId="77777777" w:rsidTr="00210F0B">
        <w:trPr>
          <w:trHeight w:val="93"/>
          <w:jc w:val="center"/>
        </w:trPr>
        <w:tc>
          <w:tcPr>
            <w:tcW w:w="1076" w:type="pct"/>
            <w:shd w:val="clear" w:color="auto" w:fill="auto"/>
            <w:tcMar>
              <w:left w:w="85" w:type="dxa"/>
            </w:tcMar>
          </w:tcPr>
          <w:p w14:paraId="213C7857" w14:textId="26F48CE0" w:rsidR="00335A4B" w:rsidRPr="00EE76CA" w:rsidRDefault="00DC4CA3" w:rsidP="003163D1">
            <w:pPr>
              <w:pStyle w:val="Tabletextmeasures85pt"/>
              <w:keepNext/>
              <w:rPr>
                <w:color w:val="000000" w:themeColor="text1"/>
                <w:highlight w:val="yellow"/>
              </w:rPr>
            </w:pPr>
            <w:r w:rsidRPr="00EE76CA">
              <w:rPr>
                <w:b/>
                <w:color w:val="000000" w:themeColor="text1"/>
              </w:rPr>
              <w:t>202</w:t>
            </w:r>
            <w:r w:rsidR="003163D1">
              <w:rPr>
                <w:b/>
                <w:color w:val="000000" w:themeColor="text1"/>
              </w:rPr>
              <w:t>1</w:t>
            </w:r>
            <w:r w:rsidR="00005E03">
              <w:rPr>
                <w:b/>
                <w:color w:val="000000" w:themeColor="text1"/>
              </w:rPr>
              <w:t xml:space="preserve"> Performance Result</w:t>
            </w:r>
          </w:p>
        </w:tc>
        <w:tc>
          <w:tcPr>
            <w:tcW w:w="975" w:type="pct"/>
            <w:gridSpan w:val="2"/>
            <w:vMerge/>
            <w:shd w:val="clear" w:color="auto" w:fill="auto"/>
            <w:tcMar>
              <w:left w:w="85" w:type="dxa"/>
            </w:tcMar>
          </w:tcPr>
          <w:p w14:paraId="27E15ADA" w14:textId="77777777" w:rsidR="00335A4B" w:rsidRPr="00EE76CA" w:rsidRDefault="00335A4B" w:rsidP="0052128F">
            <w:pPr>
              <w:pStyle w:val="Tabletextmeasures85pt"/>
              <w:rPr>
                <w:color w:val="000000" w:themeColor="text1"/>
                <w:highlight w:val="yellow"/>
              </w:rPr>
            </w:pPr>
          </w:p>
        </w:tc>
        <w:tc>
          <w:tcPr>
            <w:tcW w:w="987" w:type="pct"/>
            <w:vMerge/>
            <w:shd w:val="clear" w:color="auto" w:fill="auto"/>
            <w:tcMar>
              <w:left w:w="85" w:type="dxa"/>
            </w:tcMar>
          </w:tcPr>
          <w:p w14:paraId="0B672E59" w14:textId="77777777" w:rsidR="00335A4B" w:rsidRPr="00EE76CA" w:rsidRDefault="00335A4B" w:rsidP="0052128F">
            <w:pPr>
              <w:pStyle w:val="Tabletextmeasures85pt"/>
              <w:rPr>
                <w:color w:val="000000" w:themeColor="text1"/>
                <w:highlight w:val="yellow"/>
              </w:rPr>
            </w:pPr>
          </w:p>
        </w:tc>
        <w:tc>
          <w:tcPr>
            <w:tcW w:w="977" w:type="pct"/>
            <w:gridSpan w:val="2"/>
            <w:vMerge/>
            <w:shd w:val="clear" w:color="auto" w:fill="auto"/>
            <w:tcMar>
              <w:left w:w="85" w:type="dxa"/>
            </w:tcMar>
          </w:tcPr>
          <w:p w14:paraId="1069B4F2" w14:textId="77777777" w:rsidR="00335A4B" w:rsidRPr="00EE76CA" w:rsidRDefault="00335A4B" w:rsidP="0052128F">
            <w:pPr>
              <w:pStyle w:val="Tabletextmeasures85pt"/>
              <w:rPr>
                <w:color w:val="000000" w:themeColor="text1"/>
                <w:highlight w:val="yellow"/>
              </w:rPr>
            </w:pPr>
          </w:p>
        </w:tc>
        <w:tc>
          <w:tcPr>
            <w:tcW w:w="985" w:type="pct"/>
            <w:vMerge/>
            <w:shd w:val="clear" w:color="auto" w:fill="auto"/>
            <w:tcMar>
              <w:left w:w="85" w:type="dxa"/>
            </w:tcMar>
          </w:tcPr>
          <w:p w14:paraId="424F6CA0" w14:textId="77777777" w:rsidR="00335A4B" w:rsidRPr="00EE76CA" w:rsidRDefault="00335A4B" w:rsidP="0052128F">
            <w:pPr>
              <w:pStyle w:val="Tabletextmeasures85pt"/>
              <w:rPr>
                <w:color w:val="000000" w:themeColor="text1"/>
                <w:highlight w:val="yellow"/>
              </w:rPr>
            </w:pPr>
          </w:p>
        </w:tc>
      </w:tr>
      <w:tr w:rsidR="00EE76CA" w:rsidRPr="00EE76CA" w14:paraId="745CBC4A" w14:textId="77777777" w:rsidTr="00210F0B">
        <w:trPr>
          <w:trHeight w:val="93"/>
          <w:jc w:val="center"/>
        </w:trPr>
        <w:tc>
          <w:tcPr>
            <w:tcW w:w="1076" w:type="pct"/>
            <w:shd w:val="clear" w:color="auto" w:fill="auto"/>
            <w:tcMar>
              <w:left w:w="85" w:type="dxa"/>
            </w:tcMar>
          </w:tcPr>
          <w:p w14:paraId="337B453E" w14:textId="2B27C9BF" w:rsidR="006D7974" w:rsidRPr="00EE76CA" w:rsidRDefault="00CF3C53" w:rsidP="0052128F">
            <w:pPr>
              <w:pStyle w:val="Tabletextmeasures85pt"/>
              <w:keepNext/>
              <w:rPr>
                <w:color w:val="000000" w:themeColor="text1"/>
                <w:highlight w:val="yellow"/>
              </w:rPr>
            </w:pPr>
            <w:r w:rsidRPr="00CF3C53">
              <w:rPr>
                <w:color w:val="000000" w:themeColor="text1"/>
              </w:rPr>
              <w:t>56%</w:t>
            </w:r>
            <w:r w:rsidR="0080219A">
              <w:rPr>
                <w:rStyle w:val="FootnoteReference"/>
                <w:color w:val="000000" w:themeColor="text1"/>
              </w:rPr>
              <w:footnoteReference w:id="4"/>
            </w:r>
          </w:p>
        </w:tc>
        <w:tc>
          <w:tcPr>
            <w:tcW w:w="975" w:type="pct"/>
            <w:gridSpan w:val="2"/>
            <w:vMerge/>
            <w:shd w:val="clear" w:color="auto" w:fill="auto"/>
            <w:tcMar>
              <w:left w:w="85" w:type="dxa"/>
            </w:tcMar>
          </w:tcPr>
          <w:p w14:paraId="1B1C3344" w14:textId="77777777" w:rsidR="00335A4B" w:rsidRPr="00EE76CA" w:rsidRDefault="00335A4B" w:rsidP="0052128F">
            <w:pPr>
              <w:pStyle w:val="Tabletextmeasures85pt"/>
              <w:rPr>
                <w:color w:val="000000" w:themeColor="text1"/>
                <w:highlight w:val="yellow"/>
              </w:rPr>
            </w:pPr>
          </w:p>
        </w:tc>
        <w:tc>
          <w:tcPr>
            <w:tcW w:w="987" w:type="pct"/>
            <w:vMerge/>
            <w:shd w:val="clear" w:color="auto" w:fill="auto"/>
            <w:tcMar>
              <w:left w:w="85" w:type="dxa"/>
            </w:tcMar>
          </w:tcPr>
          <w:p w14:paraId="23E78615" w14:textId="77777777" w:rsidR="00335A4B" w:rsidRPr="00EE76CA" w:rsidRDefault="00335A4B" w:rsidP="0052128F">
            <w:pPr>
              <w:pStyle w:val="Tabletextmeasures85pt"/>
              <w:rPr>
                <w:color w:val="000000" w:themeColor="text1"/>
                <w:highlight w:val="yellow"/>
              </w:rPr>
            </w:pPr>
          </w:p>
        </w:tc>
        <w:tc>
          <w:tcPr>
            <w:tcW w:w="977" w:type="pct"/>
            <w:gridSpan w:val="2"/>
            <w:vMerge/>
            <w:shd w:val="clear" w:color="auto" w:fill="auto"/>
            <w:tcMar>
              <w:left w:w="85" w:type="dxa"/>
            </w:tcMar>
          </w:tcPr>
          <w:p w14:paraId="040F86F5" w14:textId="77777777" w:rsidR="00335A4B" w:rsidRPr="00EE76CA" w:rsidRDefault="00335A4B" w:rsidP="0052128F">
            <w:pPr>
              <w:pStyle w:val="Tabletextmeasures85pt"/>
              <w:rPr>
                <w:color w:val="000000" w:themeColor="text1"/>
                <w:highlight w:val="yellow"/>
              </w:rPr>
            </w:pPr>
          </w:p>
        </w:tc>
        <w:tc>
          <w:tcPr>
            <w:tcW w:w="985" w:type="pct"/>
            <w:vMerge/>
            <w:shd w:val="clear" w:color="auto" w:fill="auto"/>
            <w:tcMar>
              <w:left w:w="85" w:type="dxa"/>
            </w:tcMar>
          </w:tcPr>
          <w:p w14:paraId="62B928BD" w14:textId="77777777" w:rsidR="00335A4B" w:rsidRPr="00EE76CA" w:rsidRDefault="00335A4B" w:rsidP="0052128F">
            <w:pPr>
              <w:pStyle w:val="Tabletextmeasures85pt"/>
              <w:rPr>
                <w:color w:val="000000" w:themeColor="text1"/>
                <w:highlight w:val="yellow"/>
              </w:rPr>
            </w:pPr>
          </w:p>
        </w:tc>
      </w:tr>
      <w:tr w:rsidR="00EE76CA" w:rsidRPr="00EE76CA" w14:paraId="258716EE" w14:textId="77777777" w:rsidTr="00210F0B">
        <w:trPr>
          <w:trHeight w:val="283"/>
          <w:jc w:val="center"/>
        </w:trPr>
        <w:tc>
          <w:tcPr>
            <w:tcW w:w="4984" w:type="pct"/>
            <w:gridSpan w:val="7"/>
            <w:shd w:val="clear" w:color="auto" w:fill="D9D9D9" w:themeFill="background1" w:themeFillShade="D9"/>
            <w:tcMar>
              <w:left w:w="85" w:type="dxa"/>
            </w:tcMar>
            <w:vAlign w:val="center"/>
          </w:tcPr>
          <w:p w14:paraId="1BFBCA28" w14:textId="51D0FE7F" w:rsidR="00005E03" w:rsidRPr="00EE76CA" w:rsidRDefault="002616CA" w:rsidP="00005E03">
            <w:pPr>
              <w:pStyle w:val="Tableheadingrowmeasures85pt"/>
              <w:rPr>
                <w:color w:val="000000" w:themeColor="text1"/>
              </w:rPr>
            </w:pPr>
            <w:r w:rsidRPr="00EE76CA">
              <w:rPr>
                <w:color w:val="000000" w:themeColor="text1"/>
              </w:rPr>
              <w:t>I</w:t>
            </w:r>
            <w:r w:rsidR="00DC4CA3" w:rsidRPr="00EE76CA">
              <w:rPr>
                <w:color w:val="000000" w:themeColor="text1"/>
              </w:rPr>
              <w:t xml:space="preserve">ncrease </w:t>
            </w:r>
            <w:r w:rsidR="00F0722E" w:rsidRPr="00EE76CA">
              <w:rPr>
                <w:color w:val="000000" w:themeColor="text1"/>
              </w:rPr>
              <w:t xml:space="preserve">the </w:t>
            </w:r>
            <w:r w:rsidR="00F44AB7" w:rsidRPr="00EE76CA">
              <w:rPr>
                <w:color w:val="000000" w:themeColor="text1"/>
              </w:rPr>
              <w:t xml:space="preserve">percentage of </w:t>
            </w:r>
            <w:r w:rsidR="00DC4CA3" w:rsidRPr="00EE76CA">
              <w:rPr>
                <w:color w:val="000000" w:themeColor="text1"/>
              </w:rPr>
              <w:t>family donation conversations involving a donation specialist</w:t>
            </w:r>
            <w:r w:rsidR="00C35267">
              <w:rPr>
                <w:color w:val="000000" w:themeColor="text1"/>
              </w:rPr>
              <w:t>,</w:t>
            </w:r>
            <w:r w:rsidR="00DC4CA3" w:rsidRPr="00EE76CA">
              <w:rPr>
                <w:color w:val="000000" w:themeColor="text1"/>
              </w:rPr>
              <w:t xml:space="preserve"> when the opportunity for donation is raised by </w:t>
            </w:r>
            <w:r w:rsidRPr="00EE76CA">
              <w:rPr>
                <w:color w:val="000000" w:themeColor="text1"/>
              </w:rPr>
              <w:t xml:space="preserve">clinical </w:t>
            </w:r>
            <w:r w:rsidR="00DC4CA3" w:rsidRPr="00EE76CA">
              <w:rPr>
                <w:color w:val="000000" w:themeColor="text1"/>
              </w:rPr>
              <w:t>staff.</w:t>
            </w:r>
          </w:p>
        </w:tc>
      </w:tr>
      <w:tr w:rsidR="002B0F4E" w:rsidRPr="00EE76CA" w14:paraId="5378E277" w14:textId="77777777" w:rsidTr="00210F0B">
        <w:trPr>
          <w:trHeight w:val="132"/>
          <w:jc w:val="center"/>
        </w:trPr>
        <w:tc>
          <w:tcPr>
            <w:tcW w:w="1073" w:type="pct"/>
            <w:shd w:val="clear" w:color="auto" w:fill="auto"/>
            <w:tcMar>
              <w:left w:w="85" w:type="dxa"/>
            </w:tcMar>
          </w:tcPr>
          <w:p w14:paraId="4A877D5B" w14:textId="21F89B2A" w:rsidR="002B0F4E" w:rsidRPr="00EE76CA" w:rsidRDefault="002B0F4E" w:rsidP="002B0F4E">
            <w:pPr>
              <w:pStyle w:val="Tableheadingrowmeasures85pt"/>
              <w:keepNext/>
              <w:keepLines/>
              <w:rPr>
                <w:color w:val="000000" w:themeColor="text1"/>
              </w:rPr>
            </w:pPr>
            <w:r>
              <w:rPr>
                <w:color w:val="auto"/>
              </w:rPr>
              <w:t>Current Year</w:t>
            </w:r>
            <w:r>
              <w:rPr>
                <w:color w:val="auto"/>
              </w:rPr>
              <w:br/>
            </w:r>
            <w:r w:rsidRPr="005D0368">
              <w:rPr>
                <w:color w:val="auto"/>
              </w:rPr>
              <w:t>202</w:t>
            </w:r>
            <w:r>
              <w:rPr>
                <w:color w:val="auto"/>
              </w:rPr>
              <w:t>1</w:t>
            </w:r>
            <w:r>
              <w:rPr>
                <w:color w:val="auto"/>
              </w:rPr>
              <w:br/>
              <w:t>Planned Performance Result</w:t>
            </w:r>
          </w:p>
        </w:tc>
        <w:tc>
          <w:tcPr>
            <w:tcW w:w="972" w:type="pct"/>
            <w:gridSpan w:val="2"/>
            <w:shd w:val="clear" w:color="auto" w:fill="auto"/>
            <w:tcMar>
              <w:left w:w="85" w:type="dxa"/>
            </w:tcMar>
          </w:tcPr>
          <w:p w14:paraId="4AE0DE2E" w14:textId="00BF915B" w:rsidR="002B0F4E" w:rsidRPr="00EE76CA" w:rsidRDefault="002B0F4E" w:rsidP="002B0F4E">
            <w:pPr>
              <w:pStyle w:val="Tableheadingrowmeasures85pt"/>
              <w:keepNext/>
              <w:keepLines/>
              <w:rPr>
                <w:color w:val="000000" w:themeColor="text1"/>
              </w:rPr>
            </w:pPr>
            <w:r>
              <w:rPr>
                <w:color w:val="auto"/>
              </w:rPr>
              <w:t>Budget Year</w:t>
            </w:r>
            <w:r>
              <w:rPr>
                <w:color w:val="auto"/>
              </w:rPr>
              <w:br/>
            </w:r>
            <w:r w:rsidRPr="005D0368">
              <w:rPr>
                <w:color w:val="auto"/>
              </w:rPr>
              <w:t>202</w:t>
            </w:r>
            <w:r>
              <w:rPr>
                <w:color w:val="auto"/>
              </w:rPr>
              <w:t>2</w:t>
            </w:r>
            <w:r w:rsidR="006D7974">
              <w:rPr>
                <w:color w:val="auto"/>
              </w:rPr>
              <w:t xml:space="preserve"> </w:t>
            </w:r>
            <w:r>
              <w:rPr>
                <w:color w:val="auto"/>
              </w:rPr>
              <w:t>Planned Performance Result</w:t>
            </w:r>
          </w:p>
        </w:tc>
        <w:tc>
          <w:tcPr>
            <w:tcW w:w="984" w:type="pct"/>
            <w:shd w:val="clear" w:color="auto" w:fill="auto"/>
            <w:tcMar>
              <w:left w:w="85" w:type="dxa"/>
            </w:tcMar>
          </w:tcPr>
          <w:p w14:paraId="2FB8678C" w14:textId="698ADF44" w:rsidR="002B0F4E" w:rsidRPr="00EE76CA" w:rsidRDefault="002B0F4E" w:rsidP="002B0F4E">
            <w:pPr>
              <w:pStyle w:val="Tableheadingrowmeasures85pt"/>
              <w:keepNext/>
              <w:keepLines/>
              <w:rPr>
                <w:color w:val="000000" w:themeColor="text1"/>
              </w:rPr>
            </w:pPr>
            <w:r>
              <w:rPr>
                <w:color w:val="auto"/>
              </w:rPr>
              <w:t>Forward Estimates</w:t>
            </w:r>
            <w:r>
              <w:rPr>
                <w:color w:val="auto"/>
              </w:rPr>
              <w:br/>
            </w:r>
            <w:r w:rsidRPr="005D0368">
              <w:rPr>
                <w:color w:val="auto"/>
              </w:rPr>
              <w:t>202</w:t>
            </w:r>
            <w:r>
              <w:rPr>
                <w:color w:val="auto"/>
              </w:rPr>
              <w:t>3</w:t>
            </w:r>
            <w:r w:rsidRPr="005D0368">
              <w:rPr>
                <w:color w:val="auto"/>
              </w:rPr>
              <w:t xml:space="preserve"> </w:t>
            </w:r>
            <w:r>
              <w:rPr>
                <w:color w:val="auto"/>
              </w:rPr>
              <w:t>Planned Performance Result</w:t>
            </w:r>
          </w:p>
        </w:tc>
        <w:tc>
          <w:tcPr>
            <w:tcW w:w="974" w:type="pct"/>
            <w:gridSpan w:val="2"/>
            <w:shd w:val="clear" w:color="auto" w:fill="auto"/>
            <w:tcMar>
              <w:left w:w="85" w:type="dxa"/>
            </w:tcMar>
          </w:tcPr>
          <w:p w14:paraId="506941B9" w14:textId="27042D11" w:rsidR="002B0F4E" w:rsidRPr="00EE76CA" w:rsidRDefault="002B0F4E" w:rsidP="002B0F4E">
            <w:pPr>
              <w:pStyle w:val="Tableheadingrowmeasures85pt"/>
              <w:rPr>
                <w:color w:val="000000" w:themeColor="text1"/>
              </w:rPr>
            </w:pPr>
            <w:r>
              <w:rPr>
                <w:color w:val="auto"/>
              </w:rPr>
              <w:t>Forward Estimates</w:t>
            </w:r>
            <w:r>
              <w:rPr>
                <w:color w:val="auto"/>
              </w:rPr>
              <w:br/>
            </w:r>
            <w:r w:rsidRPr="005D0368">
              <w:rPr>
                <w:color w:val="auto"/>
              </w:rPr>
              <w:t>202</w:t>
            </w:r>
            <w:r>
              <w:rPr>
                <w:color w:val="auto"/>
              </w:rPr>
              <w:t>4</w:t>
            </w:r>
            <w:r w:rsidRPr="005D0368">
              <w:rPr>
                <w:color w:val="auto"/>
              </w:rPr>
              <w:t xml:space="preserve"> </w:t>
            </w:r>
            <w:r>
              <w:rPr>
                <w:color w:val="auto"/>
              </w:rPr>
              <w:t>Planned Performance Result</w:t>
            </w:r>
          </w:p>
        </w:tc>
        <w:tc>
          <w:tcPr>
            <w:tcW w:w="982" w:type="pct"/>
            <w:shd w:val="clear" w:color="auto" w:fill="auto"/>
            <w:tcMar>
              <w:left w:w="85" w:type="dxa"/>
            </w:tcMar>
          </w:tcPr>
          <w:p w14:paraId="710B2434" w14:textId="1862822D" w:rsidR="002B0F4E" w:rsidRPr="00EE76CA" w:rsidRDefault="002B0F4E" w:rsidP="002B0F4E">
            <w:pPr>
              <w:pStyle w:val="Tableheadingrowmeasures85pt"/>
              <w:rPr>
                <w:color w:val="000000" w:themeColor="text1"/>
              </w:rPr>
            </w:pPr>
            <w:r>
              <w:rPr>
                <w:color w:val="auto"/>
              </w:rPr>
              <w:t>Forward Estimates</w:t>
            </w:r>
            <w:r>
              <w:rPr>
                <w:color w:val="auto"/>
              </w:rPr>
              <w:br/>
            </w:r>
            <w:r w:rsidRPr="005D0368">
              <w:rPr>
                <w:color w:val="auto"/>
              </w:rPr>
              <w:t>202</w:t>
            </w:r>
            <w:r>
              <w:rPr>
                <w:color w:val="auto"/>
              </w:rPr>
              <w:t>5</w:t>
            </w:r>
            <w:r w:rsidRPr="005D0368">
              <w:rPr>
                <w:color w:val="auto"/>
              </w:rPr>
              <w:t xml:space="preserve"> </w:t>
            </w:r>
            <w:r>
              <w:rPr>
                <w:color w:val="auto"/>
              </w:rPr>
              <w:t>Planned Performance Result</w:t>
            </w:r>
          </w:p>
        </w:tc>
      </w:tr>
      <w:tr w:rsidR="00EE76CA" w:rsidRPr="00EE76CA" w14:paraId="157447EB" w14:textId="77777777" w:rsidTr="00210F0B">
        <w:trPr>
          <w:trHeight w:val="94"/>
          <w:jc w:val="center"/>
        </w:trPr>
        <w:tc>
          <w:tcPr>
            <w:tcW w:w="1073" w:type="pct"/>
            <w:shd w:val="clear" w:color="auto" w:fill="auto"/>
            <w:tcMar>
              <w:left w:w="85" w:type="dxa"/>
            </w:tcMar>
          </w:tcPr>
          <w:p w14:paraId="69B90BCC" w14:textId="518BFA9E" w:rsidR="00E10372" w:rsidRPr="00EE76CA" w:rsidRDefault="00335A4B" w:rsidP="0052128F">
            <w:pPr>
              <w:pStyle w:val="Tabletextmeasures85pt"/>
              <w:keepNext/>
              <w:rPr>
                <w:color w:val="000000" w:themeColor="text1"/>
              </w:rPr>
            </w:pPr>
            <w:r w:rsidRPr="00EE76CA">
              <w:rPr>
                <w:color w:val="000000" w:themeColor="text1"/>
              </w:rPr>
              <w:t>80%</w:t>
            </w:r>
          </w:p>
        </w:tc>
        <w:tc>
          <w:tcPr>
            <w:tcW w:w="972" w:type="pct"/>
            <w:gridSpan w:val="2"/>
            <w:vMerge w:val="restart"/>
            <w:shd w:val="clear" w:color="auto" w:fill="auto"/>
            <w:tcMar>
              <w:left w:w="85" w:type="dxa"/>
            </w:tcMar>
          </w:tcPr>
          <w:p w14:paraId="7B067031" w14:textId="7928DB30" w:rsidR="002958C8" w:rsidRPr="000459A6" w:rsidRDefault="00CF3C53" w:rsidP="000459A6">
            <w:pPr>
              <w:pStyle w:val="Tabletextmeasures85pt"/>
              <w:rPr>
                <w:color w:val="000000" w:themeColor="text1"/>
              </w:rPr>
            </w:pPr>
            <w:r>
              <w:rPr>
                <w:color w:val="000000" w:themeColor="text1"/>
              </w:rPr>
              <w:t>80</w:t>
            </w:r>
            <w:r w:rsidR="001C78E9" w:rsidRPr="00EE76CA">
              <w:rPr>
                <w:color w:val="000000" w:themeColor="text1"/>
              </w:rPr>
              <w:t>%</w:t>
            </w:r>
          </w:p>
        </w:tc>
        <w:tc>
          <w:tcPr>
            <w:tcW w:w="984" w:type="pct"/>
            <w:vMerge w:val="restart"/>
            <w:shd w:val="clear" w:color="auto" w:fill="auto"/>
            <w:tcMar>
              <w:left w:w="85" w:type="dxa"/>
            </w:tcMar>
          </w:tcPr>
          <w:p w14:paraId="410AF4E6" w14:textId="74DBF2AF" w:rsidR="00335A4B" w:rsidRPr="00EE76CA" w:rsidRDefault="00CF3C53" w:rsidP="0052128F">
            <w:pPr>
              <w:pStyle w:val="Tabletextmeasures85pt"/>
              <w:rPr>
                <w:color w:val="000000" w:themeColor="text1"/>
                <w:highlight w:val="yellow"/>
              </w:rPr>
            </w:pPr>
            <w:r>
              <w:rPr>
                <w:color w:val="000000" w:themeColor="text1"/>
              </w:rPr>
              <w:t>85</w:t>
            </w:r>
            <w:r w:rsidR="001C78E9" w:rsidRPr="00EE76CA">
              <w:rPr>
                <w:color w:val="000000" w:themeColor="text1"/>
              </w:rPr>
              <w:t>%</w:t>
            </w:r>
          </w:p>
        </w:tc>
        <w:tc>
          <w:tcPr>
            <w:tcW w:w="974" w:type="pct"/>
            <w:gridSpan w:val="2"/>
            <w:vMerge w:val="restart"/>
            <w:shd w:val="clear" w:color="auto" w:fill="auto"/>
            <w:tcMar>
              <w:left w:w="85" w:type="dxa"/>
            </w:tcMar>
          </w:tcPr>
          <w:p w14:paraId="5C61E103" w14:textId="0259B22C" w:rsidR="00335A4B" w:rsidRPr="00EE76CA" w:rsidRDefault="001C78E9" w:rsidP="0052128F">
            <w:pPr>
              <w:pStyle w:val="Tabletextmeasures85pt"/>
              <w:rPr>
                <w:color w:val="000000" w:themeColor="text1"/>
                <w:highlight w:val="yellow"/>
              </w:rPr>
            </w:pPr>
            <w:r w:rsidRPr="00EE76CA">
              <w:rPr>
                <w:color w:val="000000" w:themeColor="text1"/>
              </w:rPr>
              <w:t>90%</w:t>
            </w:r>
          </w:p>
        </w:tc>
        <w:tc>
          <w:tcPr>
            <w:tcW w:w="982" w:type="pct"/>
            <w:vMerge w:val="restart"/>
            <w:shd w:val="clear" w:color="auto" w:fill="auto"/>
            <w:tcMar>
              <w:left w:w="85" w:type="dxa"/>
            </w:tcMar>
          </w:tcPr>
          <w:p w14:paraId="3202188B" w14:textId="1B578C17" w:rsidR="00335A4B" w:rsidRPr="00EE76CA" w:rsidRDefault="006D7974" w:rsidP="0052128F">
            <w:pPr>
              <w:pStyle w:val="Tabletextmeasures85pt"/>
              <w:rPr>
                <w:color w:val="000000" w:themeColor="text1"/>
                <w:highlight w:val="yellow"/>
              </w:rPr>
            </w:pPr>
            <w:r w:rsidRPr="006D7974">
              <w:rPr>
                <w:color w:val="000000" w:themeColor="text1"/>
              </w:rPr>
              <w:t>90%</w:t>
            </w:r>
          </w:p>
        </w:tc>
      </w:tr>
      <w:tr w:rsidR="00EE76CA" w:rsidRPr="00EE76CA" w14:paraId="571C27EF" w14:textId="77777777" w:rsidTr="00210F0B">
        <w:trPr>
          <w:trHeight w:val="93"/>
          <w:jc w:val="center"/>
        </w:trPr>
        <w:tc>
          <w:tcPr>
            <w:tcW w:w="1073" w:type="pct"/>
            <w:shd w:val="clear" w:color="auto" w:fill="auto"/>
            <w:tcMar>
              <w:left w:w="85" w:type="dxa"/>
            </w:tcMar>
          </w:tcPr>
          <w:p w14:paraId="28F7B76C" w14:textId="097755D4" w:rsidR="00335A4B" w:rsidRPr="00EE76CA" w:rsidRDefault="00E10372" w:rsidP="003163D1">
            <w:pPr>
              <w:pStyle w:val="Tabletextmeasures85pt"/>
              <w:keepNext/>
              <w:rPr>
                <w:color w:val="000000" w:themeColor="text1"/>
                <w:highlight w:val="yellow"/>
              </w:rPr>
            </w:pPr>
            <w:r w:rsidRPr="00EE76CA">
              <w:rPr>
                <w:b/>
                <w:color w:val="000000" w:themeColor="text1"/>
              </w:rPr>
              <w:t>202</w:t>
            </w:r>
            <w:r w:rsidR="003163D1">
              <w:rPr>
                <w:b/>
                <w:color w:val="000000" w:themeColor="text1"/>
              </w:rPr>
              <w:t>1</w:t>
            </w:r>
            <w:r w:rsidR="00005E03">
              <w:rPr>
                <w:b/>
                <w:color w:val="000000" w:themeColor="text1"/>
              </w:rPr>
              <w:t xml:space="preserve"> Performance Result</w:t>
            </w:r>
          </w:p>
        </w:tc>
        <w:tc>
          <w:tcPr>
            <w:tcW w:w="972" w:type="pct"/>
            <w:gridSpan w:val="2"/>
            <w:vMerge/>
            <w:shd w:val="clear" w:color="auto" w:fill="auto"/>
            <w:tcMar>
              <w:left w:w="85" w:type="dxa"/>
            </w:tcMar>
          </w:tcPr>
          <w:p w14:paraId="424474CA" w14:textId="77777777" w:rsidR="00335A4B" w:rsidRPr="00EE76CA" w:rsidRDefault="00335A4B" w:rsidP="00335A4B">
            <w:pPr>
              <w:pStyle w:val="Tabletextmeasures85pt"/>
              <w:rPr>
                <w:color w:val="000000" w:themeColor="text1"/>
                <w:highlight w:val="yellow"/>
              </w:rPr>
            </w:pPr>
          </w:p>
        </w:tc>
        <w:tc>
          <w:tcPr>
            <w:tcW w:w="984" w:type="pct"/>
            <w:vMerge/>
            <w:shd w:val="clear" w:color="auto" w:fill="auto"/>
            <w:tcMar>
              <w:left w:w="85" w:type="dxa"/>
            </w:tcMar>
          </w:tcPr>
          <w:p w14:paraId="574138F5" w14:textId="77777777" w:rsidR="00335A4B" w:rsidRPr="00EE76CA" w:rsidRDefault="00335A4B" w:rsidP="00335A4B">
            <w:pPr>
              <w:pStyle w:val="Tabletextmeasures85pt"/>
              <w:rPr>
                <w:color w:val="000000" w:themeColor="text1"/>
                <w:highlight w:val="yellow"/>
              </w:rPr>
            </w:pPr>
          </w:p>
        </w:tc>
        <w:tc>
          <w:tcPr>
            <w:tcW w:w="974" w:type="pct"/>
            <w:gridSpan w:val="2"/>
            <w:vMerge/>
            <w:shd w:val="clear" w:color="auto" w:fill="auto"/>
            <w:tcMar>
              <w:left w:w="85" w:type="dxa"/>
            </w:tcMar>
          </w:tcPr>
          <w:p w14:paraId="7C32E518" w14:textId="77777777" w:rsidR="00335A4B" w:rsidRPr="00EE76CA" w:rsidRDefault="00335A4B" w:rsidP="00335A4B">
            <w:pPr>
              <w:pStyle w:val="Tabletextmeasures85pt"/>
              <w:rPr>
                <w:color w:val="000000" w:themeColor="text1"/>
                <w:highlight w:val="yellow"/>
              </w:rPr>
            </w:pPr>
          </w:p>
        </w:tc>
        <w:tc>
          <w:tcPr>
            <w:tcW w:w="982" w:type="pct"/>
            <w:vMerge/>
            <w:shd w:val="clear" w:color="auto" w:fill="auto"/>
            <w:tcMar>
              <w:left w:w="85" w:type="dxa"/>
            </w:tcMar>
          </w:tcPr>
          <w:p w14:paraId="478BBE9B" w14:textId="77777777" w:rsidR="00335A4B" w:rsidRPr="00EE76CA" w:rsidRDefault="00335A4B" w:rsidP="00335A4B">
            <w:pPr>
              <w:pStyle w:val="Tabletextmeasures85pt"/>
              <w:rPr>
                <w:color w:val="000000" w:themeColor="text1"/>
                <w:highlight w:val="yellow"/>
              </w:rPr>
            </w:pPr>
          </w:p>
        </w:tc>
      </w:tr>
      <w:tr w:rsidR="00EE76CA" w:rsidRPr="00EE76CA" w14:paraId="490B4C78" w14:textId="77777777" w:rsidTr="00210F0B">
        <w:trPr>
          <w:trHeight w:val="93"/>
          <w:jc w:val="center"/>
        </w:trPr>
        <w:tc>
          <w:tcPr>
            <w:tcW w:w="1073" w:type="pct"/>
            <w:shd w:val="clear" w:color="auto" w:fill="auto"/>
            <w:tcMar>
              <w:left w:w="85" w:type="dxa"/>
            </w:tcMar>
          </w:tcPr>
          <w:p w14:paraId="6E34DDAE" w14:textId="3DCEF21D" w:rsidR="006D7974" w:rsidRPr="00EE76CA" w:rsidRDefault="00CF3C53" w:rsidP="00335A4B">
            <w:pPr>
              <w:pStyle w:val="Tabletextmeasures85pt"/>
              <w:keepNext/>
              <w:rPr>
                <w:color w:val="000000" w:themeColor="text1"/>
                <w:highlight w:val="yellow"/>
              </w:rPr>
            </w:pPr>
            <w:r w:rsidRPr="00CF3C53">
              <w:rPr>
                <w:color w:val="000000" w:themeColor="text1"/>
              </w:rPr>
              <w:t>76%</w:t>
            </w:r>
          </w:p>
        </w:tc>
        <w:tc>
          <w:tcPr>
            <w:tcW w:w="972" w:type="pct"/>
            <w:gridSpan w:val="2"/>
            <w:vMerge/>
            <w:shd w:val="clear" w:color="auto" w:fill="auto"/>
            <w:tcMar>
              <w:left w:w="85" w:type="dxa"/>
            </w:tcMar>
          </w:tcPr>
          <w:p w14:paraId="7D293E97" w14:textId="77777777" w:rsidR="00335A4B" w:rsidRPr="00EE76CA" w:rsidRDefault="00335A4B" w:rsidP="00335A4B">
            <w:pPr>
              <w:pStyle w:val="Tabletextmeasures85pt"/>
              <w:rPr>
                <w:color w:val="000000" w:themeColor="text1"/>
                <w:highlight w:val="yellow"/>
              </w:rPr>
            </w:pPr>
          </w:p>
        </w:tc>
        <w:tc>
          <w:tcPr>
            <w:tcW w:w="984" w:type="pct"/>
            <w:vMerge/>
            <w:shd w:val="clear" w:color="auto" w:fill="auto"/>
            <w:tcMar>
              <w:left w:w="85" w:type="dxa"/>
            </w:tcMar>
          </w:tcPr>
          <w:p w14:paraId="325313BA" w14:textId="77777777" w:rsidR="00335A4B" w:rsidRPr="00EE76CA" w:rsidRDefault="00335A4B" w:rsidP="00335A4B">
            <w:pPr>
              <w:pStyle w:val="Tabletextmeasures85pt"/>
              <w:rPr>
                <w:color w:val="000000" w:themeColor="text1"/>
                <w:highlight w:val="yellow"/>
              </w:rPr>
            </w:pPr>
          </w:p>
        </w:tc>
        <w:tc>
          <w:tcPr>
            <w:tcW w:w="974" w:type="pct"/>
            <w:gridSpan w:val="2"/>
            <w:vMerge/>
            <w:shd w:val="clear" w:color="auto" w:fill="auto"/>
            <w:tcMar>
              <w:left w:w="85" w:type="dxa"/>
            </w:tcMar>
          </w:tcPr>
          <w:p w14:paraId="38289D90" w14:textId="77777777" w:rsidR="00335A4B" w:rsidRPr="00EE76CA" w:rsidRDefault="00335A4B" w:rsidP="00335A4B">
            <w:pPr>
              <w:pStyle w:val="Tabletextmeasures85pt"/>
              <w:rPr>
                <w:color w:val="000000" w:themeColor="text1"/>
                <w:highlight w:val="yellow"/>
              </w:rPr>
            </w:pPr>
          </w:p>
        </w:tc>
        <w:tc>
          <w:tcPr>
            <w:tcW w:w="982" w:type="pct"/>
            <w:vMerge/>
            <w:shd w:val="clear" w:color="auto" w:fill="auto"/>
            <w:tcMar>
              <w:left w:w="85" w:type="dxa"/>
            </w:tcMar>
          </w:tcPr>
          <w:p w14:paraId="093172BC" w14:textId="77777777" w:rsidR="00335A4B" w:rsidRPr="00EE76CA" w:rsidRDefault="00335A4B" w:rsidP="00335A4B">
            <w:pPr>
              <w:pStyle w:val="Tabletextmeasures85pt"/>
              <w:rPr>
                <w:color w:val="000000" w:themeColor="text1"/>
                <w:highlight w:val="yellow"/>
              </w:rPr>
            </w:pPr>
          </w:p>
        </w:tc>
      </w:tr>
      <w:tr w:rsidR="00EE76CA" w:rsidRPr="00EE76CA" w14:paraId="6FC98B65" w14:textId="77777777" w:rsidTr="00210F0B">
        <w:trPr>
          <w:trHeight w:val="283"/>
          <w:jc w:val="center"/>
        </w:trPr>
        <w:tc>
          <w:tcPr>
            <w:tcW w:w="4984" w:type="pct"/>
            <w:gridSpan w:val="7"/>
            <w:shd w:val="clear" w:color="auto" w:fill="D9D9D9" w:themeFill="background1" w:themeFillShade="D9"/>
            <w:tcMar>
              <w:left w:w="85" w:type="dxa"/>
            </w:tcMar>
          </w:tcPr>
          <w:p w14:paraId="51817DF2" w14:textId="40D38DD1" w:rsidR="00005E03" w:rsidRPr="00EE76CA" w:rsidRDefault="00335A4B" w:rsidP="00005E03">
            <w:pPr>
              <w:pStyle w:val="Tableheadingrowmeasures85pt"/>
              <w:keepNext/>
              <w:rPr>
                <w:color w:val="000000" w:themeColor="text1"/>
              </w:rPr>
            </w:pPr>
            <w:r w:rsidRPr="00EE76CA">
              <w:rPr>
                <w:color w:val="000000" w:themeColor="text1"/>
              </w:rPr>
              <w:t>Through community awareness and education, increase registrations on the Australian Organ Donation Register (AODR).</w:t>
            </w:r>
          </w:p>
        </w:tc>
      </w:tr>
      <w:tr w:rsidR="002B0F4E" w:rsidRPr="00EE76CA" w14:paraId="64A72224" w14:textId="77777777" w:rsidTr="00210F0B">
        <w:trPr>
          <w:trHeight w:val="283"/>
          <w:jc w:val="center"/>
        </w:trPr>
        <w:tc>
          <w:tcPr>
            <w:tcW w:w="1721" w:type="pct"/>
            <w:gridSpan w:val="2"/>
            <w:tcMar>
              <w:left w:w="85" w:type="dxa"/>
            </w:tcMar>
          </w:tcPr>
          <w:p w14:paraId="21F5A3C5" w14:textId="04ABA226" w:rsidR="002B0F4E" w:rsidRPr="00EE76CA" w:rsidRDefault="006D7974" w:rsidP="002B0F4E">
            <w:pPr>
              <w:pStyle w:val="Tableheadingrowmeasures85pt"/>
              <w:keepNext/>
              <w:rPr>
                <w:color w:val="000000" w:themeColor="text1"/>
              </w:rPr>
            </w:pPr>
            <w:r>
              <w:t>Current Year</w:t>
            </w:r>
            <w:r>
              <w:br/>
              <w:t>2021</w:t>
            </w:r>
            <w:r w:rsidR="002B0F4E">
              <w:t xml:space="preserve"> Expected Performance</w:t>
            </w:r>
            <w:r w:rsidR="002B0F4E" w:rsidRPr="00C004D1">
              <w:t xml:space="preserve"> </w:t>
            </w:r>
            <w:r w:rsidR="002B0F4E">
              <w:t>R</w:t>
            </w:r>
            <w:r w:rsidR="002B0F4E" w:rsidRPr="00C004D1">
              <w:t>esult</w:t>
            </w:r>
            <w:r w:rsidR="002B0F4E">
              <w:t>s</w:t>
            </w:r>
          </w:p>
        </w:tc>
        <w:tc>
          <w:tcPr>
            <w:tcW w:w="1628" w:type="pct"/>
            <w:gridSpan w:val="3"/>
            <w:shd w:val="clear" w:color="auto" w:fill="auto"/>
            <w:tcMar>
              <w:left w:w="85" w:type="dxa"/>
            </w:tcMar>
          </w:tcPr>
          <w:p w14:paraId="67987CA1" w14:textId="462C500F" w:rsidR="002B0F4E" w:rsidRPr="00EE76CA" w:rsidRDefault="006D7974" w:rsidP="002B0F4E">
            <w:pPr>
              <w:pStyle w:val="Tableheadingrowmeasures85pt"/>
              <w:keepNext/>
              <w:rPr>
                <w:color w:val="000000" w:themeColor="text1"/>
              </w:rPr>
            </w:pPr>
            <w:r>
              <w:t>Budget Year</w:t>
            </w:r>
            <w:r>
              <w:br/>
              <w:t>2022</w:t>
            </w:r>
            <w:r w:rsidR="002B0F4E">
              <w:t xml:space="preserve"> Planned Performance Results </w:t>
            </w:r>
          </w:p>
        </w:tc>
        <w:tc>
          <w:tcPr>
            <w:tcW w:w="1636" w:type="pct"/>
            <w:gridSpan w:val="2"/>
            <w:shd w:val="clear" w:color="auto" w:fill="auto"/>
            <w:tcMar>
              <w:left w:w="85" w:type="dxa"/>
            </w:tcMar>
          </w:tcPr>
          <w:p w14:paraId="5FF211F1" w14:textId="579C0921" w:rsidR="002B0F4E" w:rsidRPr="00EE76CA" w:rsidRDefault="002B0F4E" w:rsidP="006D7974">
            <w:pPr>
              <w:pStyle w:val="Tableheadingrowmeasures85pt"/>
              <w:keepNext/>
              <w:rPr>
                <w:color w:val="000000" w:themeColor="text1"/>
              </w:rPr>
            </w:pPr>
            <w:r>
              <w:t>Forward Estimates</w:t>
            </w:r>
            <w:r>
              <w:br/>
            </w:r>
            <w:r w:rsidR="00DF40C5">
              <w:t>2023–2</w:t>
            </w:r>
            <w:r w:rsidR="00515E92">
              <w:t>5</w:t>
            </w:r>
            <w:r w:rsidR="006D7974">
              <w:t xml:space="preserve"> </w:t>
            </w:r>
            <w:r>
              <w:t>Planned Performance Results</w:t>
            </w:r>
          </w:p>
        </w:tc>
      </w:tr>
      <w:tr w:rsidR="00EE76CA" w:rsidRPr="00EE76CA" w14:paraId="405B864E" w14:textId="77777777" w:rsidTr="00210F0B">
        <w:trPr>
          <w:trHeight w:val="786"/>
          <w:jc w:val="center"/>
        </w:trPr>
        <w:tc>
          <w:tcPr>
            <w:tcW w:w="1721" w:type="pct"/>
            <w:gridSpan w:val="2"/>
            <w:tcMar>
              <w:left w:w="85" w:type="dxa"/>
            </w:tcMar>
          </w:tcPr>
          <w:p w14:paraId="71498AAB" w14:textId="5FC41B3A" w:rsidR="009022A8" w:rsidRPr="00EE76CA" w:rsidRDefault="00CF3C53" w:rsidP="003163D1">
            <w:pPr>
              <w:pStyle w:val="Tabletextmeasures85pt"/>
              <w:rPr>
                <w:color w:val="000000" w:themeColor="text1"/>
              </w:rPr>
            </w:pPr>
            <w:r>
              <w:t>87% increase</w:t>
            </w:r>
            <w:r w:rsidR="00BE1B5E">
              <w:t xml:space="preserve"> of 349,947</w:t>
            </w:r>
            <w:r>
              <w:t xml:space="preserve"> in new annual registrations on the AODR from the previous year (as at 31 December).</w:t>
            </w:r>
          </w:p>
        </w:tc>
        <w:tc>
          <w:tcPr>
            <w:tcW w:w="1628" w:type="pct"/>
            <w:gridSpan w:val="3"/>
            <w:shd w:val="clear" w:color="auto" w:fill="auto"/>
            <w:tcMar>
              <w:left w:w="85" w:type="dxa"/>
            </w:tcMar>
          </w:tcPr>
          <w:p w14:paraId="23F7E97D" w14:textId="6D92CD1B" w:rsidR="00E10372" w:rsidRPr="00EE76CA" w:rsidRDefault="003163D1" w:rsidP="003163D1">
            <w:pPr>
              <w:pStyle w:val="Tabletextmeasures85pt"/>
              <w:rPr>
                <w:color w:val="000000" w:themeColor="text1"/>
              </w:rPr>
            </w:pPr>
            <w:r w:rsidRPr="00EE76CA">
              <w:rPr>
                <w:color w:val="000000" w:themeColor="text1"/>
              </w:rPr>
              <w:t>10% increase in new annual registrations on the AODR from the previous year (as at 31 December).</w:t>
            </w:r>
          </w:p>
        </w:tc>
        <w:tc>
          <w:tcPr>
            <w:tcW w:w="1636" w:type="pct"/>
            <w:gridSpan w:val="2"/>
            <w:shd w:val="clear" w:color="auto" w:fill="auto"/>
            <w:tcMar>
              <w:left w:w="85" w:type="dxa"/>
            </w:tcMar>
          </w:tcPr>
          <w:p w14:paraId="2D4AB7A8" w14:textId="4D849B45" w:rsidR="00BB788E" w:rsidRPr="000459A6" w:rsidRDefault="006D7974" w:rsidP="002B0F4E">
            <w:pPr>
              <w:pStyle w:val="Tabletextmeasures85pt"/>
            </w:pPr>
            <w:r>
              <w:t>A</w:t>
            </w:r>
            <w:r w:rsidR="004C4B05">
              <w:t>s per 2022</w:t>
            </w:r>
            <w:r w:rsidR="00BB788E">
              <w:t>.</w:t>
            </w:r>
          </w:p>
          <w:p w14:paraId="78C533A7" w14:textId="01A5FF54" w:rsidR="00E10372" w:rsidRPr="00EE76CA" w:rsidRDefault="00E10372" w:rsidP="00C04C5C">
            <w:pPr>
              <w:pStyle w:val="Tabletextmeasures85pt"/>
              <w:rPr>
                <w:color w:val="000000" w:themeColor="text1"/>
                <w:highlight w:val="yellow"/>
              </w:rPr>
            </w:pPr>
          </w:p>
        </w:tc>
      </w:tr>
      <w:tr w:rsidR="00EE76CA" w:rsidRPr="00EE76CA" w14:paraId="37C959A4" w14:textId="77777777" w:rsidTr="00210F0B">
        <w:trPr>
          <w:trHeight w:val="283"/>
          <w:jc w:val="center"/>
        </w:trPr>
        <w:tc>
          <w:tcPr>
            <w:tcW w:w="4984" w:type="pct"/>
            <w:gridSpan w:val="7"/>
            <w:shd w:val="clear" w:color="auto" w:fill="FFFFFF" w:themeFill="background1"/>
            <w:tcMar>
              <w:left w:w="85" w:type="dxa"/>
            </w:tcMar>
            <w:vAlign w:val="center"/>
          </w:tcPr>
          <w:p w14:paraId="123C22E6" w14:textId="47FA102C" w:rsidR="00E10372" w:rsidRPr="00EE76CA" w:rsidRDefault="00E10372" w:rsidP="00E10372">
            <w:pPr>
              <w:pStyle w:val="Tableheadingrow9pt"/>
              <w:rPr>
                <w:color w:val="000000" w:themeColor="text1"/>
              </w:rPr>
            </w:pPr>
            <w:r w:rsidRPr="00EE76CA">
              <w:rPr>
                <w:color w:val="000000" w:themeColor="text1"/>
              </w:rPr>
              <w:t>Material changes to Program 1.1 resulting from the following measures:</w:t>
            </w:r>
          </w:p>
          <w:p w14:paraId="7DAB82E4" w14:textId="2CE3850A" w:rsidR="00E10372" w:rsidRPr="00EE76CA" w:rsidRDefault="00503B33" w:rsidP="00503B33">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51D09174" w14:textId="77777777" w:rsidR="00BC0659" w:rsidRPr="00EE76CA" w:rsidRDefault="00BC0659" w:rsidP="00913388">
      <w:pPr>
        <w:rPr>
          <w:rFonts w:ascii="Arial" w:hAnsi="Arial" w:cs="Arial"/>
          <w:color w:val="000000" w:themeColor="text1"/>
        </w:rPr>
        <w:sectPr w:rsidR="00BC0659" w:rsidRPr="00EE76C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496902E8" w14:textId="77777777" w:rsidR="00BC0659" w:rsidRPr="00EE76CA" w:rsidRDefault="00BC0659" w:rsidP="00BC0659">
      <w:pPr>
        <w:pStyle w:val="Heading2"/>
        <w:rPr>
          <w:color w:val="000000" w:themeColor="text1"/>
        </w:rPr>
      </w:pPr>
      <w:bookmarkStart w:id="7" w:name="_Toc190682315"/>
      <w:bookmarkStart w:id="8" w:name="_Toc190682532"/>
      <w:bookmarkStart w:id="9" w:name="_Toc71465363"/>
      <w:r w:rsidRPr="00EE76CA">
        <w:rPr>
          <w:color w:val="000000" w:themeColor="text1"/>
        </w:rPr>
        <w:lastRenderedPageBreak/>
        <w:t>Section 3: Budgeted Financial Statements</w:t>
      </w:r>
      <w:bookmarkEnd w:id="7"/>
      <w:bookmarkEnd w:id="8"/>
      <w:bookmarkEnd w:id="9"/>
    </w:p>
    <w:p w14:paraId="5CA14A1B" w14:textId="39A75A90" w:rsidR="00BC0659" w:rsidRPr="00EE76CA" w:rsidRDefault="00BC0659" w:rsidP="00BC0659">
      <w:pPr>
        <w:rPr>
          <w:color w:val="000000" w:themeColor="text1"/>
        </w:rPr>
      </w:pPr>
      <w:r w:rsidRPr="00EE76CA">
        <w:rPr>
          <w:color w:val="000000" w:themeColor="text1"/>
        </w:rPr>
        <w:t xml:space="preserve">Section 3 presents budgeted financial statements which provide a comprehensive snapshot of entity finances for the </w:t>
      </w:r>
      <w:r w:rsidR="00DF40C5">
        <w:rPr>
          <w:color w:val="000000" w:themeColor="text1"/>
        </w:rPr>
        <w:t>2022–</w:t>
      </w:r>
      <w:r w:rsidR="00295539">
        <w:rPr>
          <w:color w:val="000000" w:themeColor="text1"/>
        </w:rPr>
        <w:t>23</w:t>
      </w:r>
      <w:r w:rsidRPr="00EE76CA">
        <w:rPr>
          <w:color w:val="000000" w:themeColor="text1"/>
        </w:rPr>
        <w:t xml:space="preserve"> Budget year, including the impact of Budget measures and resourcing on financial statements.</w:t>
      </w:r>
    </w:p>
    <w:p w14:paraId="32A4E71E" w14:textId="77777777" w:rsidR="00BC0659" w:rsidRPr="00EE76CA" w:rsidRDefault="00BC0659" w:rsidP="00BC0659">
      <w:pPr>
        <w:pStyle w:val="Heading3"/>
        <w:rPr>
          <w:color w:val="000000" w:themeColor="text1"/>
        </w:rPr>
      </w:pPr>
      <w:bookmarkStart w:id="10" w:name="_Toc71465364"/>
      <w:r w:rsidRPr="00EE76CA">
        <w:rPr>
          <w:color w:val="000000" w:themeColor="text1"/>
        </w:rPr>
        <w:t>3.1</w:t>
      </w:r>
      <w:r w:rsidRPr="00EE76CA">
        <w:rPr>
          <w:color w:val="000000" w:themeColor="text1"/>
        </w:rPr>
        <w:tab/>
        <w:t>Budgeted Financial Statements</w:t>
      </w:r>
      <w:bookmarkEnd w:id="10"/>
    </w:p>
    <w:p w14:paraId="7B4346A8" w14:textId="77777777" w:rsidR="00BC0659" w:rsidRPr="00EE76CA" w:rsidRDefault="00BC0659" w:rsidP="00BC0659">
      <w:pPr>
        <w:pStyle w:val="Heading4"/>
        <w:rPr>
          <w:color w:val="000000" w:themeColor="text1"/>
        </w:rPr>
      </w:pPr>
      <w:r w:rsidRPr="00EE76CA">
        <w:rPr>
          <w:color w:val="000000" w:themeColor="text1"/>
        </w:rPr>
        <w:t>3.1.1</w:t>
      </w:r>
      <w:r w:rsidRPr="00EE76CA">
        <w:rPr>
          <w:color w:val="000000" w:themeColor="text1"/>
        </w:rPr>
        <w:tab/>
        <w:t>Differences between Entity Resourcing and Financial Statements</w:t>
      </w:r>
    </w:p>
    <w:p w14:paraId="52E086AD" w14:textId="275F3015" w:rsidR="00503B33" w:rsidRPr="007A47C2" w:rsidRDefault="007A47C2" w:rsidP="00503B33">
      <w:pPr>
        <w:rPr>
          <w:rFonts w:cs="Arial"/>
          <w:color w:val="auto"/>
        </w:rPr>
      </w:pPr>
      <w:r>
        <w:rPr>
          <w:rFonts w:cs="Arial"/>
          <w:color w:val="auto"/>
        </w:rPr>
        <w:t>This section</w:t>
      </w:r>
      <w:r w:rsidRPr="007A47C2">
        <w:rPr>
          <w:rFonts w:cs="Arial"/>
          <w:color w:val="auto"/>
        </w:rPr>
        <w:t xml:space="preserve"> is not applicable to the OTA.</w:t>
      </w:r>
    </w:p>
    <w:p w14:paraId="4E646714" w14:textId="77777777" w:rsidR="00BC0659" w:rsidRPr="00EE76CA" w:rsidRDefault="00BC0659" w:rsidP="00BC0659">
      <w:pPr>
        <w:pStyle w:val="Heading4"/>
        <w:rPr>
          <w:color w:val="000000" w:themeColor="text1"/>
        </w:rPr>
      </w:pPr>
      <w:r w:rsidRPr="00EE76CA">
        <w:rPr>
          <w:color w:val="000000" w:themeColor="text1"/>
        </w:rPr>
        <w:t>3.1.2</w:t>
      </w:r>
      <w:r w:rsidRPr="00EE76CA">
        <w:rPr>
          <w:color w:val="000000" w:themeColor="text1"/>
        </w:rPr>
        <w:tab/>
        <w:t>Explanatory Notes and Analysis of Budgeted Financial Statements</w:t>
      </w:r>
    </w:p>
    <w:p w14:paraId="1D1DDB5F" w14:textId="5A6826E1" w:rsidR="007A47C2" w:rsidRPr="007A47C2" w:rsidRDefault="007A47C2" w:rsidP="00B34C79">
      <w:pPr>
        <w:rPr>
          <w:rFonts w:ascii="Arial" w:hAnsi="Arial" w:cs="Arial"/>
          <w:b/>
          <w:color w:val="auto"/>
        </w:rPr>
      </w:pPr>
      <w:r w:rsidRPr="007A47C2">
        <w:rPr>
          <w:rFonts w:ascii="Arial" w:hAnsi="Arial" w:cs="Arial"/>
          <w:b/>
          <w:color w:val="auto"/>
        </w:rPr>
        <w:t>Departmental Resources</w:t>
      </w:r>
    </w:p>
    <w:p w14:paraId="22814D44" w14:textId="12FC5ABE" w:rsidR="007A47C2" w:rsidRDefault="007A47C2" w:rsidP="008C54CC">
      <w:r>
        <w:t>For the Budget and forward years, the OTA is expecting a break-even position net of unfunded depreciation and amortisation expenses. In 2022–23, the OTA has appropriation revenue of $6.194 million and total e</w:t>
      </w:r>
      <w:r w:rsidR="008C54CC">
        <w:t>xpenses are estimated at $6.658 </w:t>
      </w:r>
      <w:r>
        <w:t xml:space="preserve">million.  </w:t>
      </w:r>
    </w:p>
    <w:p w14:paraId="52237261" w14:textId="75F1D7E8" w:rsidR="007A47C2" w:rsidRPr="007A47C2" w:rsidRDefault="007A47C2" w:rsidP="007A47C2">
      <w:pPr>
        <w:rPr>
          <w:rFonts w:ascii="Arial" w:hAnsi="Arial" w:cs="Arial"/>
          <w:b/>
          <w:color w:val="auto"/>
        </w:rPr>
      </w:pPr>
      <w:r>
        <w:rPr>
          <w:rFonts w:ascii="Arial" w:hAnsi="Arial" w:cs="Arial"/>
          <w:b/>
          <w:color w:val="auto"/>
        </w:rPr>
        <w:t>Administered</w:t>
      </w:r>
      <w:r w:rsidRPr="007A47C2">
        <w:rPr>
          <w:rFonts w:ascii="Arial" w:hAnsi="Arial" w:cs="Arial"/>
          <w:b/>
          <w:color w:val="auto"/>
        </w:rPr>
        <w:t xml:space="preserve"> Resources</w:t>
      </w:r>
    </w:p>
    <w:p w14:paraId="7178EB17" w14:textId="5FB21F36" w:rsidR="007A47C2" w:rsidRPr="00B7112A" w:rsidRDefault="007A47C2" w:rsidP="007A47C2">
      <w:r w:rsidRPr="001B2F5E">
        <w:t xml:space="preserve">The OTA administers funds associated with the delivery of the Australian Government’s national program to optimise potential organ and tissue donation for transplantation. </w:t>
      </w:r>
      <w:r>
        <w:t>Funding is provided to j</w:t>
      </w:r>
      <w:r w:rsidRPr="001B2F5E">
        <w:t>urisdictions to deliver organ and tissue donation services in selected public and private hospitals. State and territory governments use these funds to employ specialised clinical staff</w:t>
      </w:r>
      <w:r>
        <w:t xml:space="preserve"> – </w:t>
      </w:r>
      <w:r w:rsidRPr="001B2F5E">
        <w:t>the</w:t>
      </w:r>
      <w:r>
        <w:t> </w:t>
      </w:r>
      <w:r w:rsidRPr="001B2F5E">
        <w:t>DonateLife Network</w:t>
      </w:r>
      <w:r>
        <w:t xml:space="preserve"> –</w:t>
      </w:r>
      <w:r w:rsidRPr="001B2F5E">
        <w:t xml:space="preserve"> to deliver organ and tissue</w:t>
      </w:r>
      <w:r w:rsidRPr="00B7112A">
        <w:t xml:space="preserve"> donation services. </w:t>
      </w:r>
    </w:p>
    <w:p w14:paraId="46DFB948" w14:textId="51EE4633" w:rsidR="007A47C2" w:rsidRDefault="007A47C2" w:rsidP="007A47C2">
      <w:r>
        <w:t>In 2022–23, the OTA has</w:t>
      </w:r>
      <w:r w:rsidR="00A12C21">
        <w:t xml:space="preserve"> forecast a</w:t>
      </w:r>
      <w:r w:rsidRPr="00B7112A">
        <w:t xml:space="preserve">dministered expenses </w:t>
      </w:r>
      <w:r>
        <w:t xml:space="preserve">of </w:t>
      </w:r>
      <w:r w:rsidRPr="00B7112A">
        <w:t>$</w:t>
      </w:r>
      <w:r>
        <w:t>49.131</w:t>
      </w:r>
      <w:r w:rsidRPr="00B7112A">
        <w:t xml:space="preserve"> million. </w:t>
      </w:r>
    </w:p>
    <w:p w14:paraId="51F43E13" w14:textId="77777777" w:rsidR="007A47C2" w:rsidRPr="007A47C2" w:rsidRDefault="007A47C2" w:rsidP="00B34C79">
      <w:pPr>
        <w:rPr>
          <w:rFonts w:cs="Arial"/>
          <w:color w:val="0000FF"/>
        </w:rPr>
        <w:sectPr w:rsidR="007A47C2" w:rsidRPr="007A47C2"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pPr>
    </w:p>
    <w:p w14:paraId="72B6F89A" w14:textId="77777777" w:rsidR="00BC0659" w:rsidRPr="00EE76CA" w:rsidRDefault="00BC0659" w:rsidP="00BC0659">
      <w:pPr>
        <w:pStyle w:val="Heading3"/>
        <w:spacing w:before="0"/>
        <w:rPr>
          <w:color w:val="000000" w:themeColor="text1"/>
        </w:rPr>
      </w:pPr>
      <w:bookmarkStart w:id="11" w:name="_Toc71465365"/>
      <w:r w:rsidRPr="00EE76CA">
        <w:rPr>
          <w:color w:val="000000" w:themeColor="text1"/>
        </w:rPr>
        <w:lastRenderedPageBreak/>
        <w:t>3.2</w:t>
      </w:r>
      <w:r w:rsidRPr="00EE76CA">
        <w:rPr>
          <w:color w:val="000000" w:themeColor="text1"/>
        </w:rPr>
        <w:tab/>
        <w:t>Budgeted Financial Statements Tables</w:t>
      </w:r>
      <w:bookmarkEnd w:id="11"/>
    </w:p>
    <w:p w14:paraId="706C32F7" w14:textId="77777777" w:rsidR="00BC0659" w:rsidRPr="00EE76CA" w:rsidRDefault="00BC0659" w:rsidP="00BC0659">
      <w:pPr>
        <w:pStyle w:val="Tablenumberandreference"/>
        <w:rPr>
          <w:snapToGrid w:val="0"/>
          <w:color w:val="000000" w:themeColor="text1"/>
        </w:rPr>
      </w:pPr>
      <w:r w:rsidRPr="00EE76CA">
        <w:rPr>
          <w:color w:val="000000" w:themeColor="text1"/>
        </w:rPr>
        <w:t xml:space="preserve">Table 3.1: Comprehensive Income Statement (showing net cost of services) </w:t>
      </w:r>
      <w:r w:rsidRPr="00EE76CA">
        <w:rPr>
          <w:snapToGrid w:val="0"/>
          <w:color w:val="000000" w:themeColor="text1"/>
        </w:rPr>
        <w:t xml:space="preserve">for the period </w:t>
      </w:r>
      <w:r w:rsidRPr="00EE76CA">
        <w:rPr>
          <w:color w:val="000000" w:themeColor="text1"/>
        </w:rPr>
        <w:t>ended</w:t>
      </w:r>
      <w:r w:rsidRPr="00EE76CA">
        <w:rPr>
          <w:snapToGrid w:val="0"/>
          <w:color w:val="000000" w:themeColor="text1"/>
        </w:rPr>
        <w:t xml:space="preserve">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7C17A5" w:rsidRPr="007C17A5" w14:paraId="0C431126" w14:textId="77777777" w:rsidTr="007C17A5">
        <w:trPr>
          <w:trHeight w:val="765"/>
          <w:jc w:val="center"/>
        </w:trPr>
        <w:tc>
          <w:tcPr>
            <w:tcW w:w="2860" w:type="dxa"/>
            <w:tcBorders>
              <w:top w:val="single" w:sz="4" w:space="0" w:color="auto"/>
              <w:left w:val="nil"/>
              <w:bottom w:val="nil"/>
              <w:right w:val="nil"/>
            </w:tcBorders>
            <w:shd w:val="clear" w:color="auto" w:fill="auto"/>
            <w:hideMark/>
          </w:tcPr>
          <w:p w14:paraId="760A8106"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C04BD86"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2021–22 Estimated actual</w:t>
            </w:r>
            <w:r w:rsidRPr="007C17A5">
              <w:rPr>
                <w:rFonts w:ascii="Arial" w:hAnsi="Arial" w:cs="Arial"/>
                <w:b/>
                <w:bCs/>
                <w:color w:val="auto"/>
                <w:sz w:val="16"/>
                <w:szCs w:val="16"/>
              </w:rPr>
              <w:br/>
            </w:r>
            <w:r w:rsidRPr="007C17A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CE76A6A"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xml:space="preserve">2022–23 Budget </w:t>
            </w:r>
            <w:r w:rsidRPr="007C17A5">
              <w:rPr>
                <w:rFonts w:ascii="Arial" w:hAnsi="Arial" w:cs="Arial"/>
                <w:b/>
                <w:bCs/>
                <w:color w:val="auto"/>
                <w:sz w:val="16"/>
                <w:szCs w:val="16"/>
              </w:rPr>
              <w:br/>
            </w:r>
            <w:r w:rsidRPr="007C17A5">
              <w:rPr>
                <w:rFonts w:ascii="Arial" w:hAnsi="Arial" w:cs="Arial"/>
                <w:b/>
                <w:bCs/>
                <w:color w:val="auto"/>
                <w:sz w:val="16"/>
                <w:szCs w:val="16"/>
              </w:rPr>
              <w:br/>
            </w:r>
            <w:r w:rsidRPr="007C17A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4EA28D8"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2023–24 Forward estimate</w:t>
            </w:r>
            <w:r w:rsidRPr="007C17A5">
              <w:rPr>
                <w:rFonts w:ascii="Arial" w:hAnsi="Arial" w:cs="Arial"/>
                <w:b/>
                <w:bCs/>
                <w:color w:val="auto"/>
                <w:sz w:val="16"/>
                <w:szCs w:val="16"/>
              </w:rPr>
              <w:br/>
            </w:r>
            <w:r w:rsidRPr="007C17A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62DB31E"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2024–25 Forward estimate</w:t>
            </w:r>
            <w:r w:rsidRPr="007C17A5">
              <w:rPr>
                <w:rFonts w:ascii="Arial" w:hAnsi="Arial" w:cs="Arial"/>
                <w:b/>
                <w:bCs/>
                <w:color w:val="auto"/>
                <w:sz w:val="16"/>
                <w:szCs w:val="16"/>
              </w:rPr>
              <w:br/>
            </w:r>
            <w:r w:rsidRPr="007C17A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23D7F23"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2025–26 Forward estimate</w:t>
            </w:r>
            <w:r w:rsidRPr="007C17A5">
              <w:rPr>
                <w:rFonts w:ascii="Arial" w:hAnsi="Arial" w:cs="Arial"/>
                <w:b/>
                <w:bCs/>
                <w:color w:val="auto"/>
                <w:sz w:val="16"/>
                <w:szCs w:val="16"/>
              </w:rPr>
              <w:br/>
            </w:r>
            <w:r w:rsidRPr="007C17A5">
              <w:rPr>
                <w:rFonts w:ascii="Arial" w:hAnsi="Arial" w:cs="Arial"/>
                <w:color w:val="auto"/>
                <w:sz w:val="16"/>
                <w:szCs w:val="16"/>
              </w:rPr>
              <w:t>$'000</w:t>
            </w:r>
          </w:p>
        </w:tc>
      </w:tr>
      <w:tr w:rsidR="007C17A5" w:rsidRPr="007C17A5" w14:paraId="252B8D85" w14:textId="77777777" w:rsidTr="007C17A5">
        <w:trPr>
          <w:trHeight w:val="240"/>
          <w:jc w:val="center"/>
        </w:trPr>
        <w:tc>
          <w:tcPr>
            <w:tcW w:w="2860" w:type="dxa"/>
            <w:tcBorders>
              <w:top w:val="nil"/>
              <w:left w:val="nil"/>
              <w:bottom w:val="nil"/>
              <w:right w:val="nil"/>
            </w:tcBorders>
            <w:shd w:val="clear" w:color="auto" w:fill="auto"/>
            <w:noWrap/>
            <w:vAlign w:val="bottom"/>
            <w:hideMark/>
          </w:tcPr>
          <w:p w14:paraId="03F59176"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7EDA1E3E" w14:textId="77777777" w:rsidR="007C17A5" w:rsidRPr="007C17A5" w:rsidRDefault="007C17A5" w:rsidP="007C17A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0C71EED"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1FA13FC" w14:textId="77777777" w:rsidR="007C17A5" w:rsidRPr="007C17A5" w:rsidRDefault="007C17A5" w:rsidP="007C17A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1DD72A1" w14:textId="77777777" w:rsidR="007C17A5" w:rsidRPr="007C17A5" w:rsidRDefault="007C17A5" w:rsidP="007C17A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7835A4A" w14:textId="77777777" w:rsidR="007C17A5" w:rsidRPr="007C17A5" w:rsidRDefault="007C17A5" w:rsidP="007C17A5">
            <w:pPr>
              <w:spacing w:after="0"/>
              <w:jc w:val="right"/>
              <w:rPr>
                <w:rFonts w:ascii="Times New Roman" w:hAnsi="Times New Roman"/>
                <w:color w:val="auto"/>
              </w:rPr>
            </w:pPr>
          </w:p>
        </w:tc>
      </w:tr>
      <w:tr w:rsidR="007C17A5" w:rsidRPr="007C17A5" w14:paraId="60E77457"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12E0E97B" w14:textId="77777777" w:rsidR="007C17A5" w:rsidRPr="007C17A5" w:rsidRDefault="007C17A5" w:rsidP="007C17A5">
            <w:pPr>
              <w:spacing w:after="0"/>
              <w:ind w:leftChars="75" w:left="150"/>
              <w:rPr>
                <w:rFonts w:ascii="Arial" w:hAnsi="Arial" w:cs="Arial"/>
                <w:color w:val="auto"/>
                <w:sz w:val="16"/>
                <w:szCs w:val="16"/>
              </w:rPr>
            </w:pPr>
            <w:r w:rsidRPr="007C17A5">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5969D612"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4,135</w:t>
            </w:r>
          </w:p>
        </w:tc>
        <w:tc>
          <w:tcPr>
            <w:tcW w:w="900" w:type="dxa"/>
            <w:tcBorders>
              <w:top w:val="nil"/>
              <w:left w:val="nil"/>
              <w:bottom w:val="nil"/>
              <w:right w:val="nil"/>
            </w:tcBorders>
            <w:shd w:val="clear" w:color="000000" w:fill="D9D9D9"/>
            <w:noWrap/>
            <w:vAlign w:val="bottom"/>
            <w:hideMark/>
          </w:tcPr>
          <w:p w14:paraId="4C4647D5"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4,278</w:t>
            </w:r>
          </w:p>
        </w:tc>
        <w:tc>
          <w:tcPr>
            <w:tcW w:w="900" w:type="dxa"/>
            <w:tcBorders>
              <w:top w:val="nil"/>
              <w:left w:val="nil"/>
              <w:bottom w:val="nil"/>
              <w:right w:val="nil"/>
            </w:tcBorders>
            <w:shd w:val="clear" w:color="auto" w:fill="auto"/>
            <w:noWrap/>
            <w:vAlign w:val="bottom"/>
            <w:hideMark/>
          </w:tcPr>
          <w:p w14:paraId="3F3E814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4,280</w:t>
            </w:r>
          </w:p>
        </w:tc>
        <w:tc>
          <w:tcPr>
            <w:tcW w:w="900" w:type="dxa"/>
            <w:tcBorders>
              <w:top w:val="nil"/>
              <w:left w:val="nil"/>
              <w:bottom w:val="nil"/>
              <w:right w:val="nil"/>
            </w:tcBorders>
            <w:shd w:val="clear" w:color="auto" w:fill="auto"/>
            <w:noWrap/>
            <w:vAlign w:val="bottom"/>
            <w:hideMark/>
          </w:tcPr>
          <w:p w14:paraId="5BF37FC0"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4,455</w:t>
            </w:r>
          </w:p>
        </w:tc>
        <w:tc>
          <w:tcPr>
            <w:tcW w:w="900" w:type="dxa"/>
            <w:tcBorders>
              <w:top w:val="nil"/>
              <w:left w:val="nil"/>
              <w:bottom w:val="nil"/>
              <w:right w:val="nil"/>
            </w:tcBorders>
            <w:shd w:val="clear" w:color="auto" w:fill="auto"/>
            <w:noWrap/>
            <w:vAlign w:val="bottom"/>
            <w:hideMark/>
          </w:tcPr>
          <w:p w14:paraId="2778D09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4,482</w:t>
            </w:r>
          </w:p>
        </w:tc>
      </w:tr>
      <w:tr w:rsidR="007C17A5" w:rsidRPr="007C17A5" w14:paraId="608769A8"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2A6729FD" w14:textId="77777777" w:rsidR="007C17A5" w:rsidRPr="007C17A5" w:rsidRDefault="007C17A5" w:rsidP="007C17A5">
            <w:pPr>
              <w:spacing w:after="0"/>
              <w:ind w:leftChars="75" w:left="150"/>
              <w:rPr>
                <w:rFonts w:ascii="Arial" w:hAnsi="Arial" w:cs="Arial"/>
                <w:color w:val="auto"/>
                <w:sz w:val="16"/>
                <w:szCs w:val="16"/>
              </w:rPr>
            </w:pPr>
            <w:r w:rsidRPr="007C17A5">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52C29677"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1,629</w:t>
            </w:r>
          </w:p>
        </w:tc>
        <w:tc>
          <w:tcPr>
            <w:tcW w:w="900" w:type="dxa"/>
            <w:tcBorders>
              <w:top w:val="nil"/>
              <w:left w:val="nil"/>
              <w:bottom w:val="nil"/>
              <w:right w:val="nil"/>
            </w:tcBorders>
            <w:shd w:val="clear" w:color="000000" w:fill="D9D9D9"/>
            <w:noWrap/>
            <w:vAlign w:val="bottom"/>
            <w:hideMark/>
          </w:tcPr>
          <w:p w14:paraId="0E133EFB"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1,697</w:t>
            </w:r>
          </w:p>
        </w:tc>
        <w:tc>
          <w:tcPr>
            <w:tcW w:w="900" w:type="dxa"/>
            <w:tcBorders>
              <w:top w:val="nil"/>
              <w:left w:val="nil"/>
              <w:bottom w:val="nil"/>
              <w:right w:val="nil"/>
            </w:tcBorders>
            <w:shd w:val="clear" w:color="auto" w:fill="auto"/>
            <w:noWrap/>
            <w:vAlign w:val="bottom"/>
            <w:hideMark/>
          </w:tcPr>
          <w:p w14:paraId="1363DE4E"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1,722</w:t>
            </w:r>
          </w:p>
        </w:tc>
        <w:tc>
          <w:tcPr>
            <w:tcW w:w="900" w:type="dxa"/>
            <w:tcBorders>
              <w:top w:val="nil"/>
              <w:left w:val="nil"/>
              <w:bottom w:val="nil"/>
              <w:right w:val="nil"/>
            </w:tcBorders>
            <w:shd w:val="clear" w:color="auto" w:fill="auto"/>
            <w:noWrap/>
            <w:vAlign w:val="bottom"/>
            <w:hideMark/>
          </w:tcPr>
          <w:p w14:paraId="795415D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1,646</w:t>
            </w:r>
          </w:p>
        </w:tc>
        <w:tc>
          <w:tcPr>
            <w:tcW w:w="900" w:type="dxa"/>
            <w:tcBorders>
              <w:top w:val="nil"/>
              <w:left w:val="nil"/>
              <w:bottom w:val="nil"/>
              <w:right w:val="nil"/>
            </w:tcBorders>
            <w:shd w:val="clear" w:color="auto" w:fill="auto"/>
            <w:noWrap/>
            <w:vAlign w:val="bottom"/>
            <w:hideMark/>
          </w:tcPr>
          <w:p w14:paraId="29D80D6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1,654</w:t>
            </w:r>
          </w:p>
        </w:tc>
      </w:tr>
      <w:tr w:rsidR="007C17A5" w:rsidRPr="007C17A5" w14:paraId="307C4EBF"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45ED3D2E" w14:textId="77777777" w:rsidR="007C17A5" w:rsidRPr="007C17A5" w:rsidRDefault="007C17A5" w:rsidP="007C17A5">
            <w:pPr>
              <w:spacing w:after="0"/>
              <w:ind w:leftChars="75" w:left="150"/>
              <w:rPr>
                <w:rFonts w:ascii="Arial" w:hAnsi="Arial" w:cs="Arial"/>
                <w:color w:val="auto"/>
                <w:sz w:val="16"/>
                <w:szCs w:val="16"/>
              </w:rPr>
            </w:pPr>
            <w:r w:rsidRPr="007C17A5">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3950DDC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655</w:t>
            </w:r>
          </w:p>
        </w:tc>
        <w:tc>
          <w:tcPr>
            <w:tcW w:w="900" w:type="dxa"/>
            <w:tcBorders>
              <w:top w:val="nil"/>
              <w:left w:val="nil"/>
              <w:bottom w:val="nil"/>
              <w:right w:val="nil"/>
            </w:tcBorders>
            <w:shd w:val="clear" w:color="000000" w:fill="D9D9D9"/>
            <w:noWrap/>
            <w:vAlign w:val="bottom"/>
            <w:hideMark/>
          </w:tcPr>
          <w:p w14:paraId="6E5A2EB4"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669</w:t>
            </w:r>
          </w:p>
        </w:tc>
        <w:tc>
          <w:tcPr>
            <w:tcW w:w="900" w:type="dxa"/>
            <w:tcBorders>
              <w:top w:val="nil"/>
              <w:left w:val="nil"/>
              <w:bottom w:val="nil"/>
              <w:right w:val="nil"/>
            </w:tcBorders>
            <w:shd w:val="clear" w:color="auto" w:fill="auto"/>
            <w:noWrap/>
            <w:vAlign w:val="bottom"/>
            <w:hideMark/>
          </w:tcPr>
          <w:p w14:paraId="14BEADCC"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709</w:t>
            </w:r>
          </w:p>
        </w:tc>
        <w:tc>
          <w:tcPr>
            <w:tcW w:w="900" w:type="dxa"/>
            <w:tcBorders>
              <w:top w:val="nil"/>
              <w:left w:val="nil"/>
              <w:bottom w:val="nil"/>
              <w:right w:val="nil"/>
            </w:tcBorders>
            <w:shd w:val="clear" w:color="auto" w:fill="auto"/>
            <w:noWrap/>
            <w:vAlign w:val="bottom"/>
            <w:hideMark/>
          </w:tcPr>
          <w:p w14:paraId="721E2F11"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639</w:t>
            </w:r>
          </w:p>
        </w:tc>
        <w:tc>
          <w:tcPr>
            <w:tcW w:w="900" w:type="dxa"/>
            <w:tcBorders>
              <w:top w:val="nil"/>
              <w:left w:val="nil"/>
              <w:bottom w:val="nil"/>
              <w:right w:val="nil"/>
            </w:tcBorders>
            <w:shd w:val="clear" w:color="auto" w:fill="auto"/>
            <w:noWrap/>
            <w:vAlign w:val="bottom"/>
            <w:hideMark/>
          </w:tcPr>
          <w:p w14:paraId="0B0095B7"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642</w:t>
            </w:r>
          </w:p>
        </w:tc>
      </w:tr>
      <w:tr w:rsidR="007C17A5" w:rsidRPr="007C17A5" w14:paraId="56F1665A"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2BE5B0E2" w14:textId="77777777" w:rsidR="007C17A5" w:rsidRPr="007C17A5" w:rsidRDefault="007C17A5" w:rsidP="007C17A5">
            <w:pPr>
              <w:spacing w:after="0"/>
              <w:ind w:leftChars="75" w:left="150"/>
              <w:rPr>
                <w:rFonts w:ascii="Arial" w:hAnsi="Arial" w:cs="Arial"/>
                <w:color w:val="auto"/>
                <w:sz w:val="16"/>
                <w:szCs w:val="16"/>
              </w:rPr>
            </w:pPr>
            <w:r w:rsidRPr="007C17A5">
              <w:rPr>
                <w:rFonts w:ascii="Arial" w:hAnsi="Arial" w:cs="Arial"/>
                <w:color w:val="auto"/>
                <w:sz w:val="16"/>
                <w:szCs w:val="16"/>
              </w:rPr>
              <w:t xml:space="preserve">Interest on </w:t>
            </w:r>
            <w:proofErr w:type="spellStart"/>
            <w:r w:rsidRPr="007C17A5">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25BF8A1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14</w:t>
            </w:r>
          </w:p>
        </w:tc>
        <w:tc>
          <w:tcPr>
            <w:tcW w:w="900" w:type="dxa"/>
            <w:tcBorders>
              <w:top w:val="nil"/>
              <w:left w:val="nil"/>
              <w:bottom w:val="nil"/>
              <w:right w:val="nil"/>
            </w:tcBorders>
            <w:shd w:val="clear" w:color="000000" w:fill="D9D9D9"/>
            <w:noWrap/>
            <w:vAlign w:val="bottom"/>
            <w:hideMark/>
          </w:tcPr>
          <w:p w14:paraId="40228DB2"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14</w:t>
            </w:r>
          </w:p>
        </w:tc>
        <w:tc>
          <w:tcPr>
            <w:tcW w:w="900" w:type="dxa"/>
            <w:tcBorders>
              <w:top w:val="nil"/>
              <w:left w:val="nil"/>
              <w:bottom w:val="nil"/>
              <w:right w:val="nil"/>
            </w:tcBorders>
            <w:shd w:val="clear" w:color="auto" w:fill="auto"/>
            <w:noWrap/>
            <w:vAlign w:val="bottom"/>
            <w:hideMark/>
          </w:tcPr>
          <w:p w14:paraId="08A2B59E"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651E1A9B"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4EEF8C97"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10</w:t>
            </w:r>
          </w:p>
        </w:tc>
      </w:tr>
      <w:tr w:rsidR="007C17A5" w:rsidRPr="007C17A5" w14:paraId="1B95B524"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05F08150" w14:textId="77777777" w:rsidR="007C17A5" w:rsidRPr="007C17A5" w:rsidRDefault="007C17A5" w:rsidP="007C17A5">
            <w:pPr>
              <w:spacing w:after="0"/>
              <w:ind w:leftChars="75" w:left="150"/>
              <w:rPr>
                <w:rFonts w:ascii="Arial" w:hAnsi="Arial" w:cs="Arial"/>
                <w:b/>
                <w:bCs/>
                <w:color w:val="auto"/>
                <w:sz w:val="16"/>
                <w:szCs w:val="16"/>
              </w:rPr>
            </w:pPr>
            <w:r w:rsidRPr="007C17A5">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769D7BC7"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6,433</w:t>
            </w:r>
          </w:p>
        </w:tc>
        <w:tc>
          <w:tcPr>
            <w:tcW w:w="900" w:type="dxa"/>
            <w:tcBorders>
              <w:top w:val="nil"/>
              <w:left w:val="nil"/>
              <w:bottom w:val="single" w:sz="4" w:space="0" w:color="auto"/>
              <w:right w:val="nil"/>
            </w:tcBorders>
            <w:shd w:val="clear" w:color="000000" w:fill="D9D9D9"/>
            <w:noWrap/>
            <w:vAlign w:val="bottom"/>
            <w:hideMark/>
          </w:tcPr>
          <w:p w14:paraId="12A27775"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6,658</w:t>
            </w:r>
          </w:p>
        </w:tc>
        <w:tc>
          <w:tcPr>
            <w:tcW w:w="900" w:type="dxa"/>
            <w:tcBorders>
              <w:top w:val="nil"/>
              <w:left w:val="nil"/>
              <w:bottom w:val="single" w:sz="4" w:space="0" w:color="auto"/>
              <w:right w:val="nil"/>
            </w:tcBorders>
            <w:shd w:val="clear" w:color="auto" w:fill="auto"/>
            <w:noWrap/>
            <w:vAlign w:val="bottom"/>
            <w:hideMark/>
          </w:tcPr>
          <w:p w14:paraId="7DCD8836"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6,721</w:t>
            </w:r>
          </w:p>
        </w:tc>
        <w:tc>
          <w:tcPr>
            <w:tcW w:w="900" w:type="dxa"/>
            <w:tcBorders>
              <w:top w:val="nil"/>
              <w:left w:val="nil"/>
              <w:bottom w:val="single" w:sz="4" w:space="0" w:color="auto"/>
              <w:right w:val="nil"/>
            </w:tcBorders>
            <w:shd w:val="clear" w:color="auto" w:fill="auto"/>
            <w:noWrap/>
            <w:vAlign w:val="bottom"/>
            <w:hideMark/>
          </w:tcPr>
          <w:p w14:paraId="50EF6F1C"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6,750</w:t>
            </w:r>
          </w:p>
        </w:tc>
        <w:tc>
          <w:tcPr>
            <w:tcW w:w="900" w:type="dxa"/>
            <w:tcBorders>
              <w:top w:val="nil"/>
              <w:left w:val="nil"/>
              <w:bottom w:val="single" w:sz="4" w:space="0" w:color="auto"/>
              <w:right w:val="nil"/>
            </w:tcBorders>
            <w:shd w:val="clear" w:color="auto" w:fill="auto"/>
            <w:noWrap/>
            <w:vAlign w:val="bottom"/>
            <w:hideMark/>
          </w:tcPr>
          <w:p w14:paraId="0C8669CE"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6,788</w:t>
            </w:r>
          </w:p>
        </w:tc>
      </w:tr>
      <w:tr w:rsidR="007C17A5" w:rsidRPr="007C17A5" w14:paraId="48035033" w14:textId="77777777" w:rsidTr="007C17A5">
        <w:trPr>
          <w:trHeight w:val="227"/>
          <w:jc w:val="center"/>
        </w:trPr>
        <w:tc>
          <w:tcPr>
            <w:tcW w:w="2860" w:type="dxa"/>
            <w:tcBorders>
              <w:top w:val="nil"/>
              <w:left w:val="nil"/>
              <w:bottom w:val="nil"/>
              <w:right w:val="nil"/>
            </w:tcBorders>
            <w:shd w:val="clear" w:color="auto" w:fill="auto"/>
            <w:noWrap/>
            <w:vAlign w:val="bottom"/>
            <w:hideMark/>
          </w:tcPr>
          <w:p w14:paraId="5952ED7C"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5D6D8BDB" w14:textId="77777777" w:rsidR="007C17A5" w:rsidRPr="007C17A5" w:rsidRDefault="007C17A5" w:rsidP="007C17A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E9B3A48"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417C14F" w14:textId="77777777" w:rsidR="007C17A5" w:rsidRPr="007C17A5" w:rsidRDefault="007C17A5" w:rsidP="007C17A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E5FD5C9" w14:textId="77777777" w:rsidR="007C17A5" w:rsidRPr="007C17A5" w:rsidRDefault="007C17A5" w:rsidP="007C17A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D992A95" w14:textId="77777777" w:rsidR="007C17A5" w:rsidRPr="007C17A5" w:rsidRDefault="007C17A5" w:rsidP="007C17A5">
            <w:pPr>
              <w:spacing w:after="0"/>
              <w:jc w:val="right"/>
              <w:rPr>
                <w:rFonts w:ascii="Times New Roman" w:hAnsi="Times New Roman"/>
                <w:color w:val="auto"/>
              </w:rPr>
            </w:pPr>
          </w:p>
        </w:tc>
      </w:tr>
      <w:tr w:rsidR="007C17A5" w:rsidRPr="007C17A5" w14:paraId="33CF7D5B"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4228859A"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279A2CF4" w14:textId="77777777" w:rsidR="007C17A5" w:rsidRPr="007C17A5" w:rsidRDefault="007C17A5" w:rsidP="007C17A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0BB5578"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DCACBB7" w14:textId="77777777" w:rsidR="007C17A5" w:rsidRPr="007C17A5" w:rsidRDefault="007C17A5" w:rsidP="007C17A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7F5ED45" w14:textId="77777777" w:rsidR="007C17A5" w:rsidRPr="007C17A5" w:rsidRDefault="007C17A5" w:rsidP="007C17A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09C35F9" w14:textId="77777777" w:rsidR="007C17A5" w:rsidRPr="007C17A5" w:rsidRDefault="007C17A5" w:rsidP="007C17A5">
            <w:pPr>
              <w:spacing w:after="0"/>
              <w:jc w:val="right"/>
              <w:rPr>
                <w:rFonts w:ascii="Times New Roman" w:hAnsi="Times New Roman"/>
                <w:color w:val="auto"/>
              </w:rPr>
            </w:pPr>
          </w:p>
        </w:tc>
      </w:tr>
      <w:tr w:rsidR="007C17A5" w:rsidRPr="007C17A5" w14:paraId="0964F335"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3A08D51D" w14:textId="77777777" w:rsidR="007C17A5" w:rsidRPr="007C17A5" w:rsidRDefault="007C17A5" w:rsidP="007C17A5">
            <w:pPr>
              <w:spacing w:after="0"/>
              <w:ind w:leftChars="75" w:left="150"/>
              <w:rPr>
                <w:rFonts w:ascii="Arial" w:hAnsi="Arial" w:cs="Arial"/>
                <w:b/>
                <w:bCs/>
                <w:color w:val="auto"/>
                <w:sz w:val="16"/>
                <w:szCs w:val="16"/>
              </w:rPr>
            </w:pPr>
            <w:r w:rsidRPr="007C17A5">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7FE49731" w14:textId="77777777" w:rsidR="007C17A5" w:rsidRPr="007C17A5" w:rsidRDefault="007C17A5" w:rsidP="007C17A5">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F8934F3"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DC13BBF" w14:textId="77777777" w:rsidR="007C17A5" w:rsidRPr="007C17A5" w:rsidRDefault="007C17A5" w:rsidP="007C17A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91DF6C4" w14:textId="77777777" w:rsidR="007C17A5" w:rsidRPr="007C17A5" w:rsidRDefault="007C17A5" w:rsidP="007C17A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D9071A7" w14:textId="77777777" w:rsidR="007C17A5" w:rsidRPr="007C17A5" w:rsidRDefault="007C17A5" w:rsidP="007C17A5">
            <w:pPr>
              <w:spacing w:after="0"/>
              <w:jc w:val="right"/>
              <w:rPr>
                <w:rFonts w:ascii="Times New Roman" w:hAnsi="Times New Roman"/>
                <w:color w:val="auto"/>
              </w:rPr>
            </w:pPr>
          </w:p>
        </w:tc>
      </w:tr>
      <w:tr w:rsidR="007C17A5" w:rsidRPr="007C17A5" w14:paraId="5A6C42BC" w14:textId="77777777" w:rsidTr="00F74A90">
        <w:trPr>
          <w:trHeight w:val="425"/>
          <w:jc w:val="center"/>
        </w:trPr>
        <w:tc>
          <w:tcPr>
            <w:tcW w:w="2860" w:type="dxa"/>
            <w:tcBorders>
              <w:top w:val="nil"/>
              <w:left w:val="nil"/>
              <w:bottom w:val="nil"/>
              <w:right w:val="nil"/>
            </w:tcBorders>
            <w:shd w:val="clear" w:color="auto" w:fill="auto"/>
            <w:vAlign w:val="bottom"/>
            <w:hideMark/>
          </w:tcPr>
          <w:p w14:paraId="00D2DC13" w14:textId="77777777" w:rsidR="007C17A5" w:rsidRPr="007C17A5" w:rsidRDefault="007C17A5" w:rsidP="007C17A5">
            <w:pPr>
              <w:spacing w:after="0"/>
              <w:ind w:leftChars="150" w:left="300"/>
              <w:rPr>
                <w:rFonts w:ascii="Arial" w:hAnsi="Arial" w:cs="Arial"/>
                <w:color w:val="auto"/>
                <w:sz w:val="16"/>
                <w:szCs w:val="16"/>
              </w:rPr>
            </w:pPr>
            <w:r w:rsidRPr="007C17A5">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45171A3"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3813E8D"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nil"/>
              <w:right w:val="nil"/>
            </w:tcBorders>
            <w:shd w:val="clear" w:color="auto" w:fill="auto"/>
            <w:noWrap/>
            <w:vAlign w:val="bottom"/>
            <w:hideMark/>
          </w:tcPr>
          <w:p w14:paraId="00497F61"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EA86766"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D9363E6"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r>
      <w:tr w:rsidR="007C17A5" w:rsidRPr="007C17A5" w14:paraId="6DFF68EB"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06491618" w14:textId="77777777" w:rsidR="007C17A5" w:rsidRPr="007C17A5" w:rsidRDefault="007C17A5" w:rsidP="007C17A5">
            <w:pPr>
              <w:spacing w:after="0"/>
              <w:ind w:leftChars="150" w:left="300"/>
              <w:rPr>
                <w:rFonts w:ascii="Arial" w:hAnsi="Arial" w:cs="Arial"/>
                <w:color w:val="auto"/>
                <w:sz w:val="16"/>
                <w:szCs w:val="16"/>
              </w:rPr>
            </w:pPr>
            <w:r w:rsidRPr="007C17A5">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3CE14A7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9F3B152"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4E65FB3"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4F1FF64"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2DF5CF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r>
      <w:tr w:rsidR="007C17A5" w:rsidRPr="007C17A5" w14:paraId="465AD6C2"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7A68E7BE" w14:textId="77777777" w:rsidR="007C17A5" w:rsidRPr="007C17A5" w:rsidRDefault="007C17A5" w:rsidP="007C17A5">
            <w:pPr>
              <w:spacing w:after="0"/>
              <w:ind w:leftChars="150" w:left="300"/>
              <w:rPr>
                <w:rFonts w:ascii="Arial" w:hAnsi="Arial" w:cs="Arial"/>
                <w:b/>
                <w:bCs/>
                <w:color w:val="auto"/>
                <w:sz w:val="16"/>
                <w:szCs w:val="16"/>
              </w:rPr>
            </w:pPr>
            <w:r w:rsidRPr="007C17A5">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258F6547"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92D1503"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18BBAC1"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8884D77"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0108F6A"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r>
      <w:tr w:rsidR="007C17A5" w:rsidRPr="007C17A5" w14:paraId="1AD3E833" w14:textId="77777777" w:rsidTr="007C17A5">
        <w:trPr>
          <w:trHeight w:val="227"/>
          <w:jc w:val="center"/>
        </w:trPr>
        <w:tc>
          <w:tcPr>
            <w:tcW w:w="2860" w:type="dxa"/>
            <w:tcBorders>
              <w:top w:val="nil"/>
              <w:left w:val="nil"/>
              <w:bottom w:val="nil"/>
              <w:right w:val="nil"/>
            </w:tcBorders>
            <w:shd w:val="clear" w:color="auto" w:fill="auto"/>
            <w:noWrap/>
            <w:vAlign w:val="bottom"/>
            <w:hideMark/>
          </w:tcPr>
          <w:p w14:paraId="25EDB70E" w14:textId="77777777" w:rsidR="007C17A5" w:rsidRPr="007C17A5" w:rsidRDefault="007C17A5" w:rsidP="007C17A5">
            <w:pPr>
              <w:spacing w:after="0"/>
              <w:ind w:leftChars="75" w:left="150"/>
              <w:rPr>
                <w:rFonts w:ascii="Arial" w:hAnsi="Arial" w:cs="Arial"/>
                <w:b/>
                <w:bCs/>
                <w:color w:val="auto"/>
                <w:sz w:val="16"/>
                <w:szCs w:val="16"/>
              </w:rPr>
            </w:pPr>
            <w:r w:rsidRPr="007C17A5">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2B94611D" w14:textId="77777777" w:rsidR="007C17A5" w:rsidRPr="007C17A5" w:rsidRDefault="007C17A5" w:rsidP="007C17A5">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65E64E2"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E5119A8" w14:textId="77777777" w:rsidR="007C17A5" w:rsidRPr="007C17A5" w:rsidRDefault="007C17A5" w:rsidP="007C17A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851F6B5" w14:textId="77777777" w:rsidR="007C17A5" w:rsidRPr="007C17A5" w:rsidRDefault="007C17A5" w:rsidP="007C17A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B724BD4" w14:textId="77777777" w:rsidR="007C17A5" w:rsidRPr="007C17A5" w:rsidRDefault="007C17A5" w:rsidP="007C17A5">
            <w:pPr>
              <w:spacing w:after="0"/>
              <w:jc w:val="right"/>
              <w:rPr>
                <w:rFonts w:ascii="Times New Roman" w:hAnsi="Times New Roman"/>
                <w:color w:val="auto"/>
              </w:rPr>
            </w:pPr>
          </w:p>
        </w:tc>
      </w:tr>
      <w:tr w:rsidR="007C17A5" w:rsidRPr="007C17A5" w14:paraId="60CFECE9"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4E7F9A75" w14:textId="77777777" w:rsidR="007C17A5" w:rsidRPr="007C17A5" w:rsidRDefault="007C17A5" w:rsidP="007C17A5">
            <w:pPr>
              <w:spacing w:after="0"/>
              <w:ind w:leftChars="150" w:left="300"/>
              <w:rPr>
                <w:rFonts w:ascii="Arial" w:hAnsi="Arial" w:cs="Arial"/>
                <w:color w:val="auto"/>
                <w:sz w:val="16"/>
                <w:szCs w:val="16"/>
              </w:rPr>
            </w:pPr>
            <w:r w:rsidRPr="007C17A5">
              <w:rPr>
                <w:rFonts w:ascii="Arial" w:hAnsi="Arial" w:cs="Arial"/>
                <w:color w:val="auto"/>
                <w:sz w:val="16"/>
                <w:szCs w:val="16"/>
              </w:rPr>
              <w:t xml:space="preserve">Other </w:t>
            </w:r>
          </w:p>
        </w:tc>
        <w:tc>
          <w:tcPr>
            <w:tcW w:w="900" w:type="dxa"/>
            <w:tcBorders>
              <w:top w:val="nil"/>
              <w:left w:val="nil"/>
              <w:bottom w:val="nil"/>
              <w:right w:val="nil"/>
            </w:tcBorders>
            <w:shd w:val="clear" w:color="auto" w:fill="auto"/>
            <w:noWrap/>
            <w:vAlign w:val="bottom"/>
            <w:hideMark/>
          </w:tcPr>
          <w:p w14:paraId="1055619C"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105</w:t>
            </w:r>
          </w:p>
        </w:tc>
        <w:tc>
          <w:tcPr>
            <w:tcW w:w="900" w:type="dxa"/>
            <w:tcBorders>
              <w:top w:val="nil"/>
              <w:left w:val="nil"/>
              <w:bottom w:val="nil"/>
              <w:right w:val="nil"/>
            </w:tcBorders>
            <w:shd w:val="clear" w:color="000000" w:fill="D9D9D9"/>
            <w:noWrap/>
            <w:vAlign w:val="bottom"/>
            <w:hideMark/>
          </w:tcPr>
          <w:p w14:paraId="368E4EC0"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110</w:t>
            </w:r>
          </w:p>
        </w:tc>
        <w:tc>
          <w:tcPr>
            <w:tcW w:w="900" w:type="dxa"/>
            <w:tcBorders>
              <w:top w:val="nil"/>
              <w:left w:val="nil"/>
              <w:bottom w:val="nil"/>
              <w:right w:val="nil"/>
            </w:tcBorders>
            <w:shd w:val="clear" w:color="auto" w:fill="auto"/>
            <w:noWrap/>
            <w:vAlign w:val="bottom"/>
            <w:hideMark/>
          </w:tcPr>
          <w:p w14:paraId="0C6FF49E"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110</w:t>
            </w:r>
          </w:p>
        </w:tc>
        <w:tc>
          <w:tcPr>
            <w:tcW w:w="900" w:type="dxa"/>
            <w:tcBorders>
              <w:top w:val="nil"/>
              <w:left w:val="nil"/>
              <w:bottom w:val="nil"/>
              <w:right w:val="nil"/>
            </w:tcBorders>
            <w:shd w:val="clear" w:color="auto" w:fill="auto"/>
            <w:noWrap/>
            <w:vAlign w:val="bottom"/>
            <w:hideMark/>
          </w:tcPr>
          <w:p w14:paraId="3E081536"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118</w:t>
            </w:r>
          </w:p>
        </w:tc>
        <w:tc>
          <w:tcPr>
            <w:tcW w:w="900" w:type="dxa"/>
            <w:tcBorders>
              <w:top w:val="nil"/>
              <w:left w:val="nil"/>
              <w:bottom w:val="nil"/>
              <w:right w:val="nil"/>
            </w:tcBorders>
            <w:shd w:val="clear" w:color="auto" w:fill="auto"/>
            <w:noWrap/>
            <w:vAlign w:val="bottom"/>
            <w:hideMark/>
          </w:tcPr>
          <w:p w14:paraId="57227AD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118</w:t>
            </w:r>
          </w:p>
        </w:tc>
      </w:tr>
      <w:tr w:rsidR="007C17A5" w:rsidRPr="007C17A5" w14:paraId="01B9D5B2"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23C0A02E" w14:textId="77777777" w:rsidR="007C17A5" w:rsidRPr="007C17A5" w:rsidRDefault="007C17A5" w:rsidP="007C17A5">
            <w:pPr>
              <w:spacing w:after="0"/>
              <w:ind w:leftChars="150" w:left="300"/>
              <w:rPr>
                <w:rFonts w:ascii="Arial" w:hAnsi="Arial" w:cs="Arial"/>
                <w:b/>
                <w:bCs/>
                <w:color w:val="auto"/>
                <w:sz w:val="16"/>
                <w:szCs w:val="16"/>
              </w:rPr>
            </w:pPr>
            <w:r w:rsidRPr="007C17A5">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2FCDD004"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105</w:t>
            </w:r>
          </w:p>
        </w:tc>
        <w:tc>
          <w:tcPr>
            <w:tcW w:w="900" w:type="dxa"/>
            <w:tcBorders>
              <w:top w:val="nil"/>
              <w:left w:val="nil"/>
              <w:bottom w:val="single" w:sz="4" w:space="0" w:color="auto"/>
              <w:right w:val="nil"/>
            </w:tcBorders>
            <w:shd w:val="clear" w:color="000000" w:fill="D9D9D9"/>
            <w:noWrap/>
            <w:vAlign w:val="bottom"/>
            <w:hideMark/>
          </w:tcPr>
          <w:p w14:paraId="05B1F1FD"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110</w:t>
            </w:r>
          </w:p>
        </w:tc>
        <w:tc>
          <w:tcPr>
            <w:tcW w:w="900" w:type="dxa"/>
            <w:tcBorders>
              <w:top w:val="nil"/>
              <w:left w:val="nil"/>
              <w:bottom w:val="single" w:sz="4" w:space="0" w:color="auto"/>
              <w:right w:val="nil"/>
            </w:tcBorders>
            <w:shd w:val="clear" w:color="auto" w:fill="auto"/>
            <w:noWrap/>
            <w:vAlign w:val="bottom"/>
            <w:hideMark/>
          </w:tcPr>
          <w:p w14:paraId="169D23CC"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110</w:t>
            </w:r>
          </w:p>
        </w:tc>
        <w:tc>
          <w:tcPr>
            <w:tcW w:w="900" w:type="dxa"/>
            <w:tcBorders>
              <w:top w:val="nil"/>
              <w:left w:val="nil"/>
              <w:bottom w:val="single" w:sz="4" w:space="0" w:color="auto"/>
              <w:right w:val="nil"/>
            </w:tcBorders>
            <w:shd w:val="clear" w:color="auto" w:fill="auto"/>
            <w:noWrap/>
            <w:vAlign w:val="bottom"/>
            <w:hideMark/>
          </w:tcPr>
          <w:p w14:paraId="2572F505"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118</w:t>
            </w:r>
          </w:p>
        </w:tc>
        <w:tc>
          <w:tcPr>
            <w:tcW w:w="900" w:type="dxa"/>
            <w:tcBorders>
              <w:top w:val="nil"/>
              <w:left w:val="nil"/>
              <w:bottom w:val="single" w:sz="4" w:space="0" w:color="auto"/>
              <w:right w:val="nil"/>
            </w:tcBorders>
            <w:shd w:val="clear" w:color="auto" w:fill="auto"/>
            <w:noWrap/>
            <w:vAlign w:val="bottom"/>
            <w:hideMark/>
          </w:tcPr>
          <w:p w14:paraId="462E853A"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118</w:t>
            </w:r>
          </w:p>
        </w:tc>
      </w:tr>
      <w:tr w:rsidR="007C17A5" w:rsidRPr="007C17A5" w14:paraId="3B5F13ED" w14:textId="77777777" w:rsidTr="007C17A5">
        <w:trPr>
          <w:trHeight w:val="225"/>
          <w:jc w:val="center"/>
        </w:trPr>
        <w:tc>
          <w:tcPr>
            <w:tcW w:w="2860" w:type="dxa"/>
            <w:tcBorders>
              <w:top w:val="nil"/>
              <w:left w:val="nil"/>
              <w:bottom w:val="nil"/>
              <w:right w:val="nil"/>
            </w:tcBorders>
            <w:shd w:val="clear" w:color="auto" w:fill="auto"/>
            <w:noWrap/>
            <w:vAlign w:val="bottom"/>
            <w:hideMark/>
          </w:tcPr>
          <w:p w14:paraId="5147B60D" w14:textId="77777777" w:rsidR="007C17A5" w:rsidRPr="007C17A5" w:rsidRDefault="007C17A5" w:rsidP="007C17A5">
            <w:pPr>
              <w:spacing w:after="0"/>
              <w:ind w:leftChars="75" w:left="150"/>
              <w:rPr>
                <w:rFonts w:ascii="Arial" w:hAnsi="Arial" w:cs="Arial"/>
                <w:b/>
                <w:bCs/>
                <w:color w:val="auto"/>
                <w:sz w:val="16"/>
                <w:szCs w:val="16"/>
              </w:rPr>
            </w:pPr>
            <w:r w:rsidRPr="007C17A5">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471FE6E4"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105</w:t>
            </w:r>
          </w:p>
        </w:tc>
        <w:tc>
          <w:tcPr>
            <w:tcW w:w="900" w:type="dxa"/>
            <w:tcBorders>
              <w:top w:val="nil"/>
              <w:left w:val="nil"/>
              <w:bottom w:val="single" w:sz="4" w:space="0" w:color="auto"/>
              <w:right w:val="nil"/>
            </w:tcBorders>
            <w:shd w:val="clear" w:color="000000" w:fill="D9D9D9"/>
            <w:noWrap/>
            <w:vAlign w:val="bottom"/>
            <w:hideMark/>
          </w:tcPr>
          <w:p w14:paraId="2DE9A553"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110</w:t>
            </w:r>
          </w:p>
        </w:tc>
        <w:tc>
          <w:tcPr>
            <w:tcW w:w="900" w:type="dxa"/>
            <w:tcBorders>
              <w:top w:val="nil"/>
              <w:left w:val="nil"/>
              <w:bottom w:val="single" w:sz="4" w:space="0" w:color="auto"/>
              <w:right w:val="nil"/>
            </w:tcBorders>
            <w:shd w:val="clear" w:color="auto" w:fill="auto"/>
            <w:noWrap/>
            <w:vAlign w:val="bottom"/>
            <w:hideMark/>
          </w:tcPr>
          <w:p w14:paraId="77783B96"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110</w:t>
            </w:r>
          </w:p>
        </w:tc>
        <w:tc>
          <w:tcPr>
            <w:tcW w:w="900" w:type="dxa"/>
            <w:tcBorders>
              <w:top w:val="nil"/>
              <w:left w:val="nil"/>
              <w:bottom w:val="single" w:sz="4" w:space="0" w:color="auto"/>
              <w:right w:val="nil"/>
            </w:tcBorders>
            <w:shd w:val="clear" w:color="auto" w:fill="auto"/>
            <w:noWrap/>
            <w:vAlign w:val="bottom"/>
            <w:hideMark/>
          </w:tcPr>
          <w:p w14:paraId="5A92F2E9"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118</w:t>
            </w:r>
          </w:p>
        </w:tc>
        <w:tc>
          <w:tcPr>
            <w:tcW w:w="900" w:type="dxa"/>
            <w:tcBorders>
              <w:top w:val="nil"/>
              <w:left w:val="nil"/>
              <w:bottom w:val="single" w:sz="4" w:space="0" w:color="auto"/>
              <w:right w:val="nil"/>
            </w:tcBorders>
            <w:shd w:val="clear" w:color="auto" w:fill="auto"/>
            <w:noWrap/>
            <w:vAlign w:val="bottom"/>
            <w:hideMark/>
          </w:tcPr>
          <w:p w14:paraId="527DB394"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118</w:t>
            </w:r>
          </w:p>
        </w:tc>
      </w:tr>
      <w:tr w:rsidR="007C17A5" w:rsidRPr="007C17A5" w14:paraId="5CA3FE97" w14:textId="77777777" w:rsidTr="007C17A5">
        <w:trPr>
          <w:trHeight w:val="450"/>
          <w:jc w:val="center"/>
        </w:trPr>
        <w:tc>
          <w:tcPr>
            <w:tcW w:w="2860" w:type="dxa"/>
            <w:tcBorders>
              <w:top w:val="nil"/>
              <w:left w:val="nil"/>
              <w:bottom w:val="nil"/>
              <w:right w:val="nil"/>
            </w:tcBorders>
            <w:shd w:val="clear" w:color="auto" w:fill="auto"/>
            <w:vAlign w:val="bottom"/>
            <w:hideMark/>
          </w:tcPr>
          <w:p w14:paraId="498C38CC"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Net cost of (contribution by) services</w:t>
            </w:r>
          </w:p>
        </w:tc>
        <w:tc>
          <w:tcPr>
            <w:tcW w:w="900" w:type="dxa"/>
            <w:tcBorders>
              <w:top w:val="nil"/>
              <w:left w:val="nil"/>
              <w:bottom w:val="single" w:sz="4" w:space="0" w:color="auto"/>
              <w:right w:val="nil"/>
            </w:tcBorders>
            <w:shd w:val="clear" w:color="auto" w:fill="auto"/>
            <w:noWrap/>
            <w:vAlign w:val="bottom"/>
            <w:hideMark/>
          </w:tcPr>
          <w:p w14:paraId="236BD1D0"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6,328</w:t>
            </w:r>
          </w:p>
        </w:tc>
        <w:tc>
          <w:tcPr>
            <w:tcW w:w="900" w:type="dxa"/>
            <w:tcBorders>
              <w:top w:val="nil"/>
              <w:left w:val="nil"/>
              <w:bottom w:val="single" w:sz="4" w:space="0" w:color="auto"/>
              <w:right w:val="nil"/>
            </w:tcBorders>
            <w:shd w:val="clear" w:color="000000" w:fill="D9D9D9"/>
            <w:noWrap/>
            <w:vAlign w:val="bottom"/>
            <w:hideMark/>
          </w:tcPr>
          <w:p w14:paraId="7A5CDB05"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6,548</w:t>
            </w:r>
          </w:p>
        </w:tc>
        <w:tc>
          <w:tcPr>
            <w:tcW w:w="900" w:type="dxa"/>
            <w:tcBorders>
              <w:top w:val="nil"/>
              <w:left w:val="nil"/>
              <w:bottom w:val="single" w:sz="4" w:space="0" w:color="auto"/>
              <w:right w:val="nil"/>
            </w:tcBorders>
            <w:shd w:val="clear" w:color="auto" w:fill="auto"/>
            <w:noWrap/>
            <w:vAlign w:val="bottom"/>
            <w:hideMark/>
          </w:tcPr>
          <w:p w14:paraId="574B5370"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6,611</w:t>
            </w:r>
          </w:p>
        </w:tc>
        <w:tc>
          <w:tcPr>
            <w:tcW w:w="900" w:type="dxa"/>
            <w:tcBorders>
              <w:top w:val="nil"/>
              <w:left w:val="nil"/>
              <w:bottom w:val="single" w:sz="4" w:space="0" w:color="auto"/>
              <w:right w:val="nil"/>
            </w:tcBorders>
            <w:shd w:val="clear" w:color="auto" w:fill="auto"/>
            <w:noWrap/>
            <w:vAlign w:val="bottom"/>
            <w:hideMark/>
          </w:tcPr>
          <w:p w14:paraId="7FCCDD01"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6,632</w:t>
            </w:r>
          </w:p>
        </w:tc>
        <w:tc>
          <w:tcPr>
            <w:tcW w:w="900" w:type="dxa"/>
            <w:tcBorders>
              <w:top w:val="nil"/>
              <w:left w:val="nil"/>
              <w:bottom w:val="single" w:sz="4" w:space="0" w:color="auto"/>
              <w:right w:val="nil"/>
            </w:tcBorders>
            <w:shd w:val="clear" w:color="auto" w:fill="auto"/>
            <w:noWrap/>
            <w:vAlign w:val="bottom"/>
            <w:hideMark/>
          </w:tcPr>
          <w:p w14:paraId="71477016"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6,670</w:t>
            </w:r>
          </w:p>
        </w:tc>
      </w:tr>
      <w:tr w:rsidR="007C17A5" w:rsidRPr="007C17A5" w14:paraId="0641A934" w14:textId="77777777" w:rsidTr="00F74A90">
        <w:trPr>
          <w:trHeight w:val="255"/>
          <w:jc w:val="center"/>
        </w:trPr>
        <w:tc>
          <w:tcPr>
            <w:tcW w:w="2860" w:type="dxa"/>
            <w:tcBorders>
              <w:top w:val="nil"/>
              <w:left w:val="nil"/>
              <w:bottom w:val="nil"/>
              <w:right w:val="nil"/>
            </w:tcBorders>
            <w:shd w:val="clear" w:color="auto" w:fill="auto"/>
            <w:noWrap/>
            <w:vAlign w:val="bottom"/>
            <w:hideMark/>
          </w:tcPr>
          <w:p w14:paraId="1A6AD7C6" w14:textId="77777777" w:rsidR="007C17A5" w:rsidRPr="007C17A5" w:rsidRDefault="007C17A5" w:rsidP="007C17A5">
            <w:pPr>
              <w:spacing w:after="0"/>
              <w:ind w:leftChars="75" w:left="150"/>
              <w:rPr>
                <w:rFonts w:ascii="Arial" w:hAnsi="Arial" w:cs="Arial"/>
                <w:color w:val="auto"/>
                <w:sz w:val="16"/>
                <w:szCs w:val="16"/>
              </w:rPr>
            </w:pPr>
            <w:r w:rsidRPr="007C17A5">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0FE49682"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5,978</w:t>
            </w:r>
          </w:p>
        </w:tc>
        <w:tc>
          <w:tcPr>
            <w:tcW w:w="900" w:type="dxa"/>
            <w:tcBorders>
              <w:top w:val="nil"/>
              <w:left w:val="nil"/>
              <w:bottom w:val="nil"/>
              <w:right w:val="nil"/>
            </w:tcBorders>
            <w:shd w:val="clear" w:color="000000" w:fill="D9D9D9"/>
            <w:noWrap/>
            <w:vAlign w:val="bottom"/>
            <w:hideMark/>
          </w:tcPr>
          <w:p w14:paraId="4F6EA8F5"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6,194</w:t>
            </w:r>
          </w:p>
        </w:tc>
        <w:tc>
          <w:tcPr>
            <w:tcW w:w="900" w:type="dxa"/>
            <w:tcBorders>
              <w:top w:val="nil"/>
              <w:left w:val="nil"/>
              <w:bottom w:val="nil"/>
              <w:right w:val="nil"/>
            </w:tcBorders>
            <w:shd w:val="clear" w:color="auto" w:fill="auto"/>
            <w:noWrap/>
            <w:vAlign w:val="bottom"/>
            <w:hideMark/>
          </w:tcPr>
          <w:p w14:paraId="63548D87"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6,228</w:t>
            </w:r>
          </w:p>
        </w:tc>
        <w:tc>
          <w:tcPr>
            <w:tcW w:w="900" w:type="dxa"/>
            <w:tcBorders>
              <w:top w:val="nil"/>
              <w:left w:val="nil"/>
              <w:bottom w:val="nil"/>
              <w:right w:val="nil"/>
            </w:tcBorders>
            <w:shd w:val="clear" w:color="auto" w:fill="auto"/>
            <w:noWrap/>
            <w:vAlign w:val="bottom"/>
            <w:hideMark/>
          </w:tcPr>
          <w:p w14:paraId="3DC65BAB"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6,273</w:t>
            </w:r>
          </w:p>
        </w:tc>
        <w:tc>
          <w:tcPr>
            <w:tcW w:w="900" w:type="dxa"/>
            <w:tcBorders>
              <w:top w:val="nil"/>
              <w:left w:val="nil"/>
              <w:bottom w:val="nil"/>
              <w:right w:val="nil"/>
            </w:tcBorders>
            <w:shd w:val="clear" w:color="auto" w:fill="auto"/>
            <w:noWrap/>
            <w:vAlign w:val="bottom"/>
            <w:hideMark/>
          </w:tcPr>
          <w:p w14:paraId="7DB790F9"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6,316</w:t>
            </w:r>
          </w:p>
        </w:tc>
      </w:tr>
      <w:tr w:rsidR="007C17A5" w:rsidRPr="007C17A5" w14:paraId="5D08FDC0" w14:textId="77777777" w:rsidTr="00F74A90">
        <w:trPr>
          <w:trHeight w:val="283"/>
          <w:jc w:val="center"/>
        </w:trPr>
        <w:tc>
          <w:tcPr>
            <w:tcW w:w="2860" w:type="dxa"/>
            <w:tcBorders>
              <w:top w:val="nil"/>
              <w:left w:val="nil"/>
              <w:bottom w:val="nil"/>
              <w:right w:val="nil"/>
            </w:tcBorders>
            <w:shd w:val="clear" w:color="auto" w:fill="auto"/>
            <w:noWrap/>
            <w:vAlign w:val="bottom"/>
            <w:hideMark/>
          </w:tcPr>
          <w:p w14:paraId="2004F667"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796D7DF8"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(350)</w:t>
            </w:r>
          </w:p>
        </w:tc>
        <w:tc>
          <w:tcPr>
            <w:tcW w:w="900" w:type="dxa"/>
            <w:tcBorders>
              <w:top w:val="nil"/>
              <w:left w:val="nil"/>
              <w:bottom w:val="single" w:sz="4" w:space="0" w:color="auto"/>
              <w:right w:val="nil"/>
            </w:tcBorders>
            <w:shd w:val="clear" w:color="000000" w:fill="D9D9D9"/>
            <w:noWrap/>
            <w:vAlign w:val="bottom"/>
            <w:hideMark/>
          </w:tcPr>
          <w:p w14:paraId="788687E7"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c>
          <w:tcPr>
            <w:tcW w:w="900" w:type="dxa"/>
            <w:tcBorders>
              <w:top w:val="nil"/>
              <w:left w:val="nil"/>
              <w:bottom w:val="single" w:sz="4" w:space="0" w:color="auto"/>
              <w:right w:val="nil"/>
            </w:tcBorders>
            <w:shd w:val="clear" w:color="auto" w:fill="auto"/>
            <w:noWrap/>
            <w:vAlign w:val="bottom"/>
            <w:hideMark/>
          </w:tcPr>
          <w:p w14:paraId="5C18B003"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(383)</w:t>
            </w:r>
          </w:p>
        </w:tc>
        <w:tc>
          <w:tcPr>
            <w:tcW w:w="900" w:type="dxa"/>
            <w:tcBorders>
              <w:top w:val="nil"/>
              <w:left w:val="nil"/>
              <w:bottom w:val="single" w:sz="4" w:space="0" w:color="auto"/>
              <w:right w:val="nil"/>
            </w:tcBorders>
            <w:shd w:val="clear" w:color="auto" w:fill="auto"/>
            <w:noWrap/>
            <w:vAlign w:val="bottom"/>
            <w:hideMark/>
          </w:tcPr>
          <w:p w14:paraId="3A25501C"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(359)</w:t>
            </w:r>
          </w:p>
        </w:tc>
        <w:tc>
          <w:tcPr>
            <w:tcW w:w="900" w:type="dxa"/>
            <w:tcBorders>
              <w:top w:val="nil"/>
              <w:left w:val="nil"/>
              <w:bottom w:val="single" w:sz="4" w:space="0" w:color="auto"/>
              <w:right w:val="nil"/>
            </w:tcBorders>
            <w:shd w:val="clear" w:color="auto" w:fill="auto"/>
            <w:noWrap/>
            <w:vAlign w:val="bottom"/>
            <w:hideMark/>
          </w:tcPr>
          <w:p w14:paraId="447F2707"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r>
      <w:tr w:rsidR="007C17A5" w:rsidRPr="007C17A5" w14:paraId="5900DE97" w14:textId="77777777" w:rsidTr="007C17A5">
        <w:trPr>
          <w:trHeight w:val="454"/>
          <w:jc w:val="center"/>
        </w:trPr>
        <w:tc>
          <w:tcPr>
            <w:tcW w:w="2860" w:type="dxa"/>
            <w:tcBorders>
              <w:top w:val="nil"/>
              <w:left w:val="nil"/>
              <w:bottom w:val="nil"/>
              <w:right w:val="nil"/>
            </w:tcBorders>
            <w:shd w:val="clear" w:color="auto" w:fill="auto"/>
            <w:vAlign w:val="bottom"/>
            <w:hideMark/>
          </w:tcPr>
          <w:p w14:paraId="3CFB9028"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9D62D78"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(350)</w:t>
            </w:r>
          </w:p>
        </w:tc>
        <w:tc>
          <w:tcPr>
            <w:tcW w:w="900" w:type="dxa"/>
            <w:tcBorders>
              <w:top w:val="nil"/>
              <w:left w:val="nil"/>
              <w:bottom w:val="single" w:sz="4" w:space="0" w:color="auto"/>
              <w:right w:val="nil"/>
            </w:tcBorders>
            <w:shd w:val="clear" w:color="000000" w:fill="D9D9D9"/>
            <w:noWrap/>
            <w:vAlign w:val="bottom"/>
            <w:hideMark/>
          </w:tcPr>
          <w:p w14:paraId="489B0D64"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c>
          <w:tcPr>
            <w:tcW w:w="900" w:type="dxa"/>
            <w:tcBorders>
              <w:top w:val="nil"/>
              <w:left w:val="nil"/>
              <w:bottom w:val="single" w:sz="4" w:space="0" w:color="auto"/>
              <w:right w:val="nil"/>
            </w:tcBorders>
            <w:shd w:val="clear" w:color="auto" w:fill="auto"/>
            <w:noWrap/>
            <w:vAlign w:val="bottom"/>
            <w:hideMark/>
          </w:tcPr>
          <w:p w14:paraId="7F5D8306"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(383)</w:t>
            </w:r>
          </w:p>
        </w:tc>
        <w:tc>
          <w:tcPr>
            <w:tcW w:w="900" w:type="dxa"/>
            <w:tcBorders>
              <w:top w:val="nil"/>
              <w:left w:val="nil"/>
              <w:bottom w:val="single" w:sz="4" w:space="0" w:color="auto"/>
              <w:right w:val="nil"/>
            </w:tcBorders>
            <w:shd w:val="clear" w:color="auto" w:fill="auto"/>
            <w:noWrap/>
            <w:vAlign w:val="bottom"/>
            <w:hideMark/>
          </w:tcPr>
          <w:p w14:paraId="41788B3E"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(359)</w:t>
            </w:r>
          </w:p>
        </w:tc>
        <w:tc>
          <w:tcPr>
            <w:tcW w:w="900" w:type="dxa"/>
            <w:tcBorders>
              <w:top w:val="nil"/>
              <w:left w:val="nil"/>
              <w:bottom w:val="single" w:sz="4" w:space="0" w:color="auto"/>
              <w:right w:val="nil"/>
            </w:tcBorders>
            <w:shd w:val="clear" w:color="auto" w:fill="auto"/>
            <w:noWrap/>
            <w:vAlign w:val="bottom"/>
            <w:hideMark/>
          </w:tcPr>
          <w:p w14:paraId="4882B259"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r>
      <w:tr w:rsidR="007C17A5" w:rsidRPr="007C17A5" w14:paraId="58F2817A" w14:textId="77777777" w:rsidTr="007C17A5">
        <w:trPr>
          <w:trHeight w:val="300"/>
          <w:jc w:val="center"/>
        </w:trPr>
        <w:tc>
          <w:tcPr>
            <w:tcW w:w="2860" w:type="dxa"/>
            <w:tcBorders>
              <w:top w:val="nil"/>
              <w:left w:val="nil"/>
              <w:bottom w:val="nil"/>
              <w:right w:val="nil"/>
            </w:tcBorders>
            <w:shd w:val="clear" w:color="auto" w:fill="auto"/>
            <w:noWrap/>
            <w:vAlign w:val="bottom"/>
            <w:hideMark/>
          </w:tcPr>
          <w:p w14:paraId="11683407"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65A0BCF8" w14:textId="77777777" w:rsidR="007C17A5" w:rsidRPr="007C17A5" w:rsidRDefault="007C17A5" w:rsidP="007C17A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27E5A6C"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45FC364" w14:textId="77777777" w:rsidR="007C17A5" w:rsidRPr="007C17A5" w:rsidRDefault="007C17A5" w:rsidP="007C17A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8D7AB39" w14:textId="77777777" w:rsidR="007C17A5" w:rsidRPr="007C17A5" w:rsidRDefault="007C17A5" w:rsidP="007C17A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4D05FA8" w14:textId="77777777" w:rsidR="007C17A5" w:rsidRPr="007C17A5" w:rsidRDefault="007C17A5" w:rsidP="007C17A5">
            <w:pPr>
              <w:spacing w:after="0"/>
              <w:jc w:val="right"/>
              <w:rPr>
                <w:rFonts w:ascii="Times New Roman" w:hAnsi="Times New Roman"/>
                <w:color w:val="auto"/>
              </w:rPr>
            </w:pPr>
          </w:p>
        </w:tc>
      </w:tr>
      <w:tr w:rsidR="007C17A5" w:rsidRPr="007C17A5" w14:paraId="4E05B1ED" w14:textId="77777777" w:rsidTr="007C17A5">
        <w:trPr>
          <w:trHeight w:val="425"/>
          <w:jc w:val="center"/>
        </w:trPr>
        <w:tc>
          <w:tcPr>
            <w:tcW w:w="2860" w:type="dxa"/>
            <w:tcBorders>
              <w:top w:val="nil"/>
              <w:left w:val="nil"/>
              <w:bottom w:val="nil"/>
              <w:right w:val="nil"/>
            </w:tcBorders>
            <w:shd w:val="clear" w:color="auto" w:fill="auto"/>
            <w:vAlign w:val="bottom"/>
            <w:hideMark/>
          </w:tcPr>
          <w:p w14:paraId="6A5E102A" w14:textId="77777777" w:rsidR="007C17A5" w:rsidRPr="007C17A5" w:rsidRDefault="007C17A5" w:rsidP="007C17A5">
            <w:pPr>
              <w:spacing w:after="0"/>
              <w:ind w:leftChars="75" w:left="150"/>
              <w:rPr>
                <w:rFonts w:ascii="Arial" w:hAnsi="Arial" w:cs="Arial"/>
                <w:color w:val="auto"/>
                <w:sz w:val="16"/>
                <w:szCs w:val="16"/>
              </w:rPr>
            </w:pPr>
            <w:r w:rsidRPr="007C17A5">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359F1C36"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40A0E3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0D15D6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AFA16EE"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74E9DB9"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w:t>
            </w:r>
          </w:p>
        </w:tc>
      </w:tr>
      <w:tr w:rsidR="007C17A5" w:rsidRPr="007C17A5" w14:paraId="0B6EEBF1" w14:textId="77777777" w:rsidTr="007C17A5">
        <w:trPr>
          <w:trHeight w:val="425"/>
          <w:jc w:val="center"/>
        </w:trPr>
        <w:tc>
          <w:tcPr>
            <w:tcW w:w="2860" w:type="dxa"/>
            <w:tcBorders>
              <w:top w:val="nil"/>
              <w:left w:val="nil"/>
              <w:bottom w:val="nil"/>
              <w:right w:val="nil"/>
            </w:tcBorders>
            <w:shd w:val="clear" w:color="auto" w:fill="auto"/>
            <w:vAlign w:val="bottom"/>
            <w:hideMark/>
          </w:tcPr>
          <w:p w14:paraId="4B87A445"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 xml:space="preserve">Total other comprehensive income </w:t>
            </w:r>
          </w:p>
        </w:tc>
        <w:tc>
          <w:tcPr>
            <w:tcW w:w="900" w:type="dxa"/>
            <w:tcBorders>
              <w:top w:val="nil"/>
              <w:left w:val="nil"/>
              <w:bottom w:val="single" w:sz="4" w:space="0" w:color="auto"/>
              <w:right w:val="nil"/>
            </w:tcBorders>
            <w:shd w:val="clear" w:color="auto" w:fill="auto"/>
            <w:noWrap/>
            <w:vAlign w:val="bottom"/>
            <w:hideMark/>
          </w:tcPr>
          <w:p w14:paraId="2DB5B65F"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F22230B"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BA7303E"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7F28CCB"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F103284"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w:t>
            </w:r>
          </w:p>
        </w:tc>
      </w:tr>
      <w:tr w:rsidR="007C17A5" w:rsidRPr="007C17A5" w14:paraId="2FFBA246" w14:textId="77777777" w:rsidTr="007C17A5">
        <w:trPr>
          <w:trHeight w:val="595"/>
          <w:jc w:val="center"/>
        </w:trPr>
        <w:tc>
          <w:tcPr>
            <w:tcW w:w="2860" w:type="dxa"/>
            <w:tcBorders>
              <w:top w:val="nil"/>
              <w:left w:val="nil"/>
              <w:bottom w:val="single" w:sz="4" w:space="0" w:color="auto"/>
              <w:right w:val="nil"/>
            </w:tcBorders>
            <w:shd w:val="clear" w:color="auto" w:fill="auto"/>
            <w:vAlign w:val="bottom"/>
            <w:hideMark/>
          </w:tcPr>
          <w:p w14:paraId="395E24F0"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BBBE15A"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(350)</w:t>
            </w:r>
          </w:p>
        </w:tc>
        <w:tc>
          <w:tcPr>
            <w:tcW w:w="900" w:type="dxa"/>
            <w:tcBorders>
              <w:top w:val="nil"/>
              <w:left w:val="nil"/>
              <w:bottom w:val="single" w:sz="4" w:space="0" w:color="auto"/>
              <w:right w:val="nil"/>
            </w:tcBorders>
            <w:shd w:val="clear" w:color="000000" w:fill="D9D9D9"/>
            <w:noWrap/>
            <w:vAlign w:val="bottom"/>
            <w:hideMark/>
          </w:tcPr>
          <w:p w14:paraId="21C1358E"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c>
          <w:tcPr>
            <w:tcW w:w="900" w:type="dxa"/>
            <w:tcBorders>
              <w:top w:val="nil"/>
              <w:left w:val="nil"/>
              <w:bottom w:val="single" w:sz="4" w:space="0" w:color="auto"/>
              <w:right w:val="nil"/>
            </w:tcBorders>
            <w:shd w:val="clear" w:color="auto" w:fill="auto"/>
            <w:noWrap/>
            <w:vAlign w:val="bottom"/>
            <w:hideMark/>
          </w:tcPr>
          <w:p w14:paraId="0C3045CE"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(383)</w:t>
            </w:r>
          </w:p>
        </w:tc>
        <w:tc>
          <w:tcPr>
            <w:tcW w:w="900" w:type="dxa"/>
            <w:tcBorders>
              <w:top w:val="nil"/>
              <w:left w:val="nil"/>
              <w:bottom w:val="single" w:sz="4" w:space="0" w:color="auto"/>
              <w:right w:val="nil"/>
            </w:tcBorders>
            <w:shd w:val="clear" w:color="auto" w:fill="auto"/>
            <w:noWrap/>
            <w:vAlign w:val="bottom"/>
            <w:hideMark/>
          </w:tcPr>
          <w:p w14:paraId="32F2B2AC"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(359)</w:t>
            </w:r>
          </w:p>
        </w:tc>
        <w:tc>
          <w:tcPr>
            <w:tcW w:w="900" w:type="dxa"/>
            <w:tcBorders>
              <w:top w:val="nil"/>
              <w:left w:val="nil"/>
              <w:bottom w:val="single" w:sz="4" w:space="0" w:color="auto"/>
              <w:right w:val="nil"/>
            </w:tcBorders>
            <w:shd w:val="clear" w:color="auto" w:fill="auto"/>
            <w:noWrap/>
            <w:vAlign w:val="bottom"/>
            <w:hideMark/>
          </w:tcPr>
          <w:p w14:paraId="23BD4B39"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r>
      <w:tr w:rsidR="007C17A5" w:rsidRPr="007C17A5" w14:paraId="624E5417" w14:textId="77777777" w:rsidTr="007C17A5">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5D3F5936" w14:textId="77777777" w:rsidR="007C17A5" w:rsidRPr="007C17A5" w:rsidRDefault="007C17A5" w:rsidP="00A614F8">
            <w:pPr>
              <w:spacing w:before="80" w:after="0"/>
              <w:rPr>
                <w:rFonts w:ascii="Arial" w:hAnsi="Arial" w:cs="Arial"/>
                <w:b/>
                <w:bCs/>
                <w:sz w:val="16"/>
                <w:szCs w:val="16"/>
              </w:rPr>
            </w:pPr>
            <w:r w:rsidRPr="007C17A5">
              <w:rPr>
                <w:rFonts w:ascii="Arial" w:hAnsi="Arial" w:cs="Arial"/>
                <w:b/>
                <w:bCs/>
                <w:sz w:val="16"/>
                <w:szCs w:val="16"/>
              </w:rPr>
              <w:t>Note: Reconciliation of comprehensive income attributable to the agency</w:t>
            </w:r>
          </w:p>
        </w:tc>
      </w:tr>
      <w:tr w:rsidR="007C17A5" w:rsidRPr="007C17A5" w14:paraId="6D5FD760" w14:textId="77777777" w:rsidTr="007C17A5">
        <w:trPr>
          <w:trHeight w:val="340"/>
          <w:jc w:val="center"/>
        </w:trPr>
        <w:tc>
          <w:tcPr>
            <w:tcW w:w="2860" w:type="dxa"/>
            <w:tcBorders>
              <w:top w:val="nil"/>
              <w:left w:val="nil"/>
              <w:bottom w:val="nil"/>
              <w:right w:val="nil"/>
            </w:tcBorders>
            <w:shd w:val="clear" w:color="auto" w:fill="auto"/>
            <w:hideMark/>
          </w:tcPr>
          <w:p w14:paraId="71FCF0A3" w14:textId="77777777" w:rsidR="007C17A5" w:rsidRPr="007C17A5" w:rsidRDefault="007C17A5" w:rsidP="007C17A5">
            <w:pPr>
              <w:spacing w:before="40" w:after="0"/>
              <w:jc w:val="right"/>
              <w:rPr>
                <w:rFonts w:ascii="Arial" w:hAnsi="Arial" w:cs="Arial"/>
                <w:b/>
                <w:bCs/>
                <w:sz w:val="16"/>
                <w:szCs w:val="16"/>
              </w:rPr>
            </w:pPr>
          </w:p>
        </w:tc>
        <w:tc>
          <w:tcPr>
            <w:tcW w:w="900" w:type="dxa"/>
            <w:tcBorders>
              <w:top w:val="nil"/>
              <w:left w:val="nil"/>
              <w:bottom w:val="single" w:sz="4" w:space="0" w:color="auto"/>
              <w:right w:val="nil"/>
            </w:tcBorders>
            <w:shd w:val="clear" w:color="auto" w:fill="auto"/>
            <w:hideMark/>
          </w:tcPr>
          <w:p w14:paraId="0FA887D7"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xml:space="preserve">2021–22 </w:t>
            </w:r>
            <w:r w:rsidRPr="007C17A5">
              <w:rPr>
                <w:rFonts w:ascii="Arial" w:hAnsi="Arial" w:cs="Arial"/>
                <w:b/>
                <w:bCs/>
                <w:color w:val="auto"/>
                <w:sz w:val="16"/>
                <w:szCs w:val="16"/>
              </w:rPr>
              <w:br/>
            </w:r>
            <w:r w:rsidRPr="007C17A5">
              <w:rPr>
                <w:rFonts w:ascii="Arial" w:hAnsi="Arial" w:cs="Arial"/>
                <w:color w:val="auto"/>
                <w:sz w:val="16"/>
                <w:szCs w:val="16"/>
              </w:rPr>
              <w:t>$'000</w:t>
            </w:r>
          </w:p>
        </w:tc>
        <w:tc>
          <w:tcPr>
            <w:tcW w:w="900" w:type="dxa"/>
            <w:tcBorders>
              <w:top w:val="nil"/>
              <w:left w:val="nil"/>
              <w:bottom w:val="single" w:sz="4" w:space="0" w:color="auto"/>
              <w:right w:val="nil"/>
            </w:tcBorders>
            <w:shd w:val="clear" w:color="000000" w:fill="D9D9D9"/>
            <w:hideMark/>
          </w:tcPr>
          <w:p w14:paraId="4F7008DD"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xml:space="preserve">2022–23 </w:t>
            </w:r>
            <w:r w:rsidRPr="007C17A5">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1810E43F"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xml:space="preserve">2023–24 </w:t>
            </w:r>
            <w:r w:rsidRPr="007C17A5">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5B11162F"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xml:space="preserve">2024–25 </w:t>
            </w:r>
            <w:r w:rsidRPr="007C17A5">
              <w:rPr>
                <w:rFonts w:ascii="Arial" w:hAnsi="Arial" w:cs="Arial"/>
                <w:color w:val="auto"/>
                <w:sz w:val="16"/>
                <w:szCs w:val="16"/>
              </w:rPr>
              <w:t>$'000</w:t>
            </w:r>
          </w:p>
        </w:tc>
        <w:tc>
          <w:tcPr>
            <w:tcW w:w="900" w:type="dxa"/>
            <w:tcBorders>
              <w:top w:val="nil"/>
              <w:left w:val="nil"/>
              <w:bottom w:val="single" w:sz="4" w:space="0" w:color="auto"/>
              <w:right w:val="nil"/>
            </w:tcBorders>
            <w:shd w:val="clear" w:color="auto" w:fill="auto"/>
            <w:hideMark/>
          </w:tcPr>
          <w:p w14:paraId="398CE5FC" w14:textId="77777777" w:rsidR="007C17A5" w:rsidRPr="007C17A5" w:rsidRDefault="007C17A5" w:rsidP="007C17A5">
            <w:pPr>
              <w:spacing w:before="40" w:after="0"/>
              <w:jc w:val="right"/>
              <w:rPr>
                <w:rFonts w:ascii="Arial" w:hAnsi="Arial" w:cs="Arial"/>
                <w:b/>
                <w:bCs/>
                <w:color w:val="auto"/>
                <w:sz w:val="16"/>
                <w:szCs w:val="16"/>
              </w:rPr>
            </w:pPr>
            <w:r w:rsidRPr="007C17A5">
              <w:rPr>
                <w:rFonts w:ascii="Arial" w:hAnsi="Arial" w:cs="Arial"/>
                <w:b/>
                <w:bCs/>
                <w:color w:val="auto"/>
                <w:sz w:val="16"/>
                <w:szCs w:val="16"/>
              </w:rPr>
              <w:t xml:space="preserve">2025–26 </w:t>
            </w:r>
            <w:r w:rsidRPr="007C17A5">
              <w:rPr>
                <w:rFonts w:ascii="Arial" w:hAnsi="Arial" w:cs="Arial"/>
                <w:color w:val="auto"/>
                <w:sz w:val="16"/>
                <w:szCs w:val="16"/>
              </w:rPr>
              <w:t>$'000</w:t>
            </w:r>
          </w:p>
        </w:tc>
      </w:tr>
      <w:tr w:rsidR="007C17A5" w:rsidRPr="007C17A5" w14:paraId="30223D1D" w14:textId="77777777" w:rsidTr="007C17A5">
        <w:trPr>
          <w:trHeight w:val="567"/>
          <w:jc w:val="center"/>
        </w:trPr>
        <w:tc>
          <w:tcPr>
            <w:tcW w:w="2860" w:type="dxa"/>
            <w:tcBorders>
              <w:top w:val="nil"/>
              <w:left w:val="nil"/>
              <w:bottom w:val="nil"/>
              <w:right w:val="nil"/>
            </w:tcBorders>
            <w:shd w:val="clear" w:color="auto" w:fill="auto"/>
            <w:vAlign w:val="bottom"/>
            <w:hideMark/>
          </w:tcPr>
          <w:p w14:paraId="10D66E1F"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vAlign w:val="bottom"/>
            <w:hideMark/>
          </w:tcPr>
          <w:p w14:paraId="0D4B52A3"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(350)</w:t>
            </w:r>
          </w:p>
        </w:tc>
        <w:tc>
          <w:tcPr>
            <w:tcW w:w="900" w:type="dxa"/>
            <w:tcBorders>
              <w:top w:val="nil"/>
              <w:left w:val="nil"/>
              <w:bottom w:val="nil"/>
              <w:right w:val="nil"/>
            </w:tcBorders>
            <w:shd w:val="clear" w:color="000000" w:fill="D9D9D9"/>
            <w:vAlign w:val="bottom"/>
            <w:hideMark/>
          </w:tcPr>
          <w:p w14:paraId="1DADF39C"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c>
          <w:tcPr>
            <w:tcW w:w="900" w:type="dxa"/>
            <w:tcBorders>
              <w:top w:val="nil"/>
              <w:left w:val="nil"/>
              <w:bottom w:val="nil"/>
              <w:right w:val="nil"/>
            </w:tcBorders>
            <w:shd w:val="clear" w:color="auto" w:fill="auto"/>
            <w:vAlign w:val="bottom"/>
            <w:hideMark/>
          </w:tcPr>
          <w:p w14:paraId="35676A95"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(383)</w:t>
            </w:r>
          </w:p>
        </w:tc>
        <w:tc>
          <w:tcPr>
            <w:tcW w:w="900" w:type="dxa"/>
            <w:tcBorders>
              <w:top w:val="nil"/>
              <w:left w:val="nil"/>
              <w:bottom w:val="nil"/>
              <w:right w:val="nil"/>
            </w:tcBorders>
            <w:shd w:val="clear" w:color="auto" w:fill="auto"/>
            <w:vAlign w:val="bottom"/>
            <w:hideMark/>
          </w:tcPr>
          <w:p w14:paraId="5B70B7D6"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(359)</w:t>
            </w:r>
          </w:p>
        </w:tc>
        <w:tc>
          <w:tcPr>
            <w:tcW w:w="900" w:type="dxa"/>
            <w:tcBorders>
              <w:top w:val="nil"/>
              <w:left w:val="nil"/>
              <w:bottom w:val="nil"/>
              <w:right w:val="nil"/>
            </w:tcBorders>
            <w:shd w:val="clear" w:color="auto" w:fill="auto"/>
            <w:vAlign w:val="bottom"/>
            <w:hideMark/>
          </w:tcPr>
          <w:p w14:paraId="0E496131" w14:textId="77777777" w:rsidR="007C17A5" w:rsidRPr="007C17A5" w:rsidRDefault="007C17A5" w:rsidP="007C17A5">
            <w:pPr>
              <w:spacing w:after="0"/>
              <w:jc w:val="right"/>
              <w:rPr>
                <w:rFonts w:ascii="Arial" w:hAnsi="Arial" w:cs="Arial"/>
                <w:b/>
                <w:bCs/>
                <w:color w:val="auto"/>
                <w:sz w:val="16"/>
                <w:szCs w:val="16"/>
              </w:rPr>
            </w:pPr>
            <w:r w:rsidRPr="007C17A5">
              <w:rPr>
                <w:rFonts w:ascii="Arial" w:hAnsi="Arial" w:cs="Arial"/>
                <w:b/>
                <w:bCs/>
                <w:color w:val="auto"/>
                <w:sz w:val="16"/>
                <w:szCs w:val="16"/>
              </w:rPr>
              <w:t>(354)</w:t>
            </w:r>
          </w:p>
        </w:tc>
      </w:tr>
      <w:tr w:rsidR="007C17A5" w:rsidRPr="007C17A5" w14:paraId="336E5EB0" w14:textId="77777777" w:rsidTr="007C17A5">
        <w:trPr>
          <w:trHeight w:val="624"/>
          <w:jc w:val="center"/>
        </w:trPr>
        <w:tc>
          <w:tcPr>
            <w:tcW w:w="2860" w:type="dxa"/>
            <w:tcBorders>
              <w:top w:val="nil"/>
              <w:left w:val="nil"/>
              <w:bottom w:val="nil"/>
              <w:right w:val="nil"/>
            </w:tcBorders>
            <w:shd w:val="clear" w:color="auto" w:fill="auto"/>
            <w:vAlign w:val="bottom"/>
            <w:hideMark/>
          </w:tcPr>
          <w:p w14:paraId="2C8F50BC" w14:textId="77777777" w:rsidR="007C17A5" w:rsidRPr="007C17A5" w:rsidRDefault="007C17A5" w:rsidP="007C17A5">
            <w:pPr>
              <w:spacing w:after="0"/>
              <w:ind w:leftChars="75" w:left="150"/>
              <w:rPr>
                <w:rFonts w:ascii="Arial" w:hAnsi="Arial" w:cs="Arial"/>
                <w:sz w:val="16"/>
                <w:szCs w:val="16"/>
              </w:rPr>
            </w:pPr>
            <w:r w:rsidRPr="007C17A5">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111915E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356</w:t>
            </w:r>
          </w:p>
        </w:tc>
        <w:tc>
          <w:tcPr>
            <w:tcW w:w="900" w:type="dxa"/>
            <w:tcBorders>
              <w:top w:val="nil"/>
              <w:left w:val="nil"/>
              <w:bottom w:val="nil"/>
              <w:right w:val="nil"/>
            </w:tcBorders>
            <w:shd w:val="clear" w:color="000000" w:fill="D9D9D9"/>
            <w:noWrap/>
            <w:vAlign w:val="bottom"/>
            <w:hideMark/>
          </w:tcPr>
          <w:p w14:paraId="0A6A6EC7"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370</w:t>
            </w:r>
          </w:p>
        </w:tc>
        <w:tc>
          <w:tcPr>
            <w:tcW w:w="900" w:type="dxa"/>
            <w:tcBorders>
              <w:top w:val="nil"/>
              <w:left w:val="nil"/>
              <w:bottom w:val="nil"/>
              <w:right w:val="nil"/>
            </w:tcBorders>
            <w:shd w:val="clear" w:color="auto" w:fill="auto"/>
            <w:noWrap/>
            <w:vAlign w:val="bottom"/>
            <w:hideMark/>
          </w:tcPr>
          <w:p w14:paraId="302887A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410</w:t>
            </w:r>
          </w:p>
        </w:tc>
        <w:tc>
          <w:tcPr>
            <w:tcW w:w="900" w:type="dxa"/>
            <w:tcBorders>
              <w:top w:val="nil"/>
              <w:left w:val="nil"/>
              <w:bottom w:val="nil"/>
              <w:right w:val="nil"/>
            </w:tcBorders>
            <w:shd w:val="clear" w:color="auto" w:fill="auto"/>
            <w:noWrap/>
            <w:vAlign w:val="bottom"/>
            <w:hideMark/>
          </w:tcPr>
          <w:p w14:paraId="1DEA11AE"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340</w:t>
            </w:r>
          </w:p>
        </w:tc>
        <w:tc>
          <w:tcPr>
            <w:tcW w:w="900" w:type="dxa"/>
            <w:tcBorders>
              <w:top w:val="nil"/>
              <w:left w:val="nil"/>
              <w:bottom w:val="nil"/>
              <w:right w:val="nil"/>
            </w:tcBorders>
            <w:shd w:val="clear" w:color="auto" w:fill="auto"/>
            <w:noWrap/>
            <w:vAlign w:val="bottom"/>
            <w:hideMark/>
          </w:tcPr>
          <w:p w14:paraId="37B4F02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343</w:t>
            </w:r>
          </w:p>
        </w:tc>
      </w:tr>
      <w:tr w:rsidR="007C17A5" w:rsidRPr="007C17A5" w14:paraId="21DCBF82" w14:textId="77777777" w:rsidTr="007C17A5">
        <w:trPr>
          <w:trHeight w:val="425"/>
          <w:jc w:val="center"/>
        </w:trPr>
        <w:tc>
          <w:tcPr>
            <w:tcW w:w="2860" w:type="dxa"/>
            <w:tcBorders>
              <w:top w:val="nil"/>
              <w:left w:val="nil"/>
              <w:bottom w:val="nil"/>
              <w:right w:val="nil"/>
            </w:tcBorders>
            <w:shd w:val="clear" w:color="auto" w:fill="auto"/>
            <w:vAlign w:val="bottom"/>
            <w:hideMark/>
          </w:tcPr>
          <w:p w14:paraId="2C336134" w14:textId="77777777" w:rsidR="007C17A5" w:rsidRPr="007C17A5" w:rsidRDefault="007C17A5" w:rsidP="007C17A5">
            <w:pPr>
              <w:spacing w:after="0"/>
              <w:ind w:leftChars="75" w:left="150"/>
              <w:rPr>
                <w:rFonts w:ascii="Arial" w:hAnsi="Arial" w:cs="Arial"/>
                <w:sz w:val="16"/>
                <w:szCs w:val="16"/>
              </w:rPr>
            </w:pPr>
            <w:r w:rsidRPr="007C17A5">
              <w:rPr>
                <w:rFonts w:ascii="Arial" w:hAnsi="Arial" w:cs="Arial"/>
                <w:sz w:val="16"/>
                <w:szCs w:val="16"/>
              </w:rPr>
              <w:t xml:space="preserve">plus depreciation and amortisation expenses for </w:t>
            </w:r>
            <w:proofErr w:type="spellStart"/>
            <w:r w:rsidRPr="007C17A5">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4A24C482"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299</w:t>
            </w:r>
          </w:p>
        </w:tc>
        <w:tc>
          <w:tcPr>
            <w:tcW w:w="900" w:type="dxa"/>
            <w:tcBorders>
              <w:top w:val="nil"/>
              <w:left w:val="nil"/>
              <w:bottom w:val="nil"/>
              <w:right w:val="nil"/>
            </w:tcBorders>
            <w:shd w:val="clear" w:color="000000" w:fill="D9D9D9"/>
            <w:noWrap/>
            <w:vAlign w:val="bottom"/>
            <w:hideMark/>
          </w:tcPr>
          <w:p w14:paraId="7F93870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299</w:t>
            </w:r>
          </w:p>
        </w:tc>
        <w:tc>
          <w:tcPr>
            <w:tcW w:w="900" w:type="dxa"/>
            <w:tcBorders>
              <w:top w:val="nil"/>
              <w:left w:val="nil"/>
              <w:bottom w:val="nil"/>
              <w:right w:val="nil"/>
            </w:tcBorders>
            <w:shd w:val="clear" w:color="auto" w:fill="auto"/>
            <w:noWrap/>
            <w:vAlign w:val="bottom"/>
            <w:hideMark/>
          </w:tcPr>
          <w:p w14:paraId="59B08657"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299</w:t>
            </w:r>
          </w:p>
        </w:tc>
        <w:tc>
          <w:tcPr>
            <w:tcW w:w="900" w:type="dxa"/>
            <w:tcBorders>
              <w:top w:val="nil"/>
              <w:left w:val="nil"/>
              <w:bottom w:val="nil"/>
              <w:right w:val="nil"/>
            </w:tcBorders>
            <w:shd w:val="clear" w:color="auto" w:fill="auto"/>
            <w:noWrap/>
            <w:vAlign w:val="bottom"/>
            <w:hideMark/>
          </w:tcPr>
          <w:p w14:paraId="641E8D3F"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299</w:t>
            </w:r>
          </w:p>
        </w:tc>
        <w:tc>
          <w:tcPr>
            <w:tcW w:w="900" w:type="dxa"/>
            <w:tcBorders>
              <w:top w:val="nil"/>
              <w:left w:val="nil"/>
              <w:bottom w:val="nil"/>
              <w:right w:val="nil"/>
            </w:tcBorders>
            <w:shd w:val="clear" w:color="auto" w:fill="auto"/>
            <w:noWrap/>
            <w:vAlign w:val="bottom"/>
            <w:hideMark/>
          </w:tcPr>
          <w:p w14:paraId="031D9B55"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299</w:t>
            </w:r>
          </w:p>
        </w:tc>
      </w:tr>
      <w:tr w:rsidR="007C17A5" w:rsidRPr="007C17A5" w14:paraId="695AA1FC" w14:textId="77777777" w:rsidTr="007C17A5">
        <w:trPr>
          <w:trHeight w:val="225"/>
          <w:jc w:val="center"/>
        </w:trPr>
        <w:tc>
          <w:tcPr>
            <w:tcW w:w="2860" w:type="dxa"/>
            <w:tcBorders>
              <w:top w:val="nil"/>
              <w:left w:val="nil"/>
              <w:bottom w:val="nil"/>
              <w:right w:val="nil"/>
            </w:tcBorders>
            <w:shd w:val="clear" w:color="auto" w:fill="auto"/>
            <w:vAlign w:val="bottom"/>
            <w:hideMark/>
          </w:tcPr>
          <w:p w14:paraId="2CAB977A" w14:textId="77777777" w:rsidR="007C17A5" w:rsidRPr="007C17A5" w:rsidRDefault="007C17A5" w:rsidP="007C17A5">
            <w:pPr>
              <w:spacing w:after="0"/>
              <w:ind w:leftChars="75" w:left="150"/>
              <w:rPr>
                <w:rFonts w:ascii="Arial" w:hAnsi="Arial" w:cs="Arial"/>
                <w:sz w:val="16"/>
                <w:szCs w:val="16"/>
              </w:rPr>
            </w:pPr>
            <w:r w:rsidRPr="007C17A5">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4DDEE51B"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(305)</w:t>
            </w:r>
          </w:p>
        </w:tc>
        <w:tc>
          <w:tcPr>
            <w:tcW w:w="900" w:type="dxa"/>
            <w:tcBorders>
              <w:top w:val="nil"/>
              <w:left w:val="nil"/>
              <w:bottom w:val="nil"/>
              <w:right w:val="nil"/>
            </w:tcBorders>
            <w:shd w:val="clear" w:color="000000" w:fill="D9D9D9"/>
            <w:noWrap/>
            <w:vAlign w:val="bottom"/>
            <w:hideMark/>
          </w:tcPr>
          <w:p w14:paraId="7B082914"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(315)</w:t>
            </w:r>
          </w:p>
        </w:tc>
        <w:tc>
          <w:tcPr>
            <w:tcW w:w="900" w:type="dxa"/>
            <w:tcBorders>
              <w:top w:val="nil"/>
              <w:left w:val="nil"/>
              <w:bottom w:val="nil"/>
              <w:right w:val="nil"/>
            </w:tcBorders>
            <w:shd w:val="clear" w:color="auto" w:fill="auto"/>
            <w:noWrap/>
            <w:vAlign w:val="bottom"/>
            <w:hideMark/>
          </w:tcPr>
          <w:p w14:paraId="031CD02B"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(326)</w:t>
            </w:r>
          </w:p>
        </w:tc>
        <w:tc>
          <w:tcPr>
            <w:tcW w:w="900" w:type="dxa"/>
            <w:tcBorders>
              <w:top w:val="nil"/>
              <w:left w:val="nil"/>
              <w:bottom w:val="nil"/>
              <w:right w:val="nil"/>
            </w:tcBorders>
            <w:shd w:val="clear" w:color="auto" w:fill="auto"/>
            <w:noWrap/>
            <w:vAlign w:val="bottom"/>
            <w:hideMark/>
          </w:tcPr>
          <w:p w14:paraId="036AA451"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(280)</w:t>
            </w:r>
          </w:p>
        </w:tc>
        <w:tc>
          <w:tcPr>
            <w:tcW w:w="900" w:type="dxa"/>
            <w:tcBorders>
              <w:top w:val="nil"/>
              <w:left w:val="nil"/>
              <w:bottom w:val="nil"/>
              <w:right w:val="nil"/>
            </w:tcBorders>
            <w:shd w:val="clear" w:color="auto" w:fill="auto"/>
            <w:noWrap/>
            <w:vAlign w:val="bottom"/>
            <w:hideMark/>
          </w:tcPr>
          <w:p w14:paraId="2D2E6EBA" w14:textId="77777777" w:rsidR="007C17A5" w:rsidRPr="007C17A5" w:rsidRDefault="007C17A5" w:rsidP="007C17A5">
            <w:pPr>
              <w:spacing w:after="0"/>
              <w:jc w:val="right"/>
              <w:rPr>
                <w:rFonts w:ascii="Arial" w:hAnsi="Arial" w:cs="Arial"/>
                <w:color w:val="auto"/>
                <w:sz w:val="16"/>
                <w:szCs w:val="16"/>
              </w:rPr>
            </w:pPr>
            <w:r w:rsidRPr="007C17A5">
              <w:rPr>
                <w:rFonts w:ascii="Arial" w:hAnsi="Arial" w:cs="Arial"/>
                <w:color w:val="auto"/>
                <w:sz w:val="16"/>
                <w:szCs w:val="16"/>
              </w:rPr>
              <w:t>(288)</w:t>
            </w:r>
          </w:p>
        </w:tc>
      </w:tr>
      <w:tr w:rsidR="007C17A5" w:rsidRPr="007C17A5" w14:paraId="35D98FBC" w14:textId="77777777" w:rsidTr="007C17A5">
        <w:trPr>
          <w:trHeight w:val="397"/>
          <w:jc w:val="center"/>
        </w:trPr>
        <w:tc>
          <w:tcPr>
            <w:tcW w:w="2860" w:type="dxa"/>
            <w:tcBorders>
              <w:top w:val="nil"/>
              <w:left w:val="nil"/>
              <w:bottom w:val="single" w:sz="4" w:space="0" w:color="auto"/>
              <w:right w:val="nil"/>
            </w:tcBorders>
            <w:shd w:val="clear" w:color="auto" w:fill="auto"/>
            <w:vAlign w:val="bottom"/>
            <w:hideMark/>
          </w:tcPr>
          <w:p w14:paraId="55053BFE" w14:textId="77777777" w:rsidR="007C17A5" w:rsidRPr="007C17A5" w:rsidRDefault="007C17A5" w:rsidP="007C17A5">
            <w:pPr>
              <w:spacing w:after="0"/>
              <w:rPr>
                <w:rFonts w:ascii="Arial" w:hAnsi="Arial" w:cs="Arial"/>
                <w:b/>
                <w:bCs/>
                <w:color w:val="auto"/>
                <w:sz w:val="16"/>
                <w:szCs w:val="16"/>
              </w:rPr>
            </w:pPr>
            <w:r w:rsidRPr="007C17A5">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44DB4F99" w14:textId="77777777" w:rsidR="007C17A5" w:rsidRPr="00337788" w:rsidRDefault="007C17A5" w:rsidP="007C17A5">
            <w:pPr>
              <w:spacing w:after="0"/>
              <w:jc w:val="right"/>
              <w:rPr>
                <w:rFonts w:ascii="Arial" w:hAnsi="Arial" w:cs="Arial"/>
                <w:b/>
                <w:color w:val="auto"/>
                <w:sz w:val="16"/>
                <w:szCs w:val="16"/>
              </w:rPr>
            </w:pPr>
            <w:r w:rsidRPr="00337788">
              <w:rPr>
                <w:rFonts w:ascii="Arial" w:hAnsi="Arial" w:cs="Arial"/>
                <w:b/>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C896FA2" w14:textId="77777777" w:rsidR="007C17A5" w:rsidRPr="00337788" w:rsidRDefault="007C17A5" w:rsidP="007C17A5">
            <w:pPr>
              <w:spacing w:after="0"/>
              <w:jc w:val="right"/>
              <w:rPr>
                <w:rFonts w:ascii="Arial" w:hAnsi="Arial" w:cs="Arial"/>
                <w:b/>
                <w:color w:val="auto"/>
                <w:sz w:val="16"/>
                <w:szCs w:val="16"/>
              </w:rPr>
            </w:pPr>
            <w:r w:rsidRPr="00337788">
              <w:rPr>
                <w:rFonts w:ascii="Arial" w:hAnsi="Arial" w:cs="Arial"/>
                <w:b/>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F8C6588" w14:textId="77777777" w:rsidR="007C17A5" w:rsidRPr="00337788" w:rsidRDefault="007C17A5" w:rsidP="007C17A5">
            <w:pPr>
              <w:spacing w:after="0"/>
              <w:jc w:val="right"/>
              <w:rPr>
                <w:rFonts w:ascii="Arial" w:hAnsi="Arial" w:cs="Arial"/>
                <w:b/>
                <w:color w:val="auto"/>
                <w:sz w:val="16"/>
                <w:szCs w:val="16"/>
              </w:rPr>
            </w:pPr>
            <w:r w:rsidRPr="00337788">
              <w:rPr>
                <w:rFonts w:ascii="Arial" w:hAnsi="Arial" w:cs="Arial"/>
                <w:b/>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81FD76B" w14:textId="77777777" w:rsidR="007C17A5" w:rsidRPr="00337788" w:rsidRDefault="007C17A5" w:rsidP="007C17A5">
            <w:pPr>
              <w:spacing w:after="0"/>
              <w:jc w:val="right"/>
              <w:rPr>
                <w:rFonts w:ascii="Arial" w:hAnsi="Arial" w:cs="Arial"/>
                <w:b/>
                <w:color w:val="auto"/>
                <w:sz w:val="16"/>
                <w:szCs w:val="16"/>
              </w:rPr>
            </w:pPr>
            <w:r w:rsidRPr="00337788">
              <w:rPr>
                <w:rFonts w:ascii="Arial" w:hAnsi="Arial" w:cs="Arial"/>
                <w:b/>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897E283" w14:textId="77777777" w:rsidR="007C17A5" w:rsidRPr="00337788" w:rsidRDefault="007C17A5" w:rsidP="007C17A5">
            <w:pPr>
              <w:spacing w:after="0"/>
              <w:jc w:val="right"/>
              <w:rPr>
                <w:rFonts w:ascii="Arial" w:hAnsi="Arial" w:cs="Arial"/>
                <w:b/>
                <w:color w:val="auto"/>
                <w:sz w:val="16"/>
                <w:szCs w:val="16"/>
              </w:rPr>
            </w:pPr>
            <w:r w:rsidRPr="00337788">
              <w:rPr>
                <w:rFonts w:ascii="Arial" w:hAnsi="Arial" w:cs="Arial"/>
                <w:b/>
                <w:color w:val="auto"/>
                <w:sz w:val="16"/>
                <w:szCs w:val="16"/>
              </w:rPr>
              <w:t>-</w:t>
            </w:r>
          </w:p>
        </w:tc>
      </w:tr>
    </w:tbl>
    <w:p w14:paraId="079DAECC" w14:textId="164EB780" w:rsidR="0035220E" w:rsidRDefault="007C17A5" w:rsidP="00A614F8">
      <w:pPr>
        <w:pStyle w:val="FootnoteText"/>
        <w:spacing w:before="120"/>
      </w:pPr>
      <w:proofErr w:type="spellStart"/>
      <w:r w:rsidRPr="007C17A5">
        <w:t>RoU</w:t>
      </w:r>
      <w:proofErr w:type="spellEnd"/>
      <w:r w:rsidRPr="007C17A5">
        <w:t xml:space="preserve"> = Right-of-Use asset</w:t>
      </w:r>
      <w:r w:rsidR="0035220E">
        <w:br w:type="page"/>
      </w:r>
    </w:p>
    <w:p w14:paraId="66335399" w14:textId="77777777" w:rsidR="00BC0659" w:rsidRPr="00EE76CA" w:rsidRDefault="00BC0659" w:rsidP="00BC0659">
      <w:pPr>
        <w:pStyle w:val="Tablenumberandreference"/>
        <w:rPr>
          <w:color w:val="000000" w:themeColor="text1"/>
        </w:rPr>
      </w:pPr>
      <w:r w:rsidRPr="00EE76CA">
        <w:rPr>
          <w:color w:val="000000" w:themeColor="text1"/>
        </w:rPr>
        <w:lastRenderedPageBreak/>
        <w:t>Table 3.2: Budgeted Departmental Balance Sheet (as at 30 June)</w:t>
      </w:r>
    </w:p>
    <w:tbl>
      <w:tblPr>
        <w:tblW w:w="7140" w:type="dxa"/>
        <w:jc w:val="center"/>
        <w:tblLayout w:type="fixed"/>
        <w:tblLook w:val="04A0" w:firstRow="1" w:lastRow="0" w:firstColumn="1" w:lastColumn="0" w:noHBand="0" w:noVBand="1"/>
      </w:tblPr>
      <w:tblGrid>
        <w:gridCol w:w="2962"/>
        <w:gridCol w:w="905"/>
        <w:gridCol w:w="810"/>
        <w:gridCol w:w="821"/>
        <w:gridCol w:w="821"/>
        <w:gridCol w:w="821"/>
      </w:tblGrid>
      <w:tr w:rsidR="00D44A98" w:rsidRPr="00D44A98" w14:paraId="1CBF2418" w14:textId="77777777" w:rsidTr="00D44A98">
        <w:trPr>
          <w:trHeight w:val="765"/>
          <w:jc w:val="center"/>
        </w:trPr>
        <w:tc>
          <w:tcPr>
            <w:tcW w:w="2962" w:type="dxa"/>
            <w:tcBorders>
              <w:top w:val="single" w:sz="4" w:space="0" w:color="auto"/>
              <w:left w:val="nil"/>
              <w:bottom w:val="nil"/>
              <w:right w:val="nil"/>
            </w:tcBorders>
            <w:shd w:val="clear" w:color="auto" w:fill="auto"/>
            <w:tcMar>
              <w:left w:w="57" w:type="dxa"/>
              <w:right w:w="57" w:type="dxa"/>
            </w:tcMar>
            <w:hideMark/>
          </w:tcPr>
          <w:p w14:paraId="2D07F203"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 </w:t>
            </w:r>
          </w:p>
        </w:tc>
        <w:tc>
          <w:tcPr>
            <w:tcW w:w="905" w:type="dxa"/>
            <w:tcBorders>
              <w:top w:val="single" w:sz="4" w:space="0" w:color="auto"/>
              <w:left w:val="nil"/>
              <w:bottom w:val="single" w:sz="4" w:space="0" w:color="auto"/>
              <w:right w:val="nil"/>
            </w:tcBorders>
            <w:shd w:val="clear" w:color="auto" w:fill="auto"/>
            <w:tcMar>
              <w:left w:w="57" w:type="dxa"/>
              <w:right w:w="57" w:type="dxa"/>
            </w:tcMar>
            <w:hideMark/>
          </w:tcPr>
          <w:p w14:paraId="24DC198F"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2021–22 Estimated actual</w:t>
            </w:r>
            <w:r w:rsidRPr="00D44A98">
              <w:rPr>
                <w:rFonts w:ascii="Arial" w:hAnsi="Arial" w:cs="Arial"/>
                <w:b/>
                <w:bCs/>
                <w:color w:val="auto"/>
                <w:sz w:val="16"/>
                <w:szCs w:val="16"/>
              </w:rPr>
              <w:br/>
            </w:r>
            <w:r w:rsidRPr="00D44A98">
              <w:rPr>
                <w:rFonts w:ascii="Arial" w:hAnsi="Arial" w:cs="Arial"/>
                <w:color w:val="auto"/>
                <w:sz w:val="16"/>
                <w:szCs w:val="16"/>
              </w:rPr>
              <w:t>$'000</w:t>
            </w:r>
          </w:p>
        </w:tc>
        <w:tc>
          <w:tcPr>
            <w:tcW w:w="810" w:type="dxa"/>
            <w:tcBorders>
              <w:top w:val="single" w:sz="4" w:space="0" w:color="auto"/>
              <w:left w:val="nil"/>
              <w:bottom w:val="single" w:sz="4" w:space="0" w:color="auto"/>
              <w:right w:val="nil"/>
            </w:tcBorders>
            <w:shd w:val="clear" w:color="000000" w:fill="D9D9D9"/>
            <w:tcMar>
              <w:left w:w="57" w:type="dxa"/>
              <w:right w:w="57" w:type="dxa"/>
            </w:tcMar>
            <w:hideMark/>
          </w:tcPr>
          <w:p w14:paraId="2ACD4CD5"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 xml:space="preserve">2022–23 Budget </w:t>
            </w:r>
            <w:r w:rsidRPr="00D44A98">
              <w:rPr>
                <w:rFonts w:ascii="Arial" w:hAnsi="Arial" w:cs="Arial"/>
                <w:b/>
                <w:bCs/>
                <w:color w:val="auto"/>
                <w:sz w:val="16"/>
                <w:szCs w:val="16"/>
              </w:rPr>
              <w:br/>
            </w:r>
            <w:r w:rsidRPr="00D44A98">
              <w:rPr>
                <w:rFonts w:ascii="Arial" w:hAnsi="Arial" w:cs="Arial"/>
                <w:b/>
                <w:bCs/>
                <w:color w:val="auto"/>
                <w:sz w:val="16"/>
                <w:szCs w:val="16"/>
              </w:rPr>
              <w:br/>
            </w:r>
            <w:r w:rsidRPr="00D44A98">
              <w:rPr>
                <w:rFonts w:ascii="Arial" w:hAnsi="Arial" w:cs="Arial"/>
                <w:color w:val="auto"/>
                <w:sz w:val="16"/>
                <w:szCs w:val="16"/>
              </w:rPr>
              <w:t>$'000</w:t>
            </w:r>
          </w:p>
        </w:tc>
        <w:tc>
          <w:tcPr>
            <w:tcW w:w="821" w:type="dxa"/>
            <w:tcBorders>
              <w:top w:val="single" w:sz="4" w:space="0" w:color="auto"/>
              <w:left w:val="nil"/>
              <w:bottom w:val="single" w:sz="4" w:space="0" w:color="auto"/>
              <w:right w:val="nil"/>
            </w:tcBorders>
            <w:shd w:val="clear" w:color="auto" w:fill="auto"/>
            <w:tcMar>
              <w:left w:w="57" w:type="dxa"/>
              <w:right w:w="57" w:type="dxa"/>
            </w:tcMar>
            <w:hideMark/>
          </w:tcPr>
          <w:p w14:paraId="21093E9A"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2023–24 Forward estimate</w:t>
            </w:r>
            <w:r w:rsidRPr="00D44A98">
              <w:rPr>
                <w:rFonts w:ascii="Arial" w:hAnsi="Arial" w:cs="Arial"/>
                <w:b/>
                <w:bCs/>
                <w:color w:val="auto"/>
                <w:sz w:val="16"/>
                <w:szCs w:val="16"/>
              </w:rPr>
              <w:br/>
            </w:r>
            <w:r w:rsidRPr="00D44A98">
              <w:rPr>
                <w:rFonts w:ascii="Arial" w:hAnsi="Arial" w:cs="Arial"/>
                <w:color w:val="auto"/>
                <w:sz w:val="16"/>
                <w:szCs w:val="16"/>
              </w:rPr>
              <w:t>$'000</w:t>
            </w:r>
          </w:p>
        </w:tc>
        <w:tc>
          <w:tcPr>
            <w:tcW w:w="821" w:type="dxa"/>
            <w:tcBorders>
              <w:top w:val="single" w:sz="4" w:space="0" w:color="auto"/>
              <w:left w:val="nil"/>
              <w:bottom w:val="single" w:sz="4" w:space="0" w:color="auto"/>
              <w:right w:val="nil"/>
            </w:tcBorders>
            <w:shd w:val="clear" w:color="auto" w:fill="auto"/>
            <w:tcMar>
              <w:left w:w="57" w:type="dxa"/>
              <w:right w:w="57" w:type="dxa"/>
            </w:tcMar>
            <w:hideMark/>
          </w:tcPr>
          <w:p w14:paraId="7AB36EC3"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2024–25 Forward estimate</w:t>
            </w:r>
            <w:r w:rsidRPr="00D44A98">
              <w:rPr>
                <w:rFonts w:ascii="Arial" w:hAnsi="Arial" w:cs="Arial"/>
                <w:b/>
                <w:bCs/>
                <w:color w:val="auto"/>
                <w:sz w:val="16"/>
                <w:szCs w:val="16"/>
              </w:rPr>
              <w:br/>
            </w:r>
            <w:r w:rsidRPr="00D44A98">
              <w:rPr>
                <w:rFonts w:ascii="Arial" w:hAnsi="Arial" w:cs="Arial"/>
                <w:color w:val="auto"/>
                <w:sz w:val="16"/>
                <w:szCs w:val="16"/>
              </w:rPr>
              <w:t>$'000</w:t>
            </w:r>
          </w:p>
        </w:tc>
        <w:tc>
          <w:tcPr>
            <w:tcW w:w="821" w:type="dxa"/>
            <w:tcBorders>
              <w:top w:val="single" w:sz="4" w:space="0" w:color="auto"/>
              <w:left w:val="nil"/>
              <w:bottom w:val="single" w:sz="4" w:space="0" w:color="auto"/>
              <w:right w:val="nil"/>
            </w:tcBorders>
            <w:shd w:val="clear" w:color="auto" w:fill="auto"/>
            <w:tcMar>
              <w:left w:w="57" w:type="dxa"/>
              <w:right w:w="57" w:type="dxa"/>
            </w:tcMar>
            <w:hideMark/>
          </w:tcPr>
          <w:p w14:paraId="50AD205B"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2025–26 Forward estimate</w:t>
            </w:r>
            <w:r w:rsidRPr="00D44A98">
              <w:rPr>
                <w:rFonts w:ascii="Arial" w:hAnsi="Arial" w:cs="Arial"/>
                <w:b/>
                <w:bCs/>
                <w:color w:val="auto"/>
                <w:sz w:val="16"/>
                <w:szCs w:val="16"/>
              </w:rPr>
              <w:br/>
            </w:r>
            <w:r w:rsidRPr="00D44A98">
              <w:rPr>
                <w:rFonts w:ascii="Arial" w:hAnsi="Arial" w:cs="Arial"/>
                <w:color w:val="auto"/>
                <w:sz w:val="16"/>
                <w:szCs w:val="16"/>
              </w:rPr>
              <w:t>$'000</w:t>
            </w:r>
          </w:p>
        </w:tc>
      </w:tr>
      <w:tr w:rsidR="00D44A98" w:rsidRPr="00D44A98" w14:paraId="250A3669"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6BD868CF"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ASSETS</w:t>
            </w:r>
          </w:p>
        </w:tc>
        <w:tc>
          <w:tcPr>
            <w:tcW w:w="905" w:type="dxa"/>
            <w:tcBorders>
              <w:top w:val="nil"/>
              <w:left w:val="nil"/>
              <w:bottom w:val="nil"/>
              <w:right w:val="nil"/>
            </w:tcBorders>
            <w:shd w:val="clear" w:color="auto" w:fill="auto"/>
            <w:noWrap/>
            <w:vAlign w:val="bottom"/>
            <w:hideMark/>
          </w:tcPr>
          <w:p w14:paraId="6839C0F6" w14:textId="77777777" w:rsidR="00D44A98" w:rsidRPr="00D44A98" w:rsidRDefault="00D44A98" w:rsidP="00D44A98">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0AAC8FA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190F13C5"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2761ED7"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388A19BD" w14:textId="77777777" w:rsidR="00D44A98" w:rsidRPr="00D44A98" w:rsidRDefault="00D44A98" w:rsidP="00D44A98">
            <w:pPr>
              <w:spacing w:after="0"/>
              <w:jc w:val="right"/>
              <w:rPr>
                <w:rFonts w:ascii="Times New Roman" w:hAnsi="Times New Roman"/>
                <w:color w:val="auto"/>
              </w:rPr>
            </w:pPr>
          </w:p>
        </w:tc>
      </w:tr>
      <w:tr w:rsidR="00D44A98" w:rsidRPr="00D44A98" w14:paraId="68EE1449"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13D63051"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Financial assets</w:t>
            </w:r>
          </w:p>
        </w:tc>
        <w:tc>
          <w:tcPr>
            <w:tcW w:w="905" w:type="dxa"/>
            <w:tcBorders>
              <w:top w:val="nil"/>
              <w:left w:val="nil"/>
              <w:bottom w:val="nil"/>
              <w:right w:val="nil"/>
            </w:tcBorders>
            <w:shd w:val="clear" w:color="auto" w:fill="auto"/>
            <w:noWrap/>
            <w:vAlign w:val="bottom"/>
            <w:hideMark/>
          </w:tcPr>
          <w:p w14:paraId="1B08428F" w14:textId="77777777" w:rsidR="00D44A98" w:rsidRPr="00D44A98" w:rsidRDefault="00D44A98" w:rsidP="00D44A9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26EE251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1911C597"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9D5EA5A"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7E8C56E2" w14:textId="77777777" w:rsidR="00D44A98" w:rsidRPr="00D44A98" w:rsidRDefault="00D44A98" w:rsidP="00D44A98">
            <w:pPr>
              <w:spacing w:after="0"/>
              <w:jc w:val="right"/>
              <w:rPr>
                <w:rFonts w:ascii="Times New Roman" w:hAnsi="Times New Roman"/>
                <w:color w:val="auto"/>
              </w:rPr>
            </w:pPr>
          </w:p>
        </w:tc>
      </w:tr>
      <w:tr w:rsidR="00D44A98" w:rsidRPr="00D44A98" w14:paraId="35A74B08"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108D1BD9"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Cash and cash equivalents</w:t>
            </w:r>
          </w:p>
        </w:tc>
        <w:tc>
          <w:tcPr>
            <w:tcW w:w="905" w:type="dxa"/>
            <w:tcBorders>
              <w:top w:val="nil"/>
              <w:left w:val="nil"/>
              <w:bottom w:val="nil"/>
              <w:right w:val="nil"/>
            </w:tcBorders>
            <w:shd w:val="clear" w:color="auto" w:fill="auto"/>
            <w:noWrap/>
            <w:vAlign w:val="bottom"/>
            <w:hideMark/>
          </w:tcPr>
          <w:p w14:paraId="107219D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268</w:t>
            </w:r>
          </w:p>
        </w:tc>
        <w:tc>
          <w:tcPr>
            <w:tcW w:w="810" w:type="dxa"/>
            <w:tcBorders>
              <w:top w:val="nil"/>
              <w:left w:val="nil"/>
              <w:bottom w:val="nil"/>
              <w:right w:val="nil"/>
            </w:tcBorders>
            <w:shd w:val="clear" w:color="000000" w:fill="D9D9D9"/>
            <w:noWrap/>
            <w:vAlign w:val="bottom"/>
            <w:hideMark/>
          </w:tcPr>
          <w:p w14:paraId="0455336E"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268</w:t>
            </w:r>
          </w:p>
        </w:tc>
        <w:tc>
          <w:tcPr>
            <w:tcW w:w="821" w:type="dxa"/>
            <w:tcBorders>
              <w:top w:val="nil"/>
              <w:left w:val="nil"/>
              <w:bottom w:val="nil"/>
              <w:right w:val="nil"/>
            </w:tcBorders>
            <w:shd w:val="clear" w:color="auto" w:fill="auto"/>
            <w:noWrap/>
            <w:vAlign w:val="bottom"/>
            <w:hideMark/>
          </w:tcPr>
          <w:p w14:paraId="53A2C7E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268</w:t>
            </w:r>
          </w:p>
        </w:tc>
        <w:tc>
          <w:tcPr>
            <w:tcW w:w="821" w:type="dxa"/>
            <w:tcBorders>
              <w:top w:val="nil"/>
              <w:left w:val="nil"/>
              <w:bottom w:val="nil"/>
              <w:right w:val="nil"/>
            </w:tcBorders>
            <w:shd w:val="clear" w:color="auto" w:fill="auto"/>
            <w:noWrap/>
            <w:vAlign w:val="bottom"/>
            <w:hideMark/>
          </w:tcPr>
          <w:p w14:paraId="26DB7A3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268</w:t>
            </w:r>
          </w:p>
        </w:tc>
        <w:tc>
          <w:tcPr>
            <w:tcW w:w="821" w:type="dxa"/>
            <w:tcBorders>
              <w:top w:val="nil"/>
              <w:left w:val="nil"/>
              <w:bottom w:val="nil"/>
              <w:right w:val="nil"/>
            </w:tcBorders>
            <w:shd w:val="clear" w:color="auto" w:fill="auto"/>
            <w:noWrap/>
            <w:vAlign w:val="bottom"/>
            <w:hideMark/>
          </w:tcPr>
          <w:p w14:paraId="4CECDB5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268</w:t>
            </w:r>
          </w:p>
        </w:tc>
      </w:tr>
      <w:tr w:rsidR="00D44A98" w:rsidRPr="00D44A98" w14:paraId="34694893"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6DF6551C"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Receivables</w:t>
            </w:r>
          </w:p>
        </w:tc>
        <w:tc>
          <w:tcPr>
            <w:tcW w:w="905" w:type="dxa"/>
            <w:tcBorders>
              <w:top w:val="nil"/>
              <w:left w:val="nil"/>
              <w:bottom w:val="nil"/>
              <w:right w:val="nil"/>
            </w:tcBorders>
            <w:shd w:val="clear" w:color="auto" w:fill="auto"/>
            <w:noWrap/>
            <w:vAlign w:val="bottom"/>
            <w:hideMark/>
          </w:tcPr>
          <w:p w14:paraId="1E2BFFE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2,384</w:t>
            </w:r>
          </w:p>
        </w:tc>
        <w:tc>
          <w:tcPr>
            <w:tcW w:w="810" w:type="dxa"/>
            <w:tcBorders>
              <w:top w:val="nil"/>
              <w:left w:val="nil"/>
              <w:bottom w:val="nil"/>
              <w:right w:val="nil"/>
            </w:tcBorders>
            <w:shd w:val="clear" w:color="000000" w:fill="D9D9D9"/>
            <w:noWrap/>
            <w:vAlign w:val="bottom"/>
            <w:hideMark/>
          </w:tcPr>
          <w:p w14:paraId="1904BD40"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2,384</w:t>
            </w:r>
          </w:p>
        </w:tc>
        <w:tc>
          <w:tcPr>
            <w:tcW w:w="821" w:type="dxa"/>
            <w:tcBorders>
              <w:top w:val="nil"/>
              <w:left w:val="nil"/>
              <w:bottom w:val="nil"/>
              <w:right w:val="nil"/>
            </w:tcBorders>
            <w:shd w:val="clear" w:color="auto" w:fill="auto"/>
            <w:noWrap/>
            <w:vAlign w:val="bottom"/>
            <w:hideMark/>
          </w:tcPr>
          <w:p w14:paraId="65DCF78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2,384</w:t>
            </w:r>
          </w:p>
        </w:tc>
        <w:tc>
          <w:tcPr>
            <w:tcW w:w="821" w:type="dxa"/>
            <w:tcBorders>
              <w:top w:val="nil"/>
              <w:left w:val="nil"/>
              <w:bottom w:val="nil"/>
              <w:right w:val="nil"/>
            </w:tcBorders>
            <w:shd w:val="clear" w:color="auto" w:fill="auto"/>
            <w:noWrap/>
            <w:vAlign w:val="bottom"/>
            <w:hideMark/>
          </w:tcPr>
          <w:p w14:paraId="691191A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2,384</w:t>
            </w:r>
          </w:p>
        </w:tc>
        <w:tc>
          <w:tcPr>
            <w:tcW w:w="821" w:type="dxa"/>
            <w:tcBorders>
              <w:top w:val="nil"/>
              <w:left w:val="nil"/>
              <w:bottom w:val="nil"/>
              <w:right w:val="nil"/>
            </w:tcBorders>
            <w:shd w:val="clear" w:color="auto" w:fill="auto"/>
            <w:noWrap/>
            <w:vAlign w:val="bottom"/>
            <w:hideMark/>
          </w:tcPr>
          <w:p w14:paraId="620D545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2,384</w:t>
            </w:r>
          </w:p>
        </w:tc>
      </w:tr>
      <w:tr w:rsidR="00D44A98" w:rsidRPr="00D44A98" w14:paraId="5D023785"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4612075E" w14:textId="77777777" w:rsidR="00D44A98" w:rsidRPr="00D44A98" w:rsidRDefault="00D44A98" w:rsidP="00D44A98">
            <w:pPr>
              <w:spacing w:after="0"/>
              <w:ind w:firstLineChars="200" w:firstLine="320"/>
              <w:rPr>
                <w:rFonts w:ascii="Arial" w:hAnsi="Arial" w:cs="Arial"/>
                <w:b/>
                <w:bCs/>
                <w:sz w:val="16"/>
                <w:szCs w:val="16"/>
              </w:rPr>
            </w:pPr>
            <w:r w:rsidRPr="00D44A98">
              <w:rPr>
                <w:rFonts w:ascii="Arial" w:hAnsi="Arial" w:cs="Arial"/>
                <w:b/>
                <w:bCs/>
                <w:sz w:val="16"/>
                <w:szCs w:val="16"/>
              </w:rPr>
              <w:t>Total financial assets</w:t>
            </w:r>
          </w:p>
        </w:tc>
        <w:tc>
          <w:tcPr>
            <w:tcW w:w="905" w:type="dxa"/>
            <w:tcBorders>
              <w:top w:val="nil"/>
              <w:left w:val="nil"/>
              <w:bottom w:val="single" w:sz="4" w:space="0" w:color="auto"/>
              <w:right w:val="nil"/>
            </w:tcBorders>
            <w:shd w:val="clear" w:color="auto" w:fill="auto"/>
            <w:noWrap/>
            <w:vAlign w:val="bottom"/>
            <w:hideMark/>
          </w:tcPr>
          <w:p w14:paraId="3CB1846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2,652</w:t>
            </w:r>
          </w:p>
        </w:tc>
        <w:tc>
          <w:tcPr>
            <w:tcW w:w="810" w:type="dxa"/>
            <w:tcBorders>
              <w:top w:val="nil"/>
              <w:left w:val="nil"/>
              <w:bottom w:val="single" w:sz="4" w:space="0" w:color="auto"/>
              <w:right w:val="nil"/>
            </w:tcBorders>
            <w:shd w:val="clear" w:color="000000" w:fill="D9D9D9"/>
            <w:noWrap/>
            <w:vAlign w:val="bottom"/>
            <w:hideMark/>
          </w:tcPr>
          <w:p w14:paraId="01323D4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2,652</w:t>
            </w:r>
          </w:p>
        </w:tc>
        <w:tc>
          <w:tcPr>
            <w:tcW w:w="821" w:type="dxa"/>
            <w:tcBorders>
              <w:top w:val="nil"/>
              <w:left w:val="nil"/>
              <w:bottom w:val="single" w:sz="4" w:space="0" w:color="auto"/>
              <w:right w:val="nil"/>
            </w:tcBorders>
            <w:shd w:val="clear" w:color="auto" w:fill="auto"/>
            <w:noWrap/>
            <w:vAlign w:val="bottom"/>
            <w:hideMark/>
          </w:tcPr>
          <w:p w14:paraId="7F6604B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2,652</w:t>
            </w:r>
          </w:p>
        </w:tc>
        <w:tc>
          <w:tcPr>
            <w:tcW w:w="821" w:type="dxa"/>
            <w:tcBorders>
              <w:top w:val="nil"/>
              <w:left w:val="nil"/>
              <w:bottom w:val="single" w:sz="4" w:space="0" w:color="auto"/>
              <w:right w:val="nil"/>
            </w:tcBorders>
            <w:shd w:val="clear" w:color="auto" w:fill="auto"/>
            <w:noWrap/>
            <w:vAlign w:val="bottom"/>
            <w:hideMark/>
          </w:tcPr>
          <w:p w14:paraId="07D0C418"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2,652</w:t>
            </w:r>
          </w:p>
        </w:tc>
        <w:tc>
          <w:tcPr>
            <w:tcW w:w="821" w:type="dxa"/>
            <w:tcBorders>
              <w:top w:val="nil"/>
              <w:left w:val="nil"/>
              <w:bottom w:val="single" w:sz="4" w:space="0" w:color="auto"/>
              <w:right w:val="nil"/>
            </w:tcBorders>
            <w:shd w:val="clear" w:color="auto" w:fill="auto"/>
            <w:noWrap/>
            <w:vAlign w:val="bottom"/>
            <w:hideMark/>
          </w:tcPr>
          <w:p w14:paraId="6EFF8E4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2,652</w:t>
            </w:r>
          </w:p>
        </w:tc>
      </w:tr>
      <w:tr w:rsidR="00D44A98" w:rsidRPr="00D44A98" w14:paraId="4AA8D652" w14:textId="77777777" w:rsidTr="00D44A98">
        <w:trPr>
          <w:trHeight w:val="283"/>
          <w:jc w:val="center"/>
        </w:trPr>
        <w:tc>
          <w:tcPr>
            <w:tcW w:w="2962" w:type="dxa"/>
            <w:tcBorders>
              <w:top w:val="nil"/>
              <w:left w:val="nil"/>
              <w:bottom w:val="nil"/>
              <w:right w:val="nil"/>
            </w:tcBorders>
            <w:shd w:val="clear" w:color="auto" w:fill="auto"/>
            <w:noWrap/>
            <w:vAlign w:val="bottom"/>
            <w:hideMark/>
          </w:tcPr>
          <w:p w14:paraId="3918E1BA"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Non-financial assets</w:t>
            </w:r>
          </w:p>
        </w:tc>
        <w:tc>
          <w:tcPr>
            <w:tcW w:w="905" w:type="dxa"/>
            <w:tcBorders>
              <w:top w:val="nil"/>
              <w:left w:val="nil"/>
              <w:bottom w:val="nil"/>
              <w:right w:val="nil"/>
            </w:tcBorders>
            <w:shd w:val="clear" w:color="auto" w:fill="auto"/>
            <w:noWrap/>
            <w:vAlign w:val="bottom"/>
            <w:hideMark/>
          </w:tcPr>
          <w:p w14:paraId="0A987271" w14:textId="77777777" w:rsidR="00D44A98" w:rsidRPr="00D44A98" w:rsidRDefault="00D44A98" w:rsidP="00D44A9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156B12A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47B81E1C"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D67F8E7"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18C4A2DE" w14:textId="77777777" w:rsidR="00D44A98" w:rsidRPr="00D44A98" w:rsidRDefault="00D44A98" w:rsidP="00D44A98">
            <w:pPr>
              <w:spacing w:after="0"/>
              <w:jc w:val="right"/>
              <w:rPr>
                <w:rFonts w:ascii="Times New Roman" w:hAnsi="Times New Roman"/>
                <w:color w:val="auto"/>
              </w:rPr>
            </w:pPr>
          </w:p>
        </w:tc>
      </w:tr>
      <w:tr w:rsidR="00D44A98" w:rsidRPr="00D44A98" w14:paraId="2E0F1DBA"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4A32E00E"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Land and buildings</w:t>
            </w:r>
          </w:p>
        </w:tc>
        <w:tc>
          <w:tcPr>
            <w:tcW w:w="905" w:type="dxa"/>
            <w:tcBorders>
              <w:top w:val="nil"/>
              <w:left w:val="nil"/>
              <w:bottom w:val="nil"/>
              <w:right w:val="nil"/>
            </w:tcBorders>
            <w:shd w:val="clear" w:color="auto" w:fill="auto"/>
            <w:noWrap/>
            <w:vAlign w:val="bottom"/>
            <w:hideMark/>
          </w:tcPr>
          <w:p w14:paraId="1CCA51E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580</w:t>
            </w:r>
          </w:p>
        </w:tc>
        <w:tc>
          <w:tcPr>
            <w:tcW w:w="810" w:type="dxa"/>
            <w:tcBorders>
              <w:top w:val="nil"/>
              <w:left w:val="nil"/>
              <w:bottom w:val="nil"/>
              <w:right w:val="nil"/>
            </w:tcBorders>
            <w:shd w:val="clear" w:color="000000" w:fill="D9D9D9"/>
            <w:noWrap/>
            <w:vAlign w:val="bottom"/>
            <w:hideMark/>
          </w:tcPr>
          <w:p w14:paraId="18B3E195"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201</w:t>
            </w:r>
          </w:p>
        </w:tc>
        <w:tc>
          <w:tcPr>
            <w:tcW w:w="821" w:type="dxa"/>
            <w:tcBorders>
              <w:top w:val="nil"/>
              <w:left w:val="nil"/>
              <w:bottom w:val="nil"/>
              <w:right w:val="nil"/>
            </w:tcBorders>
            <w:shd w:val="clear" w:color="auto" w:fill="auto"/>
            <w:noWrap/>
            <w:vAlign w:val="bottom"/>
            <w:hideMark/>
          </w:tcPr>
          <w:p w14:paraId="47E1D77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567</w:t>
            </w:r>
          </w:p>
        </w:tc>
        <w:tc>
          <w:tcPr>
            <w:tcW w:w="821" w:type="dxa"/>
            <w:tcBorders>
              <w:top w:val="nil"/>
              <w:left w:val="nil"/>
              <w:bottom w:val="nil"/>
              <w:right w:val="nil"/>
            </w:tcBorders>
            <w:shd w:val="clear" w:color="auto" w:fill="auto"/>
            <w:noWrap/>
            <w:vAlign w:val="bottom"/>
            <w:hideMark/>
          </w:tcPr>
          <w:p w14:paraId="3E149F64"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228</w:t>
            </w:r>
          </w:p>
        </w:tc>
        <w:tc>
          <w:tcPr>
            <w:tcW w:w="821" w:type="dxa"/>
            <w:tcBorders>
              <w:top w:val="nil"/>
              <w:left w:val="nil"/>
              <w:bottom w:val="nil"/>
              <w:right w:val="nil"/>
            </w:tcBorders>
            <w:shd w:val="clear" w:color="auto" w:fill="auto"/>
            <w:noWrap/>
            <w:vAlign w:val="bottom"/>
            <w:hideMark/>
          </w:tcPr>
          <w:p w14:paraId="38339605"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652</w:t>
            </w:r>
          </w:p>
        </w:tc>
      </w:tr>
      <w:tr w:rsidR="00D44A98" w:rsidRPr="00D44A98" w14:paraId="370546EC"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14F42F3B"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Property, plant and equipment</w:t>
            </w:r>
          </w:p>
        </w:tc>
        <w:tc>
          <w:tcPr>
            <w:tcW w:w="905" w:type="dxa"/>
            <w:tcBorders>
              <w:top w:val="nil"/>
              <w:left w:val="nil"/>
              <w:bottom w:val="nil"/>
              <w:right w:val="nil"/>
            </w:tcBorders>
            <w:shd w:val="clear" w:color="auto" w:fill="auto"/>
            <w:noWrap/>
            <w:vAlign w:val="bottom"/>
            <w:hideMark/>
          </w:tcPr>
          <w:p w14:paraId="76C4A8EC"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224</w:t>
            </w:r>
          </w:p>
        </w:tc>
        <w:tc>
          <w:tcPr>
            <w:tcW w:w="810" w:type="dxa"/>
            <w:tcBorders>
              <w:top w:val="nil"/>
              <w:left w:val="nil"/>
              <w:bottom w:val="nil"/>
              <w:right w:val="nil"/>
            </w:tcBorders>
            <w:shd w:val="clear" w:color="000000" w:fill="D9D9D9"/>
            <w:noWrap/>
            <w:vAlign w:val="bottom"/>
            <w:hideMark/>
          </w:tcPr>
          <w:p w14:paraId="7191524E"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238</w:t>
            </w:r>
          </w:p>
        </w:tc>
        <w:tc>
          <w:tcPr>
            <w:tcW w:w="821" w:type="dxa"/>
            <w:tcBorders>
              <w:top w:val="nil"/>
              <w:left w:val="nil"/>
              <w:bottom w:val="nil"/>
              <w:right w:val="nil"/>
            </w:tcBorders>
            <w:shd w:val="clear" w:color="auto" w:fill="auto"/>
            <w:noWrap/>
            <w:vAlign w:val="bottom"/>
            <w:hideMark/>
          </w:tcPr>
          <w:p w14:paraId="6F0F5BD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246</w:t>
            </w:r>
          </w:p>
        </w:tc>
        <w:tc>
          <w:tcPr>
            <w:tcW w:w="821" w:type="dxa"/>
            <w:tcBorders>
              <w:top w:val="nil"/>
              <w:left w:val="nil"/>
              <w:bottom w:val="nil"/>
              <w:right w:val="nil"/>
            </w:tcBorders>
            <w:shd w:val="clear" w:color="auto" w:fill="auto"/>
            <w:noWrap/>
            <w:vAlign w:val="bottom"/>
            <w:hideMark/>
          </w:tcPr>
          <w:p w14:paraId="3B4246E7"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267</w:t>
            </w:r>
          </w:p>
        </w:tc>
        <w:tc>
          <w:tcPr>
            <w:tcW w:w="821" w:type="dxa"/>
            <w:tcBorders>
              <w:top w:val="nil"/>
              <w:left w:val="nil"/>
              <w:bottom w:val="nil"/>
              <w:right w:val="nil"/>
            </w:tcBorders>
            <w:shd w:val="clear" w:color="auto" w:fill="auto"/>
            <w:noWrap/>
            <w:vAlign w:val="bottom"/>
            <w:hideMark/>
          </w:tcPr>
          <w:p w14:paraId="78A6EDF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237</w:t>
            </w:r>
          </w:p>
        </w:tc>
      </w:tr>
      <w:tr w:rsidR="00D44A98" w:rsidRPr="00D44A98" w14:paraId="7A860165"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607EAC2A"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Intangibles</w:t>
            </w:r>
          </w:p>
        </w:tc>
        <w:tc>
          <w:tcPr>
            <w:tcW w:w="905" w:type="dxa"/>
            <w:tcBorders>
              <w:top w:val="nil"/>
              <w:left w:val="nil"/>
              <w:bottom w:val="nil"/>
              <w:right w:val="nil"/>
            </w:tcBorders>
            <w:shd w:val="clear" w:color="auto" w:fill="auto"/>
            <w:noWrap/>
            <w:vAlign w:val="bottom"/>
            <w:hideMark/>
          </w:tcPr>
          <w:p w14:paraId="769FBEB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684</w:t>
            </w:r>
          </w:p>
        </w:tc>
        <w:tc>
          <w:tcPr>
            <w:tcW w:w="810" w:type="dxa"/>
            <w:tcBorders>
              <w:top w:val="nil"/>
              <w:left w:val="nil"/>
              <w:bottom w:val="nil"/>
              <w:right w:val="nil"/>
            </w:tcBorders>
            <w:shd w:val="clear" w:color="000000" w:fill="D9D9D9"/>
            <w:noWrap/>
            <w:vAlign w:val="bottom"/>
            <w:hideMark/>
          </w:tcPr>
          <w:p w14:paraId="69637AAB"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644</w:t>
            </w:r>
          </w:p>
        </w:tc>
        <w:tc>
          <w:tcPr>
            <w:tcW w:w="821" w:type="dxa"/>
            <w:tcBorders>
              <w:top w:val="nil"/>
              <w:left w:val="nil"/>
              <w:bottom w:val="nil"/>
              <w:right w:val="nil"/>
            </w:tcBorders>
            <w:shd w:val="clear" w:color="auto" w:fill="auto"/>
            <w:noWrap/>
            <w:vAlign w:val="bottom"/>
            <w:hideMark/>
          </w:tcPr>
          <w:p w14:paraId="2865E164"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551</w:t>
            </w:r>
          </w:p>
        </w:tc>
        <w:tc>
          <w:tcPr>
            <w:tcW w:w="821" w:type="dxa"/>
            <w:tcBorders>
              <w:top w:val="nil"/>
              <w:left w:val="nil"/>
              <w:bottom w:val="nil"/>
              <w:right w:val="nil"/>
            </w:tcBorders>
            <w:shd w:val="clear" w:color="auto" w:fill="auto"/>
            <w:noWrap/>
            <w:vAlign w:val="bottom"/>
            <w:hideMark/>
          </w:tcPr>
          <w:p w14:paraId="6784890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497</w:t>
            </w:r>
          </w:p>
        </w:tc>
        <w:tc>
          <w:tcPr>
            <w:tcW w:w="821" w:type="dxa"/>
            <w:tcBorders>
              <w:top w:val="nil"/>
              <w:left w:val="nil"/>
              <w:bottom w:val="nil"/>
              <w:right w:val="nil"/>
            </w:tcBorders>
            <w:shd w:val="clear" w:color="auto" w:fill="auto"/>
            <w:noWrap/>
            <w:vAlign w:val="bottom"/>
            <w:hideMark/>
          </w:tcPr>
          <w:p w14:paraId="628A9BC0"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472</w:t>
            </w:r>
          </w:p>
        </w:tc>
      </w:tr>
      <w:tr w:rsidR="00D44A98" w:rsidRPr="00D44A98" w14:paraId="0EA2A5DA"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01F06812"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Other</w:t>
            </w:r>
          </w:p>
        </w:tc>
        <w:tc>
          <w:tcPr>
            <w:tcW w:w="905" w:type="dxa"/>
            <w:tcBorders>
              <w:top w:val="nil"/>
              <w:left w:val="nil"/>
              <w:bottom w:val="nil"/>
              <w:right w:val="nil"/>
            </w:tcBorders>
            <w:shd w:val="clear" w:color="auto" w:fill="auto"/>
            <w:noWrap/>
            <w:vAlign w:val="bottom"/>
            <w:hideMark/>
          </w:tcPr>
          <w:p w14:paraId="7ED52F0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121</w:t>
            </w:r>
          </w:p>
        </w:tc>
        <w:tc>
          <w:tcPr>
            <w:tcW w:w="810" w:type="dxa"/>
            <w:tcBorders>
              <w:top w:val="nil"/>
              <w:left w:val="nil"/>
              <w:bottom w:val="nil"/>
              <w:right w:val="nil"/>
            </w:tcBorders>
            <w:shd w:val="clear" w:color="000000" w:fill="D9D9D9"/>
            <w:noWrap/>
            <w:vAlign w:val="bottom"/>
            <w:hideMark/>
          </w:tcPr>
          <w:p w14:paraId="537B5F5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121</w:t>
            </w:r>
          </w:p>
        </w:tc>
        <w:tc>
          <w:tcPr>
            <w:tcW w:w="821" w:type="dxa"/>
            <w:tcBorders>
              <w:top w:val="nil"/>
              <w:left w:val="nil"/>
              <w:bottom w:val="nil"/>
              <w:right w:val="nil"/>
            </w:tcBorders>
            <w:shd w:val="clear" w:color="auto" w:fill="auto"/>
            <w:noWrap/>
            <w:vAlign w:val="bottom"/>
            <w:hideMark/>
          </w:tcPr>
          <w:p w14:paraId="3F048390"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121</w:t>
            </w:r>
          </w:p>
        </w:tc>
        <w:tc>
          <w:tcPr>
            <w:tcW w:w="821" w:type="dxa"/>
            <w:tcBorders>
              <w:top w:val="nil"/>
              <w:left w:val="nil"/>
              <w:bottom w:val="nil"/>
              <w:right w:val="nil"/>
            </w:tcBorders>
            <w:shd w:val="clear" w:color="auto" w:fill="auto"/>
            <w:noWrap/>
            <w:vAlign w:val="bottom"/>
            <w:hideMark/>
          </w:tcPr>
          <w:p w14:paraId="2B37FCB0"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121</w:t>
            </w:r>
          </w:p>
        </w:tc>
        <w:tc>
          <w:tcPr>
            <w:tcW w:w="821" w:type="dxa"/>
            <w:tcBorders>
              <w:top w:val="nil"/>
              <w:left w:val="nil"/>
              <w:bottom w:val="nil"/>
              <w:right w:val="nil"/>
            </w:tcBorders>
            <w:shd w:val="clear" w:color="auto" w:fill="auto"/>
            <w:noWrap/>
            <w:vAlign w:val="bottom"/>
            <w:hideMark/>
          </w:tcPr>
          <w:p w14:paraId="1DE5A975"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121</w:t>
            </w:r>
          </w:p>
        </w:tc>
      </w:tr>
      <w:tr w:rsidR="00D44A98" w:rsidRPr="00D44A98" w14:paraId="7C6FBEFE"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10C16674" w14:textId="77777777" w:rsidR="00D44A98" w:rsidRPr="00D44A98" w:rsidRDefault="00D44A98" w:rsidP="00D44A98">
            <w:pPr>
              <w:spacing w:after="0"/>
              <w:ind w:firstLineChars="200" w:firstLine="320"/>
              <w:rPr>
                <w:rFonts w:ascii="Arial" w:hAnsi="Arial" w:cs="Arial"/>
                <w:b/>
                <w:bCs/>
                <w:sz w:val="16"/>
                <w:szCs w:val="16"/>
              </w:rPr>
            </w:pPr>
            <w:r w:rsidRPr="00D44A98">
              <w:rPr>
                <w:rFonts w:ascii="Arial" w:hAnsi="Arial" w:cs="Arial"/>
                <w:b/>
                <w:bCs/>
                <w:sz w:val="16"/>
                <w:szCs w:val="16"/>
              </w:rPr>
              <w:t>Total non-financial assets</w:t>
            </w:r>
          </w:p>
        </w:tc>
        <w:tc>
          <w:tcPr>
            <w:tcW w:w="905" w:type="dxa"/>
            <w:tcBorders>
              <w:top w:val="nil"/>
              <w:left w:val="nil"/>
              <w:bottom w:val="single" w:sz="4" w:space="0" w:color="auto"/>
              <w:right w:val="nil"/>
            </w:tcBorders>
            <w:shd w:val="clear" w:color="auto" w:fill="auto"/>
            <w:noWrap/>
            <w:vAlign w:val="bottom"/>
            <w:hideMark/>
          </w:tcPr>
          <w:p w14:paraId="668423D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1,609</w:t>
            </w:r>
          </w:p>
        </w:tc>
        <w:tc>
          <w:tcPr>
            <w:tcW w:w="810" w:type="dxa"/>
            <w:tcBorders>
              <w:top w:val="nil"/>
              <w:left w:val="nil"/>
              <w:bottom w:val="single" w:sz="4" w:space="0" w:color="auto"/>
              <w:right w:val="nil"/>
            </w:tcBorders>
            <w:shd w:val="clear" w:color="000000" w:fill="D9D9D9"/>
            <w:noWrap/>
            <w:vAlign w:val="bottom"/>
            <w:hideMark/>
          </w:tcPr>
          <w:p w14:paraId="765FD5A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1,204</w:t>
            </w:r>
          </w:p>
        </w:tc>
        <w:tc>
          <w:tcPr>
            <w:tcW w:w="821" w:type="dxa"/>
            <w:tcBorders>
              <w:top w:val="nil"/>
              <w:left w:val="nil"/>
              <w:bottom w:val="single" w:sz="4" w:space="0" w:color="auto"/>
              <w:right w:val="nil"/>
            </w:tcBorders>
            <w:shd w:val="clear" w:color="000000" w:fill="FFFFFF"/>
            <w:noWrap/>
            <w:vAlign w:val="bottom"/>
            <w:hideMark/>
          </w:tcPr>
          <w:p w14:paraId="55956799"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1,485</w:t>
            </w:r>
          </w:p>
        </w:tc>
        <w:tc>
          <w:tcPr>
            <w:tcW w:w="821" w:type="dxa"/>
            <w:tcBorders>
              <w:top w:val="nil"/>
              <w:left w:val="nil"/>
              <w:bottom w:val="single" w:sz="4" w:space="0" w:color="auto"/>
              <w:right w:val="nil"/>
            </w:tcBorders>
            <w:shd w:val="clear" w:color="000000" w:fill="FFFFFF"/>
            <w:noWrap/>
            <w:vAlign w:val="bottom"/>
            <w:hideMark/>
          </w:tcPr>
          <w:p w14:paraId="5FB44E4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1,113</w:t>
            </w:r>
          </w:p>
        </w:tc>
        <w:tc>
          <w:tcPr>
            <w:tcW w:w="821" w:type="dxa"/>
            <w:tcBorders>
              <w:top w:val="nil"/>
              <w:left w:val="nil"/>
              <w:bottom w:val="single" w:sz="4" w:space="0" w:color="auto"/>
              <w:right w:val="nil"/>
            </w:tcBorders>
            <w:shd w:val="clear" w:color="000000" w:fill="FFFFFF"/>
            <w:noWrap/>
            <w:vAlign w:val="bottom"/>
            <w:hideMark/>
          </w:tcPr>
          <w:p w14:paraId="232C7AC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1,482</w:t>
            </w:r>
          </w:p>
        </w:tc>
      </w:tr>
      <w:tr w:rsidR="00D44A98" w:rsidRPr="00D44A98" w14:paraId="0A143444"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65FF2323"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Total assets</w:t>
            </w:r>
          </w:p>
        </w:tc>
        <w:tc>
          <w:tcPr>
            <w:tcW w:w="905" w:type="dxa"/>
            <w:tcBorders>
              <w:top w:val="nil"/>
              <w:left w:val="nil"/>
              <w:bottom w:val="single" w:sz="4" w:space="0" w:color="auto"/>
              <w:right w:val="nil"/>
            </w:tcBorders>
            <w:shd w:val="clear" w:color="auto" w:fill="auto"/>
            <w:noWrap/>
            <w:vAlign w:val="bottom"/>
            <w:hideMark/>
          </w:tcPr>
          <w:p w14:paraId="07F3E224"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4,261</w:t>
            </w:r>
          </w:p>
        </w:tc>
        <w:tc>
          <w:tcPr>
            <w:tcW w:w="810" w:type="dxa"/>
            <w:tcBorders>
              <w:top w:val="nil"/>
              <w:left w:val="nil"/>
              <w:bottom w:val="single" w:sz="4" w:space="0" w:color="auto"/>
              <w:right w:val="nil"/>
            </w:tcBorders>
            <w:shd w:val="clear" w:color="000000" w:fill="D9D9D9"/>
            <w:noWrap/>
            <w:vAlign w:val="bottom"/>
            <w:hideMark/>
          </w:tcPr>
          <w:p w14:paraId="32372C30"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3,856</w:t>
            </w:r>
          </w:p>
        </w:tc>
        <w:tc>
          <w:tcPr>
            <w:tcW w:w="821" w:type="dxa"/>
            <w:tcBorders>
              <w:top w:val="nil"/>
              <w:left w:val="nil"/>
              <w:bottom w:val="single" w:sz="4" w:space="0" w:color="auto"/>
              <w:right w:val="nil"/>
            </w:tcBorders>
            <w:shd w:val="clear" w:color="auto" w:fill="auto"/>
            <w:noWrap/>
            <w:vAlign w:val="bottom"/>
            <w:hideMark/>
          </w:tcPr>
          <w:p w14:paraId="09A6EE41"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4,137</w:t>
            </w:r>
          </w:p>
        </w:tc>
        <w:tc>
          <w:tcPr>
            <w:tcW w:w="821" w:type="dxa"/>
            <w:tcBorders>
              <w:top w:val="nil"/>
              <w:left w:val="nil"/>
              <w:bottom w:val="single" w:sz="4" w:space="0" w:color="auto"/>
              <w:right w:val="nil"/>
            </w:tcBorders>
            <w:shd w:val="clear" w:color="auto" w:fill="auto"/>
            <w:noWrap/>
            <w:vAlign w:val="bottom"/>
            <w:hideMark/>
          </w:tcPr>
          <w:p w14:paraId="640EEBA8"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3,765</w:t>
            </w:r>
          </w:p>
        </w:tc>
        <w:tc>
          <w:tcPr>
            <w:tcW w:w="821" w:type="dxa"/>
            <w:tcBorders>
              <w:top w:val="nil"/>
              <w:left w:val="nil"/>
              <w:bottom w:val="single" w:sz="4" w:space="0" w:color="auto"/>
              <w:right w:val="nil"/>
            </w:tcBorders>
            <w:shd w:val="clear" w:color="auto" w:fill="auto"/>
            <w:noWrap/>
            <w:vAlign w:val="bottom"/>
            <w:hideMark/>
          </w:tcPr>
          <w:p w14:paraId="2B738724"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4,134</w:t>
            </w:r>
          </w:p>
        </w:tc>
      </w:tr>
      <w:tr w:rsidR="00D44A98" w:rsidRPr="00D44A98" w14:paraId="4F83DC1C" w14:textId="77777777" w:rsidTr="00D44A98">
        <w:trPr>
          <w:trHeight w:val="283"/>
          <w:jc w:val="center"/>
        </w:trPr>
        <w:tc>
          <w:tcPr>
            <w:tcW w:w="2962" w:type="dxa"/>
            <w:tcBorders>
              <w:top w:val="nil"/>
              <w:left w:val="nil"/>
              <w:bottom w:val="nil"/>
              <w:right w:val="nil"/>
            </w:tcBorders>
            <w:shd w:val="clear" w:color="auto" w:fill="auto"/>
            <w:noWrap/>
            <w:vAlign w:val="bottom"/>
            <w:hideMark/>
          </w:tcPr>
          <w:p w14:paraId="4425D36B"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LIABILITIES</w:t>
            </w:r>
          </w:p>
        </w:tc>
        <w:tc>
          <w:tcPr>
            <w:tcW w:w="905" w:type="dxa"/>
            <w:tcBorders>
              <w:top w:val="nil"/>
              <w:left w:val="nil"/>
              <w:bottom w:val="nil"/>
              <w:right w:val="nil"/>
            </w:tcBorders>
            <w:shd w:val="clear" w:color="auto" w:fill="auto"/>
            <w:noWrap/>
            <w:vAlign w:val="bottom"/>
            <w:hideMark/>
          </w:tcPr>
          <w:p w14:paraId="7A2C8AFB" w14:textId="77777777" w:rsidR="00D44A98" w:rsidRPr="00D44A98" w:rsidRDefault="00D44A98" w:rsidP="00D44A98">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19DCBA9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43EF12FD"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5B84F79"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4ACDAD72" w14:textId="77777777" w:rsidR="00D44A98" w:rsidRPr="00D44A98" w:rsidRDefault="00D44A98" w:rsidP="00D44A98">
            <w:pPr>
              <w:spacing w:after="0"/>
              <w:jc w:val="right"/>
              <w:rPr>
                <w:rFonts w:ascii="Times New Roman" w:hAnsi="Times New Roman"/>
                <w:color w:val="auto"/>
              </w:rPr>
            </w:pPr>
          </w:p>
        </w:tc>
      </w:tr>
      <w:tr w:rsidR="00D44A98" w:rsidRPr="00D44A98" w14:paraId="4745AA5C"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109FF504"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Payables</w:t>
            </w:r>
          </w:p>
        </w:tc>
        <w:tc>
          <w:tcPr>
            <w:tcW w:w="905" w:type="dxa"/>
            <w:tcBorders>
              <w:top w:val="nil"/>
              <w:left w:val="nil"/>
              <w:bottom w:val="nil"/>
              <w:right w:val="nil"/>
            </w:tcBorders>
            <w:shd w:val="clear" w:color="auto" w:fill="auto"/>
            <w:noWrap/>
            <w:vAlign w:val="bottom"/>
            <w:hideMark/>
          </w:tcPr>
          <w:p w14:paraId="638761EF" w14:textId="77777777" w:rsidR="00D44A98" w:rsidRPr="00D44A98" w:rsidRDefault="00D44A98" w:rsidP="00D44A9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5BC4F29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2D9BE38D"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0755763"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40A64F86" w14:textId="77777777" w:rsidR="00D44A98" w:rsidRPr="00D44A98" w:rsidRDefault="00D44A98" w:rsidP="00D44A98">
            <w:pPr>
              <w:spacing w:after="0"/>
              <w:jc w:val="right"/>
              <w:rPr>
                <w:rFonts w:ascii="Times New Roman" w:hAnsi="Times New Roman"/>
                <w:color w:val="auto"/>
              </w:rPr>
            </w:pPr>
          </w:p>
        </w:tc>
      </w:tr>
      <w:tr w:rsidR="00D44A98" w:rsidRPr="00D44A98" w14:paraId="5BAAA58A"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56A56DBA"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Suppliers</w:t>
            </w:r>
          </w:p>
        </w:tc>
        <w:tc>
          <w:tcPr>
            <w:tcW w:w="905" w:type="dxa"/>
            <w:tcBorders>
              <w:top w:val="nil"/>
              <w:left w:val="nil"/>
              <w:bottom w:val="nil"/>
              <w:right w:val="nil"/>
            </w:tcBorders>
            <w:shd w:val="clear" w:color="auto" w:fill="auto"/>
            <w:noWrap/>
            <w:vAlign w:val="bottom"/>
            <w:hideMark/>
          </w:tcPr>
          <w:p w14:paraId="236F5E6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410</w:t>
            </w:r>
          </w:p>
        </w:tc>
        <w:tc>
          <w:tcPr>
            <w:tcW w:w="810" w:type="dxa"/>
            <w:tcBorders>
              <w:top w:val="nil"/>
              <w:left w:val="nil"/>
              <w:bottom w:val="nil"/>
              <w:right w:val="nil"/>
            </w:tcBorders>
            <w:shd w:val="clear" w:color="000000" w:fill="D9D9D9"/>
            <w:noWrap/>
            <w:vAlign w:val="bottom"/>
            <w:hideMark/>
          </w:tcPr>
          <w:p w14:paraId="0285432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410</w:t>
            </w:r>
          </w:p>
        </w:tc>
        <w:tc>
          <w:tcPr>
            <w:tcW w:w="821" w:type="dxa"/>
            <w:tcBorders>
              <w:top w:val="nil"/>
              <w:left w:val="nil"/>
              <w:bottom w:val="nil"/>
              <w:right w:val="nil"/>
            </w:tcBorders>
            <w:shd w:val="clear" w:color="auto" w:fill="auto"/>
            <w:noWrap/>
            <w:vAlign w:val="bottom"/>
            <w:hideMark/>
          </w:tcPr>
          <w:p w14:paraId="4D6CF4D2"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410</w:t>
            </w:r>
          </w:p>
        </w:tc>
        <w:tc>
          <w:tcPr>
            <w:tcW w:w="821" w:type="dxa"/>
            <w:tcBorders>
              <w:top w:val="nil"/>
              <w:left w:val="nil"/>
              <w:bottom w:val="nil"/>
              <w:right w:val="nil"/>
            </w:tcBorders>
            <w:shd w:val="clear" w:color="auto" w:fill="auto"/>
            <w:noWrap/>
            <w:vAlign w:val="bottom"/>
            <w:hideMark/>
          </w:tcPr>
          <w:p w14:paraId="67F9001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410</w:t>
            </w:r>
          </w:p>
        </w:tc>
        <w:tc>
          <w:tcPr>
            <w:tcW w:w="821" w:type="dxa"/>
            <w:tcBorders>
              <w:top w:val="nil"/>
              <w:left w:val="nil"/>
              <w:bottom w:val="nil"/>
              <w:right w:val="nil"/>
            </w:tcBorders>
            <w:shd w:val="clear" w:color="auto" w:fill="auto"/>
            <w:noWrap/>
            <w:vAlign w:val="bottom"/>
            <w:hideMark/>
          </w:tcPr>
          <w:p w14:paraId="5685877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410</w:t>
            </w:r>
          </w:p>
        </w:tc>
      </w:tr>
      <w:tr w:rsidR="00D44A98" w:rsidRPr="00D44A98" w14:paraId="576554F5"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3C9D79A6"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Other payables</w:t>
            </w:r>
          </w:p>
        </w:tc>
        <w:tc>
          <w:tcPr>
            <w:tcW w:w="905" w:type="dxa"/>
            <w:tcBorders>
              <w:top w:val="nil"/>
              <w:left w:val="nil"/>
              <w:bottom w:val="nil"/>
              <w:right w:val="nil"/>
            </w:tcBorders>
            <w:shd w:val="clear" w:color="auto" w:fill="auto"/>
            <w:noWrap/>
            <w:vAlign w:val="bottom"/>
            <w:hideMark/>
          </w:tcPr>
          <w:p w14:paraId="005098F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164</w:t>
            </w:r>
          </w:p>
        </w:tc>
        <w:tc>
          <w:tcPr>
            <w:tcW w:w="810" w:type="dxa"/>
            <w:tcBorders>
              <w:top w:val="nil"/>
              <w:left w:val="nil"/>
              <w:bottom w:val="nil"/>
              <w:right w:val="nil"/>
            </w:tcBorders>
            <w:shd w:val="clear" w:color="000000" w:fill="D9D9D9"/>
            <w:noWrap/>
            <w:vAlign w:val="bottom"/>
            <w:hideMark/>
          </w:tcPr>
          <w:p w14:paraId="2F09166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164</w:t>
            </w:r>
          </w:p>
        </w:tc>
        <w:tc>
          <w:tcPr>
            <w:tcW w:w="821" w:type="dxa"/>
            <w:tcBorders>
              <w:top w:val="nil"/>
              <w:left w:val="nil"/>
              <w:bottom w:val="nil"/>
              <w:right w:val="nil"/>
            </w:tcBorders>
            <w:shd w:val="clear" w:color="auto" w:fill="auto"/>
            <w:noWrap/>
            <w:vAlign w:val="bottom"/>
            <w:hideMark/>
          </w:tcPr>
          <w:p w14:paraId="0AACF24B"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164</w:t>
            </w:r>
          </w:p>
        </w:tc>
        <w:tc>
          <w:tcPr>
            <w:tcW w:w="821" w:type="dxa"/>
            <w:tcBorders>
              <w:top w:val="nil"/>
              <w:left w:val="nil"/>
              <w:bottom w:val="nil"/>
              <w:right w:val="nil"/>
            </w:tcBorders>
            <w:shd w:val="clear" w:color="auto" w:fill="auto"/>
            <w:noWrap/>
            <w:vAlign w:val="bottom"/>
            <w:hideMark/>
          </w:tcPr>
          <w:p w14:paraId="27D7E1B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164</w:t>
            </w:r>
          </w:p>
        </w:tc>
        <w:tc>
          <w:tcPr>
            <w:tcW w:w="821" w:type="dxa"/>
            <w:tcBorders>
              <w:top w:val="nil"/>
              <w:left w:val="nil"/>
              <w:bottom w:val="nil"/>
              <w:right w:val="nil"/>
            </w:tcBorders>
            <w:shd w:val="clear" w:color="auto" w:fill="auto"/>
            <w:noWrap/>
            <w:vAlign w:val="bottom"/>
            <w:hideMark/>
          </w:tcPr>
          <w:p w14:paraId="1FFA10DB"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164</w:t>
            </w:r>
          </w:p>
        </w:tc>
      </w:tr>
      <w:tr w:rsidR="00D44A98" w:rsidRPr="00D44A98" w14:paraId="783A917F"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65792C12" w14:textId="77777777" w:rsidR="00D44A98" w:rsidRPr="00D44A98" w:rsidRDefault="00D44A98" w:rsidP="00D44A98">
            <w:pPr>
              <w:spacing w:after="0"/>
              <w:ind w:firstLineChars="200" w:firstLine="320"/>
              <w:rPr>
                <w:rFonts w:ascii="Arial" w:hAnsi="Arial" w:cs="Arial"/>
                <w:b/>
                <w:bCs/>
                <w:sz w:val="16"/>
                <w:szCs w:val="16"/>
              </w:rPr>
            </w:pPr>
            <w:r w:rsidRPr="00D44A98">
              <w:rPr>
                <w:rFonts w:ascii="Arial" w:hAnsi="Arial" w:cs="Arial"/>
                <w:b/>
                <w:bCs/>
                <w:sz w:val="16"/>
                <w:szCs w:val="16"/>
              </w:rPr>
              <w:t>Total payables</w:t>
            </w:r>
          </w:p>
        </w:tc>
        <w:tc>
          <w:tcPr>
            <w:tcW w:w="905" w:type="dxa"/>
            <w:tcBorders>
              <w:top w:val="nil"/>
              <w:left w:val="nil"/>
              <w:bottom w:val="single" w:sz="4" w:space="0" w:color="auto"/>
              <w:right w:val="nil"/>
            </w:tcBorders>
            <w:shd w:val="clear" w:color="auto" w:fill="auto"/>
            <w:noWrap/>
            <w:vAlign w:val="bottom"/>
            <w:hideMark/>
          </w:tcPr>
          <w:p w14:paraId="749C8C0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574</w:t>
            </w:r>
          </w:p>
        </w:tc>
        <w:tc>
          <w:tcPr>
            <w:tcW w:w="810" w:type="dxa"/>
            <w:tcBorders>
              <w:top w:val="nil"/>
              <w:left w:val="nil"/>
              <w:bottom w:val="single" w:sz="4" w:space="0" w:color="auto"/>
              <w:right w:val="nil"/>
            </w:tcBorders>
            <w:shd w:val="clear" w:color="000000" w:fill="D9D9D9"/>
            <w:noWrap/>
            <w:vAlign w:val="bottom"/>
            <w:hideMark/>
          </w:tcPr>
          <w:p w14:paraId="34B59C93"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574</w:t>
            </w:r>
          </w:p>
        </w:tc>
        <w:tc>
          <w:tcPr>
            <w:tcW w:w="821" w:type="dxa"/>
            <w:tcBorders>
              <w:top w:val="nil"/>
              <w:left w:val="nil"/>
              <w:bottom w:val="single" w:sz="4" w:space="0" w:color="auto"/>
              <w:right w:val="nil"/>
            </w:tcBorders>
            <w:shd w:val="clear" w:color="auto" w:fill="auto"/>
            <w:noWrap/>
            <w:vAlign w:val="bottom"/>
            <w:hideMark/>
          </w:tcPr>
          <w:p w14:paraId="364482C1"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574</w:t>
            </w:r>
          </w:p>
        </w:tc>
        <w:tc>
          <w:tcPr>
            <w:tcW w:w="821" w:type="dxa"/>
            <w:tcBorders>
              <w:top w:val="nil"/>
              <w:left w:val="nil"/>
              <w:bottom w:val="single" w:sz="4" w:space="0" w:color="auto"/>
              <w:right w:val="nil"/>
            </w:tcBorders>
            <w:shd w:val="clear" w:color="auto" w:fill="auto"/>
            <w:noWrap/>
            <w:vAlign w:val="bottom"/>
            <w:hideMark/>
          </w:tcPr>
          <w:p w14:paraId="7D58E74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574</w:t>
            </w:r>
          </w:p>
        </w:tc>
        <w:tc>
          <w:tcPr>
            <w:tcW w:w="821" w:type="dxa"/>
            <w:tcBorders>
              <w:top w:val="nil"/>
              <w:left w:val="nil"/>
              <w:bottom w:val="single" w:sz="4" w:space="0" w:color="auto"/>
              <w:right w:val="nil"/>
            </w:tcBorders>
            <w:shd w:val="clear" w:color="auto" w:fill="auto"/>
            <w:noWrap/>
            <w:vAlign w:val="bottom"/>
            <w:hideMark/>
          </w:tcPr>
          <w:p w14:paraId="56AE4FD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574</w:t>
            </w:r>
          </w:p>
        </w:tc>
      </w:tr>
      <w:tr w:rsidR="00D44A98" w:rsidRPr="00D44A98" w14:paraId="4141CA92" w14:textId="77777777" w:rsidTr="00D44A98">
        <w:trPr>
          <w:trHeight w:val="300"/>
          <w:jc w:val="center"/>
        </w:trPr>
        <w:tc>
          <w:tcPr>
            <w:tcW w:w="2962" w:type="dxa"/>
            <w:tcBorders>
              <w:top w:val="nil"/>
              <w:left w:val="nil"/>
              <w:bottom w:val="nil"/>
              <w:right w:val="nil"/>
            </w:tcBorders>
            <w:shd w:val="clear" w:color="auto" w:fill="auto"/>
            <w:noWrap/>
            <w:vAlign w:val="bottom"/>
            <w:hideMark/>
          </w:tcPr>
          <w:p w14:paraId="79ECA886"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Interest bearing liabilities</w:t>
            </w:r>
          </w:p>
        </w:tc>
        <w:tc>
          <w:tcPr>
            <w:tcW w:w="905" w:type="dxa"/>
            <w:tcBorders>
              <w:top w:val="nil"/>
              <w:left w:val="nil"/>
              <w:bottom w:val="nil"/>
              <w:right w:val="nil"/>
            </w:tcBorders>
            <w:shd w:val="clear" w:color="auto" w:fill="auto"/>
            <w:noWrap/>
            <w:vAlign w:val="bottom"/>
            <w:hideMark/>
          </w:tcPr>
          <w:p w14:paraId="070A1265" w14:textId="77777777" w:rsidR="00D44A98" w:rsidRPr="00D44A98" w:rsidRDefault="00D44A98" w:rsidP="00D44A9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28706DF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7C370B7E"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6C0E984"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11CB59D4" w14:textId="77777777" w:rsidR="00D44A98" w:rsidRPr="00D44A98" w:rsidRDefault="00D44A98" w:rsidP="00D44A98">
            <w:pPr>
              <w:spacing w:after="0"/>
              <w:jc w:val="right"/>
              <w:rPr>
                <w:rFonts w:ascii="Times New Roman" w:hAnsi="Times New Roman"/>
                <w:color w:val="auto"/>
              </w:rPr>
            </w:pPr>
          </w:p>
        </w:tc>
      </w:tr>
      <w:tr w:rsidR="00D44A98" w:rsidRPr="00D44A98" w14:paraId="005C92BF"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1405117E"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Leases</w:t>
            </w:r>
          </w:p>
        </w:tc>
        <w:tc>
          <w:tcPr>
            <w:tcW w:w="905" w:type="dxa"/>
            <w:tcBorders>
              <w:top w:val="nil"/>
              <w:left w:val="nil"/>
              <w:bottom w:val="nil"/>
              <w:right w:val="nil"/>
            </w:tcBorders>
            <w:shd w:val="clear" w:color="auto" w:fill="auto"/>
            <w:noWrap/>
            <w:vAlign w:val="bottom"/>
            <w:hideMark/>
          </w:tcPr>
          <w:p w14:paraId="217CC912"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459</w:t>
            </w:r>
          </w:p>
        </w:tc>
        <w:tc>
          <w:tcPr>
            <w:tcW w:w="810" w:type="dxa"/>
            <w:tcBorders>
              <w:top w:val="nil"/>
              <w:left w:val="nil"/>
              <w:bottom w:val="nil"/>
              <w:right w:val="nil"/>
            </w:tcBorders>
            <w:shd w:val="clear" w:color="000000" w:fill="D9D9D9"/>
            <w:noWrap/>
            <w:vAlign w:val="bottom"/>
            <w:hideMark/>
          </w:tcPr>
          <w:p w14:paraId="4B3A7727"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144</w:t>
            </w:r>
          </w:p>
        </w:tc>
        <w:tc>
          <w:tcPr>
            <w:tcW w:w="821" w:type="dxa"/>
            <w:tcBorders>
              <w:top w:val="nil"/>
              <w:left w:val="nil"/>
              <w:bottom w:val="nil"/>
              <w:right w:val="nil"/>
            </w:tcBorders>
            <w:shd w:val="clear" w:color="auto" w:fill="auto"/>
            <w:noWrap/>
            <w:vAlign w:val="bottom"/>
            <w:hideMark/>
          </w:tcPr>
          <w:p w14:paraId="1CF9F52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543</w:t>
            </w:r>
          </w:p>
        </w:tc>
        <w:tc>
          <w:tcPr>
            <w:tcW w:w="821" w:type="dxa"/>
            <w:tcBorders>
              <w:top w:val="nil"/>
              <w:left w:val="nil"/>
              <w:bottom w:val="nil"/>
              <w:right w:val="nil"/>
            </w:tcBorders>
            <w:shd w:val="clear" w:color="auto" w:fill="auto"/>
            <w:noWrap/>
            <w:vAlign w:val="bottom"/>
            <w:hideMark/>
          </w:tcPr>
          <w:p w14:paraId="3C3F894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263</w:t>
            </w:r>
          </w:p>
        </w:tc>
        <w:tc>
          <w:tcPr>
            <w:tcW w:w="821" w:type="dxa"/>
            <w:tcBorders>
              <w:top w:val="nil"/>
              <w:left w:val="nil"/>
              <w:bottom w:val="nil"/>
              <w:right w:val="nil"/>
            </w:tcBorders>
            <w:shd w:val="clear" w:color="auto" w:fill="auto"/>
            <w:noWrap/>
            <w:vAlign w:val="bottom"/>
            <w:hideMark/>
          </w:tcPr>
          <w:p w14:paraId="6C833386"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720</w:t>
            </w:r>
          </w:p>
        </w:tc>
      </w:tr>
      <w:tr w:rsidR="00D44A98" w:rsidRPr="00D44A98" w14:paraId="46E19354"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7A764E9F" w14:textId="77777777" w:rsidR="00D44A98" w:rsidRPr="00D44A98" w:rsidRDefault="00D44A98" w:rsidP="00D44A98">
            <w:pPr>
              <w:spacing w:after="0"/>
              <w:ind w:firstLineChars="200" w:firstLine="320"/>
              <w:rPr>
                <w:rFonts w:ascii="Arial" w:hAnsi="Arial" w:cs="Arial"/>
                <w:b/>
                <w:bCs/>
                <w:sz w:val="16"/>
                <w:szCs w:val="16"/>
              </w:rPr>
            </w:pPr>
            <w:r w:rsidRPr="00D44A98">
              <w:rPr>
                <w:rFonts w:ascii="Arial" w:hAnsi="Arial" w:cs="Arial"/>
                <w:b/>
                <w:bCs/>
                <w:sz w:val="16"/>
                <w:szCs w:val="16"/>
              </w:rPr>
              <w:t>Total interest bearing liabilities</w:t>
            </w:r>
          </w:p>
        </w:tc>
        <w:tc>
          <w:tcPr>
            <w:tcW w:w="905" w:type="dxa"/>
            <w:tcBorders>
              <w:top w:val="nil"/>
              <w:left w:val="nil"/>
              <w:bottom w:val="single" w:sz="4" w:space="0" w:color="auto"/>
              <w:right w:val="nil"/>
            </w:tcBorders>
            <w:shd w:val="clear" w:color="auto" w:fill="auto"/>
            <w:noWrap/>
            <w:vAlign w:val="bottom"/>
            <w:hideMark/>
          </w:tcPr>
          <w:p w14:paraId="27B33488"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459</w:t>
            </w:r>
          </w:p>
        </w:tc>
        <w:tc>
          <w:tcPr>
            <w:tcW w:w="810" w:type="dxa"/>
            <w:tcBorders>
              <w:top w:val="nil"/>
              <w:left w:val="nil"/>
              <w:bottom w:val="single" w:sz="4" w:space="0" w:color="auto"/>
              <w:right w:val="nil"/>
            </w:tcBorders>
            <w:shd w:val="clear" w:color="000000" w:fill="D9D9D9"/>
            <w:noWrap/>
            <w:vAlign w:val="bottom"/>
            <w:hideMark/>
          </w:tcPr>
          <w:p w14:paraId="20F3168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144</w:t>
            </w:r>
          </w:p>
        </w:tc>
        <w:tc>
          <w:tcPr>
            <w:tcW w:w="821" w:type="dxa"/>
            <w:tcBorders>
              <w:top w:val="nil"/>
              <w:left w:val="nil"/>
              <w:bottom w:val="single" w:sz="4" w:space="0" w:color="auto"/>
              <w:right w:val="nil"/>
            </w:tcBorders>
            <w:shd w:val="clear" w:color="auto" w:fill="auto"/>
            <w:noWrap/>
            <w:vAlign w:val="bottom"/>
            <w:hideMark/>
          </w:tcPr>
          <w:p w14:paraId="28B51490"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543</w:t>
            </w:r>
          </w:p>
        </w:tc>
        <w:tc>
          <w:tcPr>
            <w:tcW w:w="821" w:type="dxa"/>
            <w:tcBorders>
              <w:top w:val="nil"/>
              <w:left w:val="nil"/>
              <w:bottom w:val="single" w:sz="4" w:space="0" w:color="auto"/>
              <w:right w:val="nil"/>
            </w:tcBorders>
            <w:shd w:val="clear" w:color="auto" w:fill="auto"/>
            <w:noWrap/>
            <w:vAlign w:val="bottom"/>
            <w:hideMark/>
          </w:tcPr>
          <w:p w14:paraId="45E29D06"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263</w:t>
            </w:r>
          </w:p>
        </w:tc>
        <w:tc>
          <w:tcPr>
            <w:tcW w:w="821" w:type="dxa"/>
            <w:tcBorders>
              <w:top w:val="nil"/>
              <w:left w:val="nil"/>
              <w:bottom w:val="single" w:sz="4" w:space="0" w:color="auto"/>
              <w:right w:val="nil"/>
            </w:tcBorders>
            <w:shd w:val="clear" w:color="auto" w:fill="auto"/>
            <w:noWrap/>
            <w:vAlign w:val="bottom"/>
            <w:hideMark/>
          </w:tcPr>
          <w:p w14:paraId="21AEB850"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720</w:t>
            </w:r>
          </w:p>
        </w:tc>
      </w:tr>
      <w:tr w:rsidR="00D44A98" w:rsidRPr="00D44A98" w14:paraId="5B643BA7" w14:textId="77777777" w:rsidTr="00D44A98">
        <w:trPr>
          <w:trHeight w:val="283"/>
          <w:jc w:val="center"/>
        </w:trPr>
        <w:tc>
          <w:tcPr>
            <w:tcW w:w="2962" w:type="dxa"/>
            <w:tcBorders>
              <w:top w:val="nil"/>
              <w:left w:val="nil"/>
              <w:bottom w:val="nil"/>
              <w:right w:val="nil"/>
            </w:tcBorders>
            <w:shd w:val="clear" w:color="auto" w:fill="auto"/>
            <w:noWrap/>
            <w:vAlign w:val="bottom"/>
            <w:hideMark/>
          </w:tcPr>
          <w:p w14:paraId="56DDD52E"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Provisions</w:t>
            </w:r>
          </w:p>
        </w:tc>
        <w:tc>
          <w:tcPr>
            <w:tcW w:w="905" w:type="dxa"/>
            <w:tcBorders>
              <w:top w:val="nil"/>
              <w:left w:val="nil"/>
              <w:bottom w:val="nil"/>
              <w:right w:val="nil"/>
            </w:tcBorders>
            <w:shd w:val="clear" w:color="auto" w:fill="auto"/>
            <w:noWrap/>
            <w:vAlign w:val="bottom"/>
            <w:hideMark/>
          </w:tcPr>
          <w:p w14:paraId="1748337C" w14:textId="77777777" w:rsidR="00D44A98" w:rsidRPr="00D44A98" w:rsidRDefault="00D44A98" w:rsidP="00D44A9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47EBD37E"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3D1D727F"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DBE574B"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7A2793F6" w14:textId="77777777" w:rsidR="00D44A98" w:rsidRPr="00D44A98" w:rsidRDefault="00D44A98" w:rsidP="00D44A98">
            <w:pPr>
              <w:spacing w:after="0"/>
              <w:jc w:val="right"/>
              <w:rPr>
                <w:rFonts w:ascii="Times New Roman" w:hAnsi="Times New Roman"/>
                <w:color w:val="auto"/>
              </w:rPr>
            </w:pPr>
          </w:p>
        </w:tc>
      </w:tr>
      <w:tr w:rsidR="00D44A98" w:rsidRPr="00D44A98" w14:paraId="11097989"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2F51561A" w14:textId="77777777" w:rsidR="00D44A98" w:rsidRPr="00D44A98" w:rsidRDefault="00D44A98" w:rsidP="00D44A98">
            <w:pPr>
              <w:spacing w:after="0"/>
              <w:ind w:firstLineChars="200" w:firstLine="320"/>
              <w:rPr>
                <w:rFonts w:ascii="Arial" w:hAnsi="Arial" w:cs="Arial"/>
                <w:sz w:val="16"/>
                <w:szCs w:val="16"/>
              </w:rPr>
            </w:pPr>
            <w:r w:rsidRPr="00D44A98">
              <w:rPr>
                <w:rFonts w:ascii="Arial" w:hAnsi="Arial" w:cs="Arial"/>
                <w:sz w:val="16"/>
                <w:szCs w:val="16"/>
              </w:rPr>
              <w:t>Employees</w:t>
            </w:r>
          </w:p>
        </w:tc>
        <w:tc>
          <w:tcPr>
            <w:tcW w:w="905" w:type="dxa"/>
            <w:tcBorders>
              <w:top w:val="nil"/>
              <w:left w:val="nil"/>
              <w:bottom w:val="nil"/>
              <w:right w:val="nil"/>
            </w:tcBorders>
            <w:shd w:val="clear" w:color="auto" w:fill="auto"/>
            <w:noWrap/>
            <w:vAlign w:val="bottom"/>
            <w:hideMark/>
          </w:tcPr>
          <w:p w14:paraId="5E60F484"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961</w:t>
            </w:r>
          </w:p>
        </w:tc>
        <w:tc>
          <w:tcPr>
            <w:tcW w:w="810" w:type="dxa"/>
            <w:tcBorders>
              <w:top w:val="nil"/>
              <w:left w:val="nil"/>
              <w:bottom w:val="nil"/>
              <w:right w:val="nil"/>
            </w:tcBorders>
            <w:shd w:val="clear" w:color="000000" w:fill="D9D9D9"/>
            <w:noWrap/>
            <w:vAlign w:val="bottom"/>
            <w:hideMark/>
          </w:tcPr>
          <w:p w14:paraId="48915A5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961</w:t>
            </w:r>
          </w:p>
        </w:tc>
        <w:tc>
          <w:tcPr>
            <w:tcW w:w="821" w:type="dxa"/>
            <w:tcBorders>
              <w:top w:val="nil"/>
              <w:left w:val="nil"/>
              <w:bottom w:val="nil"/>
              <w:right w:val="nil"/>
            </w:tcBorders>
            <w:shd w:val="clear" w:color="auto" w:fill="auto"/>
            <w:noWrap/>
            <w:vAlign w:val="bottom"/>
            <w:hideMark/>
          </w:tcPr>
          <w:p w14:paraId="0B42EAF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961</w:t>
            </w:r>
          </w:p>
        </w:tc>
        <w:tc>
          <w:tcPr>
            <w:tcW w:w="821" w:type="dxa"/>
            <w:tcBorders>
              <w:top w:val="nil"/>
              <w:left w:val="nil"/>
              <w:bottom w:val="nil"/>
              <w:right w:val="nil"/>
            </w:tcBorders>
            <w:shd w:val="clear" w:color="auto" w:fill="auto"/>
            <w:noWrap/>
            <w:vAlign w:val="bottom"/>
            <w:hideMark/>
          </w:tcPr>
          <w:p w14:paraId="213D8E4E"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961</w:t>
            </w:r>
          </w:p>
        </w:tc>
        <w:tc>
          <w:tcPr>
            <w:tcW w:w="821" w:type="dxa"/>
            <w:tcBorders>
              <w:top w:val="nil"/>
              <w:left w:val="nil"/>
              <w:bottom w:val="nil"/>
              <w:right w:val="nil"/>
            </w:tcBorders>
            <w:shd w:val="clear" w:color="auto" w:fill="auto"/>
            <w:noWrap/>
            <w:vAlign w:val="bottom"/>
            <w:hideMark/>
          </w:tcPr>
          <w:p w14:paraId="5189081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961</w:t>
            </w:r>
          </w:p>
        </w:tc>
      </w:tr>
      <w:tr w:rsidR="00D44A98" w:rsidRPr="00D44A98" w14:paraId="7E96D39E"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3388424E" w14:textId="77777777" w:rsidR="00D44A98" w:rsidRPr="00D44A98" w:rsidRDefault="00D44A98" w:rsidP="00D44A98">
            <w:pPr>
              <w:spacing w:after="0"/>
              <w:ind w:firstLineChars="200" w:firstLine="320"/>
              <w:rPr>
                <w:rFonts w:ascii="Arial" w:hAnsi="Arial" w:cs="Arial"/>
                <w:b/>
                <w:bCs/>
                <w:sz w:val="16"/>
                <w:szCs w:val="16"/>
              </w:rPr>
            </w:pPr>
            <w:r w:rsidRPr="00D44A98">
              <w:rPr>
                <w:rFonts w:ascii="Arial" w:hAnsi="Arial" w:cs="Arial"/>
                <w:b/>
                <w:bCs/>
                <w:sz w:val="16"/>
                <w:szCs w:val="16"/>
              </w:rPr>
              <w:t>Total provisions</w:t>
            </w:r>
          </w:p>
        </w:tc>
        <w:tc>
          <w:tcPr>
            <w:tcW w:w="905" w:type="dxa"/>
            <w:tcBorders>
              <w:top w:val="nil"/>
              <w:left w:val="nil"/>
              <w:bottom w:val="single" w:sz="4" w:space="0" w:color="auto"/>
              <w:right w:val="nil"/>
            </w:tcBorders>
            <w:shd w:val="clear" w:color="auto" w:fill="auto"/>
            <w:noWrap/>
            <w:vAlign w:val="bottom"/>
            <w:hideMark/>
          </w:tcPr>
          <w:p w14:paraId="0D647365"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961</w:t>
            </w:r>
          </w:p>
        </w:tc>
        <w:tc>
          <w:tcPr>
            <w:tcW w:w="810" w:type="dxa"/>
            <w:tcBorders>
              <w:top w:val="nil"/>
              <w:left w:val="nil"/>
              <w:bottom w:val="single" w:sz="4" w:space="0" w:color="auto"/>
              <w:right w:val="nil"/>
            </w:tcBorders>
            <w:shd w:val="clear" w:color="000000" w:fill="D9D9D9"/>
            <w:noWrap/>
            <w:vAlign w:val="bottom"/>
            <w:hideMark/>
          </w:tcPr>
          <w:p w14:paraId="61ABA0F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961</w:t>
            </w:r>
          </w:p>
        </w:tc>
        <w:tc>
          <w:tcPr>
            <w:tcW w:w="821" w:type="dxa"/>
            <w:tcBorders>
              <w:top w:val="nil"/>
              <w:left w:val="nil"/>
              <w:bottom w:val="single" w:sz="4" w:space="0" w:color="auto"/>
              <w:right w:val="nil"/>
            </w:tcBorders>
            <w:shd w:val="clear" w:color="auto" w:fill="auto"/>
            <w:noWrap/>
            <w:vAlign w:val="bottom"/>
            <w:hideMark/>
          </w:tcPr>
          <w:p w14:paraId="104BE5B3"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961</w:t>
            </w:r>
          </w:p>
        </w:tc>
        <w:tc>
          <w:tcPr>
            <w:tcW w:w="821" w:type="dxa"/>
            <w:tcBorders>
              <w:top w:val="nil"/>
              <w:left w:val="nil"/>
              <w:bottom w:val="single" w:sz="4" w:space="0" w:color="auto"/>
              <w:right w:val="nil"/>
            </w:tcBorders>
            <w:shd w:val="clear" w:color="auto" w:fill="auto"/>
            <w:noWrap/>
            <w:vAlign w:val="bottom"/>
            <w:hideMark/>
          </w:tcPr>
          <w:p w14:paraId="4AB7CB0F"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961</w:t>
            </w:r>
          </w:p>
        </w:tc>
        <w:tc>
          <w:tcPr>
            <w:tcW w:w="821" w:type="dxa"/>
            <w:tcBorders>
              <w:top w:val="nil"/>
              <w:left w:val="nil"/>
              <w:bottom w:val="single" w:sz="4" w:space="0" w:color="auto"/>
              <w:right w:val="nil"/>
            </w:tcBorders>
            <w:shd w:val="clear" w:color="auto" w:fill="auto"/>
            <w:noWrap/>
            <w:vAlign w:val="bottom"/>
            <w:hideMark/>
          </w:tcPr>
          <w:p w14:paraId="07F5DFC9"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961</w:t>
            </w:r>
          </w:p>
        </w:tc>
      </w:tr>
      <w:tr w:rsidR="00D44A98" w:rsidRPr="00D44A98" w14:paraId="59311905"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7B415E0A"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Total liabilities</w:t>
            </w:r>
          </w:p>
        </w:tc>
        <w:tc>
          <w:tcPr>
            <w:tcW w:w="905" w:type="dxa"/>
            <w:tcBorders>
              <w:top w:val="nil"/>
              <w:left w:val="nil"/>
              <w:bottom w:val="single" w:sz="4" w:space="0" w:color="auto"/>
              <w:right w:val="nil"/>
            </w:tcBorders>
            <w:shd w:val="clear" w:color="auto" w:fill="auto"/>
            <w:noWrap/>
            <w:vAlign w:val="bottom"/>
            <w:hideMark/>
          </w:tcPr>
          <w:p w14:paraId="15C19966"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1,994</w:t>
            </w:r>
          </w:p>
        </w:tc>
        <w:tc>
          <w:tcPr>
            <w:tcW w:w="810" w:type="dxa"/>
            <w:tcBorders>
              <w:top w:val="nil"/>
              <w:left w:val="nil"/>
              <w:bottom w:val="single" w:sz="4" w:space="0" w:color="auto"/>
              <w:right w:val="nil"/>
            </w:tcBorders>
            <w:shd w:val="clear" w:color="000000" w:fill="D9D9D9"/>
            <w:noWrap/>
            <w:vAlign w:val="bottom"/>
            <w:hideMark/>
          </w:tcPr>
          <w:p w14:paraId="3F26A9F5"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1,679</w:t>
            </w:r>
          </w:p>
        </w:tc>
        <w:tc>
          <w:tcPr>
            <w:tcW w:w="821" w:type="dxa"/>
            <w:tcBorders>
              <w:top w:val="nil"/>
              <w:left w:val="nil"/>
              <w:bottom w:val="single" w:sz="4" w:space="0" w:color="auto"/>
              <w:right w:val="nil"/>
            </w:tcBorders>
            <w:shd w:val="clear" w:color="auto" w:fill="auto"/>
            <w:noWrap/>
            <w:vAlign w:val="bottom"/>
            <w:hideMark/>
          </w:tcPr>
          <w:p w14:paraId="4952F5E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2,078</w:t>
            </w:r>
          </w:p>
        </w:tc>
        <w:tc>
          <w:tcPr>
            <w:tcW w:w="821" w:type="dxa"/>
            <w:tcBorders>
              <w:top w:val="nil"/>
              <w:left w:val="nil"/>
              <w:bottom w:val="single" w:sz="4" w:space="0" w:color="auto"/>
              <w:right w:val="nil"/>
            </w:tcBorders>
            <w:shd w:val="clear" w:color="auto" w:fill="auto"/>
            <w:noWrap/>
            <w:vAlign w:val="bottom"/>
            <w:hideMark/>
          </w:tcPr>
          <w:p w14:paraId="0EB11104"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1,798</w:t>
            </w:r>
          </w:p>
        </w:tc>
        <w:tc>
          <w:tcPr>
            <w:tcW w:w="821" w:type="dxa"/>
            <w:tcBorders>
              <w:top w:val="nil"/>
              <w:left w:val="nil"/>
              <w:bottom w:val="single" w:sz="4" w:space="0" w:color="auto"/>
              <w:right w:val="nil"/>
            </w:tcBorders>
            <w:shd w:val="clear" w:color="auto" w:fill="auto"/>
            <w:noWrap/>
            <w:vAlign w:val="bottom"/>
            <w:hideMark/>
          </w:tcPr>
          <w:p w14:paraId="39E6755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2,255</w:t>
            </w:r>
          </w:p>
        </w:tc>
      </w:tr>
      <w:tr w:rsidR="00D44A98" w:rsidRPr="00D44A98" w14:paraId="36798170" w14:textId="77777777" w:rsidTr="00D44A98">
        <w:trPr>
          <w:trHeight w:val="283"/>
          <w:jc w:val="center"/>
        </w:trPr>
        <w:tc>
          <w:tcPr>
            <w:tcW w:w="2962" w:type="dxa"/>
            <w:tcBorders>
              <w:top w:val="nil"/>
              <w:left w:val="nil"/>
              <w:bottom w:val="nil"/>
              <w:right w:val="nil"/>
            </w:tcBorders>
            <w:shd w:val="clear" w:color="auto" w:fill="auto"/>
            <w:noWrap/>
            <w:vAlign w:val="bottom"/>
            <w:hideMark/>
          </w:tcPr>
          <w:p w14:paraId="4B99C369"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Net Assets</w:t>
            </w:r>
          </w:p>
        </w:tc>
        <w:tc>
          <w:tcPr>
            <w:tcW w:w="905" w:type="dxa"/>
            <w:tcBorders>
              <w:top w:val="nil"/>
              <w:left w:val="nil"/>
              <w:bottom w:val="single" w:sz="4" w:space="0" w:color="auto"/>
              <w:right w:val="nil"/>
            </w:tcBorders>
            <w:shd w:val="clear" w:color="auto" w:fill="auto"/>
            <w:noWrap/>
            <w:vAlign w:val="bottom"/>
            <w:hideMark/>
          </w:tcPr>
          <w:p w14:paraId="64EA70E1"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2,267</w:t>
            </w:r>
          </w:p>
        </w:tc>
        <w:tc>
          <w:tcPr>
            <w:tcW w:w="810" w:type="dxa"/>
            <w:tcBorders>
              <w:top w:val="nil"/>
              <w:left w:val="nil"/>
              <w:bottom w:val="single" w:sz="4" w:space="0" w:color="auto"/>
              <w:right w:val="nil"/>
            </w:tcBorders>
            <w:shd w:val="clear" w:color="000000" w:fill="D9D9D9"/>
            <w:noWrap/>
            <w:vAlign w:val="bottom"/>
            <w:hideMark/>
          </w:tcPr>
          <w:p w14:paraId="10F94A7F"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2,177</w:t>
            </w:r>
          </w:p>
        </w:tc>
        <w:tc>
          <w:tcPr>
            <w:tcW w:w="821" w:type="dxa"/>
            <w:tcBorders>
              <w:top w:val="nil"/>
              <w:left w:val="nil"/>
              <w:bottom w:val="single" w:sz="4" w:space="0" w:color="auto"/>
              <w:right w:val="nil"/>
            </w:tcBorders>
            <w:shd w:val="clear" w:color="auto" w:fill="auto"/>
            <w:noWrap/>
            <w:vAlign w:val="bottom"/>
            <w:hideMark/>
          </w:tcPr>
          <w:p w14:paraId="46ABAD0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2,059</w:t>
            </w:r>
          </w:p>
        </w:tc>
        <w:tc>
          <w:tcPr>
            <w:tcW w:w="821" w:type="dxa"/>
            <w:tcBorders>
              <w:top w:val="nil"/>
              <w:left w:val="nil"/>
              <w:bottom w:val="single" w:sz="4" w:space="0" w:color="auto"/>
              <w:right w:val="nil"/>
            </w:tcBorders>
            <w:shd w:val="clear" w:color="auto" w:fill="auto"/>
            <w:noWrap/>
            <w:vAlign w:val="bottom"/>
            <w:hideMark/>
          </w:tcPr>
          <w:p w14:paraId="431A8711"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1,967</w:t>
            </w:r>
          </w:p>
        </w:tc>
        <w:tc>
          <w:tcPr>
            <w:tcW w:w="821" w:type="dxa"/>
            <w:tcBorders>
              <w:top w:val="nil"/>
              <w:left w:val="nil"/>
              <w:bottom w:val="single" w:sz="4" w:space="0" w:color="auto"/>
              <w:right w:val="nil"/>
            </w:tcBorders>
            <w:shd w:val="clear" w:color="auto" w:fill="auto"/>
            <w:noWrap/>
            <w:vAlign w:val="bottom"/>
            <w:hideMark/>
          </w:tcPr>
          <w:p w14:paraId="6BBC6B9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1,879</w:t>
            </w:r>
          </w:p>
        </w:tc>
      </w:tr>
      <w:tr w:rsidR="00D44A98" w:rsidRPr="00D44A98" w14:paraId="1E9AA56B" w14:textId="77777777" w:rsidTr="00D44A98">
        <w:trPr>
          <w:trHeight w:val="283"/>
          <w:jc w:val="center"/>
        </w:trPr>
        <w:tc>
          <w:tcPr>
            <w:tcW w:w="2962" w:type="dxa"/>
            <w:tcBorders>
              <w:top w:val="nil"/>
              <w:left w:val="nil"/>
              <w:bottom w:val="nil"/>
              <w:right w:val="nil"/>
            </w:tcBorders>
            <w:shd w:val="clear" w:color="auto" w:fill="auto"/>
            <w:noWrap/>
            <w:vAlign w:val="bottom"/>
            <w:hideMark/>
          </w:tcPr>
          <w:p w14:paraId="6E677509"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EQUITY</w:t>
            </w:r>
          </w:p>
        </w:tc>
        <w:tc>
          <w:tcPr>
            <w:tcW w:w="905" w:type="dxa"/>
            <w:tcBorders>
              <w:top w:val="nil"/>
              <w:left w:val="nil"/>
              <w:bottom w:val="nil"/>
              <w:right w:val="nil"/>
            </w:tcBorders>
            <w:shd w:val="clear" w:color="auto" w:fill="auto"/>
            <w:noWrap/>
            <w:vAlign w:val="bottom"/>
            <w:hideMark/>
          </w:tcPr>
          <w:p w14:paraId="1201C1D3" w14:textId="77777777" w:rsidR="00D44A98" w:rsidRPr="00D44A98" w:rsidRDefault="00D44A98" w:rsidP="00D44A98">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6875705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7C631496" w14:textId="77777777" w:rsidR="00D44A98" w:rsidRPr="00D44A98" w:rsidRDefault="00D44A98" w:rsidP="00D44A9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019C90A" w14:textId="77777777" w:rsidR="00D44A98" w:rsidRPr="00D44A98" w:rsidRDefault="00D44A98" w:rsidP="00D44A98">
            <w:pPr>
              <w:spacing w:after="0"/>
              <w:jc w:val="right"/>
              <w:rPr>
                <w:rFonts w:ascii="Times New Roman" w:hAnsi="Times New Roman"/>
                <w:color w:val="auto"/>
              </w:rPr>
            </w:pPr>
          </w:p>
        </w:tc>
        <w:tc>
          <w:tcPr>
            <w:tcW w:w="821" w:type="dxa"/>
            <w:tcBorders>
              <w:top w:val="nil"/>
              <w:left w:val="nil"/>
              <w:bottom w:val="nil"/>
              <w:right w:val="nil"/>
            </w:tcBorders>
            <w:shd w:val="clear" w:color="auto" w:fill="auto"/>
            <w:noWrap/>
            <w:vAlign w:val="bottom"/>
            <w:hideMark/>
          </w:tcPr>
          <w:p w14:paraId="78423290" w14:textId="77777777" w:rsidR="00D44A98" w:rsidRPr="00D44A98" w:rsidRDefault="00D44A98" w:rsidP="00D44A98">
            <w:pPr>
              <w:spacing w:after="0"/>
              <w:jc w:val="right"/>
              <w:rPr>
                <w:rFonts w:ascii="Times New Roman" w:hAnsi="Times New Roman"/>
                <w:color w:val="auto"/>
              </w:rPr>
            </w:pPr>
          </w:p>
        </w:tc>
      </w:tr>
      <w:tr w:rsidR="00D44A98" w:rsidRPr="00D44A98" w14:paraId="40D35D6A"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2DC8B8BD" w14:textId="77777777" w:rsidR="00D44A98" w:rsidRPr="00D44A98" w:rsidRDefault="00D44A98" w:rsidP="00D44A98">
            <w:pPr>
              <w:spacing w:after="0"/>
              <w:ind w:leftChars="75" w:left="150"/>
              <w:rPr>
                <w:rFonts w:ascii="Arial" w:hAnsi="Arial" w:cs="Arial"/>
                <w:sz w:val="16"/>
                <w:szCs w:val="16"/>
              </w:rPr>
            </w:pPr>
            <w:r w:rsidRPr="00D44A98">
              <w:rPr>
                <w:rFonts w:ascii="Arial" w:hAnsi="Arial" w:cs="Arial"/>
                <w:sz w:val="16"/>
                <w:szCs w:val="16"/>
              </w:rPr>
              <w:t>Contributed equity</w:t>
            </w:r>
          </w:p>
        </w:tc>
        <w:tc>
          <w:tcPr>
            <w:tcW w:w="905" w:type="dxa"/>
            <w:tcBorders>
              <w:top w:val="nil"/>
              <w:left w:val="nil"/>
              <w:bottom w:val="nil"/>
              <w:right w:val="nil"/>
            </w:tcBorders>
            <w:shd w:val="clear" w:color="auto" w:fill="auto"/>
            <w:noWrap/>
            <w:vAlign w:val="bottom"/>
            <w:hideMark/>
          </w:tcPr>
          <w:p w14:paraId="0863ED5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3,941</w:t>
            </w:r>
          </w:p>
        </w:tc>
        <w:tc>
          <w:tcPr>
            <w:tcW w:w="810" w:type="dxa"/>
            <w:tcBorders>
              <w:top w:val="nil"/>
              <w:left w:val="nil"/>
              <w:bottom w:val="nil"/>
              <w:right w:val="nil"/>
            </w:tcBorders>
            <w:shd w:val="clear" w:color="000000" w:fill="D9D9D9"/>
            <w:noWrap/>
            <w:vAlign w:val="bottom"/>
            <w:hideMark/>
          </w:tcPr>
          <w:p w14:paraId="7C953C2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4,205</w:t>
            </w:r>
          </w:p>
        </w:tc>
        <w:tc>
          <w:tcPr>
            <w:tcW w:w="821" w:type="dxa"/>
            <w:tcBorders>
              <w:top w:val="nil"/>
              <w:left w:val="nil"/>
              <w:bottom w:val="nil"/>
              <w:right w:val="nil"/>
            </w:tcBorders>
            <w:shd w:val="clear" w:color="auto" w:fill="auto"/>
            <w:noWrap/>
            <w:vAlign w:val="bottom"/>
            <w:hideMark/>
          </w:tcPr>
          <w:p w14:paraId="0430C52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4,470</w:t>
            </w:r>
          </w:p>
        </w:tc>
        <w:tc>
          <w:tcPr>
            <w:tcW w:w="821" w:type="dxa"/>
            <w:tcBorders>
              <w:top w:val="nil"/>
              <w:left w:val="nil"/>
              <w:bottom w:val="nil"/>
              <w:right w:val="nil"/>
            </w:tcBorders>
            <w:shd w:val="clear" w:color="auto" w:fill="auto"/>
            <w:noWrap/>
            <w:vAlign w:val="bottom"/>
            <w:hideMark/>
          </w:tcPr>
          <w:p w14:paraId="5E088372"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4,737</w:t>
            </w:r>
          </w:p>
        </w:tc>
        <w:tc>
          <w:tcPr>
            <w:tcW w:w="821" w:type="dxa"/>
            <w:tcBorders>
              <w:top w:val="nil"/>
              <w:left w:val="nil"/>
              <w:bottom w:val="nil"/>
              <w:right w:val="nil"/>
            </w:tcBorders>
            <w:shd w:val="clear" w:color="auto" w:fill="auto"/>
            <w:noWrap/>
            <w:vAlign w:val="bottom"/>
            <w:hideMark/>
          </w:tcPr>
          <w:p w14:paraId="07A7862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5,003</w:t>
            </w:r>
          </w:p>
        </w:tc>
      </w:tr>
      <w:tr w:rsidR="00D44A98" w:rsidRPr="00D44A98" w14:paraId="0AE92582" w14:textId="77777777" w:rsidTr="00D44A98">
        <w:trPr>
          <w:trHeight w:val="225"/>
          <w:jc w:val="center"/>
        </w:trPr>
        <w:tc>
          <w:tcPr>
            <w:tcW w:w="2962" w:type="dxa"/>
            <w:tcBorders>
              <w:top w:val="nil"/>
              <w:left w:val="nil"/>
              <w:bottom w:val="nil"/>
              <w:right w:val="nil"/>
            </w:tcBorders>
            <w:shd w:val="clear" w:color="auto" w:fill="auto"/>
            <w:noWrap/>
            <w:vAlign w:val="bottom"/>
            <w:hideMark/>
          </w:tcPr>
          <w:p w14:paraId="07B38906" w14:textId="77777777" w:rsidR="00D44A98" w:rsidRPr="00D44A98" w:rsidRDefault="00D44A98" w:rsidP="00D44A98">
            <w:pPr>
              <w:spacing w:after="0"/>
              <w:ind w:leftChars="75" w:left="150"/>
              <w:rPr>
                <w:rFonts w:ascii="Arial" w:hAnsi="Arial" w:cs="Arial"/>
                <w:sz w:val="16"/>
                <w:szCs w:val="16"/>
              </w:rPr>
            </w:pPr>
            <w:r w:rsidRPr="00D44A98">
              <w:rPr>
                <w:rFonts w:ascii="Arial" w:hAnsi="Arial" w:cs="Arial"/>
                <w:sz w:val="16"/>
                <w:szCs w:val="16"/>
              </w:rPr>
              <w:t>Reserves</w:t>
            </w:r>
          </w:p>
        </w:tc>
        <w:tc>
          <w:tcPr>
            <w:tcW w:w="905" w:type="dxa"/>
            <w:tcBorders>
              <w:top w:val="nil"/>
              <w:left w:val="nil"/>
              <w:bottom w:val="nil"/>
              <w:right w:val="nil"/>
            </w:tcBorders>
            <w:shd w:val="clear" w:color="auto" w:fill="auto"/>
            <w:noWrap/>
            <w:vAlign w:val="bottom"/>
            <w:hideMark/>
          </w:tcPr>
          <w:p w14:paraId="0D9C52AC"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666</w:t>
            </w:r>
          </w:p>
        </w:tc>
        <w:tc>
          <w:tcPr>
            <w:tcW w:w="810" w:type="dxa"/>
            <w:tcBorders>
              <w:top w:val="nil"/>
              <w:left w:val="nil"/>
              <w:bottom w:val="nil"/>
              <w:right w:val="nil"/>
            </w:tcBorders>
            <w:shd w:val="clear" w:color="000000" w:fill="D9D9D9"/>
            <w:noWrap/>
            <w:vAlign w:val="bottom"/>
            <w:hideMark/>
          </w:tcPr>
          <w:p w14:paraId="411C3965"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72D2B845"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18F4347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6B8C92D0"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666</w:t>
            </w:r>
          </w:p>
        </w:tc>
      </w:tr>
      <w:tr w:rsidR="00D44A98" w:rsidRPr="00D44A98" w14:paraId="5288FE7B" w14:textId="77777777" w:rsidTr="00A4403D">
        <w:trPr>
          <w:trHeight w:val="425"/>
          <w:jc w:val="center"/>
        </w:trPr>
        <w:tc>
          <w:tcPr>
            <w:tcW w:w="2962" w:type="dxa"/>
            <w:tcBorders>
              <w:top w:val="nil"/>
              <w:left w:val="nil"/>
              <w:bottom w:val="nil"/>
              <w:right w:val="nil"/>
            </w:tcBorders>
            <w:shd w:val="clear" w:color="auto" w:fill="auto"/>
            <w:vAlign w:val="bottom"/>
            <w:hideMark/>
          </w:tcPr>
          <w:p w14:paraId="2D50AE17" w14:textId="77777777" w:rsidR="00D44A98" w:rsidRPr="00D44A98" w:rsidRDefault="00D44A98" w:rsidP="00D44A98">
            <w:pPr>
              <w:spacing w:after="0"/>
              <w:ind w:leftChars="75" w:left="150"/>
              <w:rPr>
                <w:rFonts w:ascii="Arial" w:hAnsi="Arial" w:cs="Arial"/>
                <w:sz w:val="16"/>
                <w:szCs w:val="16"/>
              </w:rPr>
            </w:pPr>
            <w:r w:rsidRPr="00D44A98">
              <w:rPr>
                <w:rFonts w:ascii="Arial" w:hAnsi="Arial" w:cs="Arial"/>
                <w:sz w:val="16"/>
                <w:szCs w:val="16"/>
              </w:rPr>
              <w:t>Retained surpluses or (accumulated deficits)</w:t>
            </w:r>
          </w:p>
        </w:tc>
        <w:tc>
          <w:tcPr>
            <w:tcW w:w="905" w:type="dxa"/>
            <w:tcBorders>
              <w:top w:val="nil"/>
              <w:left w:val="nil"/>
              <w:bottom w:val="single" w:sz="4" w:space="0" w:color="auto"/>
              <w:right w:val="nil"/>
            </w:tcBorders>
            <w:shd w:val="clear" w:color="auto" w:fill="auto"/>
            <w:noWrap/>
            <w:vAlign w:val="bottom"/>
            <w:hideMark/>
          </w:tcPr>
          <w:p w14:paraId="0B33753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(2,340)</w:t>
            </w:r>
          </w:p>
        </w:tc>
        <w:tc>
          <w:tcPr>
            <w:tcW w:w="810" w:type="dxa"/>
            <w:tcBorders>
              <w:top w:val="nil"/>
              <w:left w:val="nil"/>
              <w:bottom w:val="single" w:sz="4" w:space="0" w:color="auto"/>
              <w:right w:val="nil"/>
            </w:tcBorders>
            <w:shd w:val="clear" w:color="000000" w:fill="D9D9D9"/>
            <w:noWrap/>
            <w:vAlign w:val="bottom"/>
            <w:hideMark/>
          </w:tcPr>
          <w:p w14:paraId="5025403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(2,694)</w:t>
            </w:r>
          </w:p>
        </w:tc>
        <w:tc>
          <w:tcPr>
            <w:tcW w:w="821" w:type="dxa"/>
            <w:tcBorders>
              <w:top w:val="nil"/>
              <w:left w:val="nil"/>
              <w:bottom w:val="single" w:sz="4" w:space="0" w:color="auto"/>
              <w:right w:val="nil"/>
            </w:tcBorders>
            <w:shd w:val="clear" w:color="auto" w:fill="auto"/>
            <w:noWrap/>
            <w:vAlign w:val="bottom"/>
            <w:hideMark/>
          </w:tcPr>
          <w:p w14:paraId="401D210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(3,077)</w:t>
            </w:r>
          </w:p>
        </w:tc>
        <w:tc>
          <w:tcPr>
            <w:tcW w:w="821" w:type="dxa"/>
            <w:tcBorders>
              <w:top w:val="nil"/>
              <w:left w:val="nil"/>
              <w:bottom w:val="single" w:sz="4" w:space="0" w:color="auto"/>
              <w:right w:val="nil"/>
            </w:tcBorders>
            <w:shd w:val="clear" w:color="auto" w:fill="auto"/>
            <w:noWrap/>
            <w:vAlign w:val="bottom"/>
            <w:hideMark/>
          </w:tcPr>
          <w:p w14:paraId="3889A380"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(3,436)</w:t>
            </w:r>
          </w:p>
        </w:tc>
        <w:tc>
          <w:tcPr>
            <w:tcW w:w="821" w:type="dxa"/>
            <w:tcBorders>
              <w:top w:val="nil"/>
              <w:left w:val="nil"/>
              <w:bottom w:val="single" w:sz="4" w:space="0" w:color="auto"/>
              <w:right w:val="nil"/>
            </w:tcBorders>
            <w:shd w:val="clear" w:color="auto" w:fill="auto"/>
            <w:noWrap/>
            <w:vAlign w:val="bottom"/>
            <w:hideMark/>
          </w:tcPr>
          <w:p w14:paraId="13522CA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(3,790)</w:t>
            </w:r>
          </w:p>
        </w:tc>
      </w:tr>
      <w:tr w:rsidR="00D44A98" w:rsidRPr="00D44A98" w14:paraId="5CBA55D9" w14:textId="77777777" w:rsidTr="00D44A98">
        <w:trPr>
          <w:trHeight w:val="225"/>
          <w:jc w:val="center"/>
        </w:trPr>
        <w:tc>
          <w:tcPr>
            <w:tcW w:w="2962" w:type="dxa"/>
            <w:tcBorders>
              <w:top w:val="nil"/>
              <w:left w:val="nil"/>
              <w:bottom w:val="single" w:sz="4" w:space="0" w:color="auto"/>
              <w:right w:val="nil"/>
            </w:tcBorders>
            <w:shd w:val="clear" w:color="auto" w:fill="auto"/>
            <w:noWrap/>
            <w:vAlign w:val="bottom"/>
            <w:hideMark/>
          </w:tcPr>
          <w:p w14:paraId="6C978468" w14:textId="77777777" w:rsidR="00D44A98" w:rsidRPr="00D44A98" w:rsidRDefault="00D44A98" w:rsidP="00D44A98">
            <w:pPr>
              <w:spacing w:after="0"/>
              <w:ind w:leftChars="75" w:left="150"/>
              <w:rPr>
                <w:rFonts w:ascii="Arial" w:hAnsi="Arial" w:cs="Arial"/>
                <w:b/>
                <w:bCs/>
                <w:sz w:val="16"/>
                <w:szCs w:val="16"/>
              </w:rPr>
            </w:pPr>
            <w:r w:rsidRPr="00D44A98">
              <w:rPr>
                <w:rFonts w:ascii="Arial" w:hAnsi="Arial" w:cs="Arial"/>
                <w:b/>
                <w:bCs/>
                <w:sz w:val="16"/>
                <w:szCs w:val="16"/>
              </w:rPr>
              <w:t>Total equity</w:t>
            </w:r>
          </w:p>
        </w:tc>
        <w:tc>
          <w:tcPr>
            <w:tcW w:w="905" w:type="dxa"/>
            <w:tcBorders>
              <w:top w:val="nil"/>
              <w:left w:val="nil"/>
              <w:bottom w:val="single" w:sz="4" w:space="0" w:color="auto"/>
              <w:right w:val="nil"/>
            </w:tcBorders>
            <w:shd w:val="clear" w:color="auto" w:fill="auto"/>
            <w:noWrap/>
            <w:vAlign w:val="bottom"/>
            <w:hideMark/>
          </w:tcPr>
          <w:p w14:paraId="0BBF6DD0"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2,267</w:t>
            </w:r>
          </w:p>
        </w:tc>
        <w:tc>
          <w:tcPr>
            <w:tcW w:w="810" w:type="dxa"/>
            <w:tcBorders>
              <w:top w:val="nil"/>
              <w:left w:val="nil"/>
              <w:bottom w:val="single" w:sz="4" w:space="0" w:color="auto"/>
              <w:right w:val="nil"/>
            </w:tcBorders>
            <w:shd w:val="clear" w:color="000000" w:fill="D9D9D9"/>
            <w:noWrap/>
            <w:vAlign w:val="bottom"/>
            <w:hideMark/>
          </w:tcPr>
          <w:p w14:paraId="49E48AE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2,177</w:t>
            </w:r>
          </w:p>
        </w:tc>
        <w:tc>
          <w:tcPr>
            <w:tcW w:w="821" w:type="dxa"/>
            <w:tcBorders>
              <w:top w:val="nil"/>
              <w:left w:val="nil"/>
              <w:bottom w:val="single" w:sz="4" w:space="0" w:color="auto"/>
              <w:right w:val="nil"/>
            </w:tcBorders>
            <w:shd w:val="clear" w:color="auto" w:fill="auto"/>
            <w:noWrap/>
            <w:vAlign w:val="bottom"/>
            <w:hideMark/>
          </w:tcPr>
          <w:p w14:paraId="5FB248B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2,059</w:t>
            </w:r>
          </w:p>
        </w:tc>
        <w:tc>
          <w:tcPr>
            <w:tcW w:w="821" w:type="dxa"/>
            <w:tcBorders>
              <w:top w:val="nil"/>
              <w:left w:val="nil"/>
              <w:bottom w:val="single" w:sz="4" w:space="0" w:color="auto"/>
              <w:right w:val="nil"/>
            </w:tcBorders>
            <w:shd w:val="clear" w:color="auto" w:fill="auto"/>
            <w:noWrap/>
            <w:vAlign w:val="bottom"/>
            <w:hideMark/>
          </w:tcPr>
          <w:p w14:paraId="559C6B2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1,967</w:t>
            </w:r>
          </w:p>
        </w:tc>
        <w:tc>
          <w:tcPr>
            <w:tcW w:w="821" w:type="dxa"/>
            <w:tcBorders>
              <w:top w:val="nil"/>
              <w:left w:val="nil"/>
              <w:bottom w:val="single" w:sz="4" w:space="0" w:color="auto"/>
              <w:right w:val="nil"/>
            </w:tcBorders>
            <w:shd w:val="clear" w:color="auto" w:fill="auto"/>
            <w:noWrap/>
            <w:vAlign w:val="bottom"/>
            <w:hideMark/>
          </w:tcPr>
          <w:p w14:paraId="6CC856E4"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1,879</w:t>
            </w:r>
          </w:p>
        </w:tc>
      </w:tr>
    </w:tbl>
    <w:p w14:paraId="293A5A23" w14:textId="77777777" w:rsidR="00D44A98" w:rsidRDefault="00D44A98">
      <w:pPr>
        <w:spacing w:after="160" w:line="259" w:lineRule="auto"/>
        <w:rPr>
          <w:rFonts w:ascii="Arial" w:hAnsi="Arial" w:cs="Arial"/>
          <w:b/>
          <w:color w:val="000000" w:themeColor="text1"/>
          <w:szCs w:val="18"/>
          <w:lang w:eastAsia="en-US"/>
        </w:rPr>
      </w:pPr>
      <w:r>
        <w:rPr>
          <w:color w:val="000000" w:themeColor="text1"/>
        </w:rPr>
        <w:br w:type="page"/>
      </w:r>
    </w:p>
    <w:p w14:paraId="583EDFA0" w14:textId="7019CF80" w:rsidR="00BC0659" w:rsidRDefault="00BC0659" w:rsidP="00BC0659">
      <w:pPr>
        <w:pStyle w:val="Tablenumberandreference"/>
        <w:rPr>
          <w:color w:val="000000" w:themeColor="text1"/>
        </w:rPr>
      </w:pPr>
      <w:r w:rsidRPr="00EE76CA">
        <w:rPr>
          <w:color w:val="000000" w:themeColor="text1"/>
        </w:rPr>
        <w:lastRenderedPageBreak/>
        <w:t>Table 3.3: Departmental Statement of Changes in Equity – Summary of Movement (Budg</w:t>
      </w:r>
      <w:r w:rsidR="00514917" w:rsidRPr="00EE76CA">
        <w:rPr>
          <w:color w:val="000000" w:themeColor="text1"/>
        </w:rPr>
        <w:t xml:space="preserve">et year </w:t>
      </w:r>
      <w:r w:rsidR="00DF40C5">
        <w:rPr>
          <w:color w:val="000000" w:themeColor="text1"/>
        </w:rPr>
        <w:t>2022–</w:t>
      </w:r>
      <w:r w:rsidR="00295539">
        <w:rPr>
          <w:color w:val="000000" w:themeColor="text1"/>
        </w:rPr>
        <w:t>23</w:t>
      </w:r>
      <w:r w:rsidRPr="00EE76CA">
        <w:rPr>
          <w:color w:val="000000" w:themeColor="text1"/>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D44A98" w:rsidRPr="00D44A98" w14:paraId="396BBD03" w14:textId="77777777" w:rsidTr="004B67F9">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F6D681A" w14:textId="77777777" w:rsidR="00D44A98" w:rsidRPr="00D44A98" w:rsidRDefault="00D44A98" w:rsidP="00D44A98">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733F5C6C" w14:textId="77777777" w:rsidR="00D44A98" w:rsidRPr="00D44A98" w:rsidRDefault="00D44A98" w:rsidP="00D44A98">
            <w:pPr>
              <w:spacing w:before="40" w:after="0"/>
              <w:jc w:val="right"/>
              <w:rPr>
                <w:rFonts w:ascii="Arial" w:hAnsi="Arial" w:cs="Arial"/>
                <w:sz w:val="16"/>
                <w:szCs w:val="16"/>
              </w:rPr>
            </w:pPr>
            <w:r w:rsidRPr="00D44A98">
              <w:rPr>
                <w:rFonts w:ascii="Arial" w:hAnsi="Arial" w:cs="Arial"/>
                <w:b/>
                <w:bCs/>
                <w:sz w:val="16"/>
                <w:szCs w:val="16"/>
              </w:rPr>
              <w:t xml:space="preserve">Retained earnings </w:t>
            </w:r>
            <w:r w:rsidRPr="00D44A98">
              <w:rPr>
                <w:rFonts w:ascii="Arial" w:hAnsi="Arial" w:cs="Arial"/>
                <w:sz w:val="16"/>
                <w:szCs w:val="16"/>
              </w:rPr>
              <w:br/>
            </w:r>
            <w:r w:rsidRPr="00D44A98">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57" w:type="dxa"/>
              <w:right w:w="57" w:type="dxa"/>
            </w:tcMar>
            <w:hideMark/>
          </w:tcPr>
          <w:p w14:paraId="60C9972A" w14:textId="77777777" w:rsidR="00D44A98" w:rsidRPr="00D44A98" w:rsidRDefault="00D44A98" w:rsidP="00D44A98">
            <w:pPr>
              <w:spacing w:before="40" w:after="0"/>
              <w:jc w:val="right"/>
              <w:rPr>
                <w:rFonts w:ascii="Arial" w:hAnsi="Arial" w:cs="Arial"/>
                <w:sz w:val="16"/>
                <w:szCs w:val="16"/>
              </w:rPr>
            </w:pPr>
            <w:r w:rsidRPr="00D44A98">
              <w:rPr>
                <w:rFonts w:ascii="Arial" w:hAnsi="Arial" w:cs="Arial"/>
                <w:b/>
                <w:bCs/>
                <w:sz w:val="16"/>
                <w:szCs w:val="16"/>
              </w:rPr>
              <w:t xml:space="preserve">Asset revaluation reserve </w:t>
            </w:r>
            <w:r w:rsidRPr="00D44A98">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57" w:type="dxa"/>
              <w:right w:w="57" w:type="dxa"/>
            </w:tcMar>
            <w:hideMark/>
          </w:tcPr>
          <w:p w14:paraId="30B910E2" w14:textId="77777777" w:rsidR="00D44A98" w:rsidRPr="00D44A98" w:rsidRDefault="00D44A98" w:rsidP="00D44A98">
            <w:pPr>
              <w:spacing w:before="40" w:after="0"/>
              <w:jc w:val="right"/>
              <w:rPr>
                <w:rFonts w:ascii="Arial" w:hAnsi="Arial" w:cs="Arial"/>
                <w:sz w:val="16"/>
                <w:szCs w:val="16"/>
              </w:rPr>
            </w:pPr>
            <w:r w:rsidRPr="00D44A98">
              <w:rPr>
                <w:rFonts w:ascii="Arial" w:hAnsi="Arial" w:cs="Arial"/>
                <w:b/>
                <w:bCs/>
                <w:sz w:val="16"/>
                <w:szCs w:val="16"/>
              </w:rPr>
              <w:t>Contributed equity/capital</w:t>
            </w:r>
            <w:r w:rsidRPr="00D44A98">
              <w:rPr>
                <w:rFonts w:ascii="Arial" w:hAnsi="Arial" w:cs="Arial"/>
                <w:b/>
                <w:bCs/>
                <w:sz w:val="16"/>
                <w:szCs w:val="16"/>
              </w:rPr>
              <w:br/>
              <w:t xml:space="preserve"> </w:t>
            </w:r>
            <w:r w:rsidRPr="00D44A98">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46C973C9" w14:textId="77777777" w:rsidR="00D44A98" w:rsidRPr="00D44A98" w:rsidRDefault="00D44A98" w:rsidP="00D44A98">
            <w:pPr>
              <w:spacing w:before="40" w:after="0"/>
              <w:jc w:val="right"/>
              <w:rPr>
                <w:rFonts w:ascii="Arial" w:hAnsi="Arial" w:cs="Arial"/>
                <w:sz w:val="16"/>
                <w:szCs w:val="16"/>
              </w:rPr>
            </w:pPr>
            <w:r w:rsidRPr="00D44A98">
              <w:rPr>
                <w:rFonts w:ascii="Arial" w:hAnsi="Arial" w:cs="Arial"/>
                <w:b/>
                <w:bCs/>
                <w:sz w:val="16"/>
                <w:szCs w:val="16"/>
              </w:rPr>
              <w:t xml:space="preserve">Total </w:t>
            </w:r>
            <w:r w:rsidRPr="00D44A98">
              <w:rPr>
                <w:rFonts w:ascii="Arial" w:hAnsi="Arial" w:cs="Arial"/>
                <w:b/>
                <w:bCs/>
                <w:sz w:val="16"/>
                <w:szCs w:val="16"/>
              </w:rPr>
              <w:br/>
              <w:t xml:space="preserve">equity </w:t>
            </w:r>
            <w:r w:rsidRPr="00D44A98">
              <w:rPr>
                <w:rFonts w:ascii="Arial" w:hAnsi="Arial" w:cs="Arial"/>
                <w:sz w:val="16"/>
                <w:szCs w:val="16"/>
              </w:rPr>
              <w:br/>
            </w:r>
            <w:r w:rsidRPr="00D44A98">
              <w:rPr>
                <w:rFonts w:ascii="Arial" w:hAnsi="Arial" w:cs="Arial"/>
                <w:sz w:val="16"/>
                <w:szCs w:val="16"/>
              </w:rPr>
              <w:br/>
              <w:t>$'000</w:t>
            </w:r>
          </w:p>
        </w:tc>
      </w:tr>
      <w:tr w:rsidR="00D44A98" w:rsidRPr="00D44A98" w14:paraId="0EBF4F11" w14:textId="77777777" w:rsidTr="00D44A98">
        <w:trPr>
          <w:trHeight w:val="225"/>
          <w:jc w:val="center"/>
        </w:trPr>
        <w:tc>
          <w:tcPr>
            <w:tcW w:w="2860" w:type="dxa"/>
            <w:tcBorders>
              <w:top w:val="nil"/>
              <w:left w:val="nil"/>
              <w:bottom w:val="nil"/>
              <w:right w:val="nil"/>
            </w:tcBorders>
            <w:shd w:val="clear" w:color="auto" w:fill="auto"/>
            <w:noWrap/>
            <w:vAlign w:val="bottom"/>
            <w:hideMark/>
          </w:tcPr>
          <w:p w14:paraId="753EF181"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0AC3E4C4" w14:textId="77777777" w:rsidR="00D44A98" w:rsidRPr="00D44A98" w:rsidRDefault="00D44A98" w:rsidP="00D44A98">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82BF345" w14:textId="77777777" w:rsidR="00D44A98" w:rsidRPr="00D44A98" w:rsidRDefault="00D44A98" w:rsidP="00D44A98">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69205D27" w14:textId="77777777" w:rsidR="00D44A98" w:rsidRPr="00D44A98" w:rsidRDefault="00D44A98" w:rsidP="00D44A98">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9A29F20" w14:textId="77777777" w:rsidR="00D44A98" w:rsidRPr="00D44A98" w:rsidRDefault="00D44A98" w:rsidP="00D44A98">
            <w:pPr>
              <w:spacing w:after="0"/>
              <w:jc w:val="right"/>
              <w:rPr>
                <w:rFonts w:ascii="Times New Roman" w:hAnsi="Times New Roman"/>
                <w:color w:val="auto"/>
              </w:rPr>
            </w:pPr>
          </w:p>
        </w:tc>
      </w:tr>
      <w:tr w:rsidR="00D44A98" w:rsidRPr="00D44A98" w14:paraId="2D06C145" w14:textId="77777777" w:rsidTr="00D44A98">
        <w:trPr>
          <w:trHeight w:val="454"/>
          <w:jc w:val="center"/>
        </w:trPr>
        <w:tc>
          <w:tcPr>
            <w:tcW w:w="2860" w:type="dxa"/>
            <w:tcBorders>
              <w:top w:val="nil"/>
              <w:left w:val="nil"/>
              <w:bottom w:val="nil"/>
              <w:right w:val="nil"/>
            </w:tcBorders>
            <w:shd w:val="clear" w:color="auto" w:fill="auto"/>
            <w:vAlign w:val="bottom"/>
            <w:hideMark/>
          </w:tcPr>
          <w:p w14:paraId="5C48FABE" w14:textId="77777777" w:rsidR="00D44A98" w:rsidRPr="00D44A98" w:rsidRDefault="00D44A98" w:rsidP="00D44A98">
            <w:pPr>
              <w:spacing w:after="0"/>
              <w:ind w:leftChars="75" w:left="150"/>
              <w:rPr>
                <w:rFonts w:ascii="Arial" w:hAnsi="Arial" w:cs="Arial"/>
                <w:sz w:val="16"/>
                <w:szCs w:val="16"/>
              </w:rPr>
            </w:pPr>
            <w:r w:rsidRPr="00D44A98">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6C8345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(2,340)</w:t>
            </w:r>
          </w:p>
        </w:tc>
        <w:tc>
          <w:tcPr>
            <w:tcW w:w="1200" w:type="dxa"/>
            <w:tcBorders>
              <w:top w:val="nil"/>
              <w:left w:val="nil"/>
              <w:bottom w:val="nil"/>
              <w:right w:val="nil"/>
            </w:tcBorders>
            <w:shd w:val="clear" w:color="auto" w:fill="auto"/>
            <w:noWrap/>
            <w:vAlign w:val="bottom"/>
            <w:hideMark/>
          </w:tcPr>
          <w:p w14:paraId="798E092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666</w:t>
            </w:r>
          </w:p>
        </w:tc>
        <w:tc>
          <w:tcPr>
            <w:tcW w:w="1200" w:type="dxa"/>
            <w:tcBorders>
              <w:top w:val="nil"/>
              <w:left w:val="nil"/>
              <w:bottom w:val="nil"/>
              <w:right w:val="nil"/>
            </w:tcBorders>
            <w:shd w:val="clear" w:color="auto" w:fill="auto"/>
            <w:noWrap/>
            <w:vAlign w:val="bottom"/>
            <w:hideMark/>
          </w:tcPr>
          <w:p w14:paraId="590346D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3,941</w:t>
            </w:r>
          </w:p>
        </w:tc>
        <w:tc>
          <w:tcPr>
            <w:tcW w:w="1060" w:type="dxa"/>
            <w:tcBorders>
              <w:top w:val="nil"/>
              <w:left w:val="nil"/>
              <w:bottom w:val="nil"/>
              <w:right w:val="nil"/>
            </w:tcBorders>
            <w:shd w:val="clear" w:color="auto" w:fill="auto"/>
            <w:noWrap/>
            <w:vAlign w:val="bottom"/>
            <w:hideMark/>
          </w:tcPr>
          <w:p w14:paraId="6DC155D5"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2,267</w:t>
            </w:r>
          </w:p>
        </w:tc>
      </w:tr>
      <w:tr w:rsidR="00D44A98" w:rsidRPr="00D44A98" w14:paraId="0A7A5BE2" w14:textId="77777777" w:rsidTr="00A4403D">
        <w:trPr>
          <w:trHeight w:val="283"/>
          <w:jc w:val="center"/>
        </w:trPr>
        <w:tc>
          <w:tcPr>
            <w:tcW w:w="2860" w:type="dxa"/>
            <w:tcBorders>
              <w:top w:val="nil"/>
              <w:left w:val="nil"/>
              <w:bottom w:val="nil"/>
              <w:right w:val="nil"/>
            </w:tcBorders>
            <w:shd w:val="clear" w:color="auto" w:fill="auto"/>
            <w:noWrap/>
            <w:vAlign w:val="bottom"/>
            <w:hideMark/>
          </w:tcPr>
          <w:p w14:paraId="77313553" w14:textId="77777777" w:rsidR="00D44A98" w:rsidRPr="00D44A98" w:rsidRDefault="00D44A98" w:rsidP="00D44A98">
            <w:pPr>
              <w:spacing w:after="0"/>
              <w:ind w:leftChars="75" w:left="150"/>
              <w:rPr>
                <w:rFonts w:ascii="Arial" w:hAnsi="Arial" w:cs="Arial"/>
                <w:color w:val="auto"/>
                <w:sz w:val="16"/>
                <w:szCs w:val="16"/>
              </w:rPr>
            </w:pPr>
            <w:r w:rsidRPr="00D44A98">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35D7B95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(354)</w:t>
            </w:r>
          </w:p>
        </w:tc>
        <w:tc>
          <w:tcPr>
            <w:tcW w:w="1200" w:type="dxa"/>
            <w:tcBorders>
              <w:top w:val="nil"/>
              <w:left w:val="nil"/>
              <w:bottom w:val="nil"/>
              <w:right w:val="nil"/>
            </w:tcBorders>
            <w:shd w:val="clear" w:color="auto" w:fill="auto"/>
            <w:noWrap/>
            <w:vAlign w:val="bottom"/>
            <w:hideMark/>
          </w:tcPr>
          <w:p w14:paraId="2FEF540B"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0B77FE5E"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156623D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(354)</w:t>
            </w:r>
          </w:p>
        </w:tc>
      </w:tr>
      <w:tr w:rsidR="00D44A98" w:rsidRPr="00D44A98" w14:paraId="34AA36C5" w14:textId="77777777" w:rsidTr="00A4403D">
        <w:trPr>
          <w:trHeight w:val="283"/>
          <w:jc w:val="center"/>
        </w:trPr>
        <w:tc>
          <w:tcPr>
            <w:tcW w:w="2860" w:type="dxa"/>
            <w:tcBorders>
              <w:top w:val="nil"/>
              <w:left w:val="nil"/>
              <w:bottom w:val="nil"/>
              <w:right w:val="nil"/>
            </w:tcBorders>
            <w:shd w:val="clear" w:color="000000" w:fill="FFFFFF"/>
            <w:noWrap/>
            <w:vAlign w:val="bottom"/>
            <w:hideMark/>
          </w:tcPr>
          <w:p w14:paraId="13239FFB" w14:textId="77777777" w:rsidR="00D44A98" w:rsidRPr="00D44A98" w:rsidRDefault="00D44A98" w:rsidP="00D44A98">
            <w:pPr>
              <w:spacing w:after="0"/>
              <w:ind w:leftChars="75" w:left="150"/>
              <w:rPr>
                <w:rFonts w:ascii="Arial" w:hAnsi="Arial" w:cs="Arial"/>
                <w:color w:val="auto"/>
                <w:sz w:val="16"/>
                <w:szCs w:val="16"/>
              </w:rPr>
            </w:pPr>
            <w:r w:rsidRPr="00D44A98">
              <w:rPr>
                <w:rFonts w:ascii="Arial" w:hAnsi="Arial" w:cs="Arial"/>
                <w:color w:val="auto"/>
                <w:sz w:val="16"/>
                <w:szCs w:val="16"/>
              </w:rPr>
              <w:t>Capital budget - Bill 1 (DCB)</w:t>
            </w:r>
          </w:p>
        </w:tc>
        <w:tc>
          <w:tcPr>
            <w:tcW w:w="1060" w:type="dxa"/>
            <w:tcBorders>
              <w:top w:val="nil"/>
              <w:left w:val="nil"/>
              <w:bottom w:val="single" w:sz="4" w:space="0" w:color="auto"/>
              <w:right w:val="nil"/>
            </w:tcBorders>
            <w:shd w:val="clear" w:color="auto" w:fill="auto"/>
            <w:noWrap/>
            <w:vAlign w:val="bottom"/>
            <w:hideMark/>
          </w:tcPr>
          <w:p w14:paraId="58BD2079"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A9395F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3AEC7CD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264</w:t>
            </w:r>
          </w:p>
        </w:tc>
        <w:tc>
          <w:tcPr>
            <w:tcW w:w="1060" w:type="dxa"/>
            <w:tcBorders>
              <w:top w:val="nil"/>
              <w:left w:val="nil"/>
              <w:bottom w:val="single" w:sz="4" w:space="0" w:color="auto"/>
              <w:right w:val="nil"/>
            </w:tcBorders>
            <w:shd w:val="clear" w:color="auto" w:fill="auto"/>
            <w:noWrap/>
            <w:vAlign w:val="bottom"/>
            <w:hideMark/>
          </w:tcPr>
          <w:p w14:paraId="1D7F3894"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264</w:t>
            </w:r>
          </w:p>
        </w:tc>
      </w:tr>
      <w:tr w:rsidR="00D44A98" w:rsidRPr="00D44A98" w14:paraId="05B6B876" w14:textId="77777777" w:rsidTr="00D44A98">
        <w:trPr>
          <w:trHeight w:val="454"/>
          <w:jc w:val="center"/>
        </w:trPr>
        <w:tc>
          <w:tcPr>
            <w:tcW w:w="2860" w:type="dxa"/>
            <w:tcBorders>
              <w:top w:val="nil"/>
              <w:left w:val="nil"/>
              <w:bottom w:val="single" w:sz="4" w:space="0" w:color="auto"/>
              <w:right w:val="nil"/>
            </w:tcBorders>
            <w:shd w:val="clear" w:color="auto" w:fill="auto"/>
            <w:vAlign w:val="bottom"/>
            <w:hideMark/>
          </w:tcPr>
          <w:p w14:paraId="0103F578"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Estimated closing balance as at</w:t>
            </w:r>
            <w:r w:rsidRPr="00D44A98">
              <w:rPr>
                <w:rFonts w:ascii="Arial" w:hAnsi="Arial" w:cs="Arial"/>
                <w:b/>
                <w:bCs/>
                <w:sz w:val="16"/>
                <w:szCs w:val="16"/>
              </w:rPr>
              <w:br/>
              <w:t>30 June 2023</w:t>
            </w:r>
          </w:p>
        </w:tc>
        <w:tc>
          <w:tcPr>
            <w:tcW w:w="1060" w:type="dxa"/>
            <w:tcBorders>
              <w:top w:val="nil"/>
              <w:left w:val="nil"/>
              <w:bottom w:val="single" w:sz="4" w:space="0" w:color="auto"/>
              <w:right w:val="nil"/>
            </w:tcBorders>
            <w:shd w:val="clear" w:color="auto" w:fill="auto"/>
            <w:noWrap/>
            <w:vAlign w:val="bottom"/>
            <w:hideMark/>
          </w:tcPr>
          <w:p w14:paraId="0FEC9E2A"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(2,694)</w:t>
            </w:r>
          </w:p>
        </w:tc>
        <w:tc>
          <w:tcPr>
            <w:tcW w:w="1200" w:type="dxa"/>
            <w:tcBorders>
              <w:top w:val="nil"/>
              <w:left w:val="nil"/>
              <w:bottom w:val="single" w:sz="4" w:space="0" w:color="auto"/>
              <w:right w:val="nil"/>
            </w:tcBorders>
            <w:shd w:val="clear" w:color="auto" w:fill="auto"/>
            <w:noWrap/>
            <w:vAlign w:val="bottom"/>
            <w:hideMark/>
          </w:tcPr>
          <w:p w14:paraId="037C7320"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666</w:t>
            </w:r>
          </w:p>
        </w:tc>
        <w:tc>
          <w:tcPr>
            <w:tcW w:w="1200" w:type="dxa"/>
            <w:tcBorders>
              <w:top w:val="nil"/>
              <w:left w:val="nil"/>
              <w:bottom w:val="single" w:sz="4" w:space="0" w:color="auto"/>
              <w:right w:val="nil"/>
            </w:tcBorders>
            <w:shd w:val="clear" w:color="auto" w:fill="auto"/>
            <w:noWrap/>
            <w:vAlign w:val="bottom"/>
            <w:hideMark/>
          </w:tcPr>
          <w:p w14:paraId="585944A3"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4,205</w:t>
            </w:r>
          </w:p>
        </w:tc>
        <w:tc>
          <w:tcPr>
            <w:tcW w:w="1060" w:type="dxa"/>
            <w:tcBorders>
              <w:top w:val="nil"/>
              <w:left w:val="nil"/>
              <w:bottom w:val="single" w:sz="4" w:space="0" w:color="auto"/>
              <w:right w:val="nil"/>
            </w:tcBorders>
            <w:shd w:val="clear" w:color="auto" w:fill="auto"/>
            <w:noWrap/>
            <w:vAlign w:val="bottom"/>
            <w:hideMark/>
          </w:tcPr>
          <w:p w14:paraId="73AB17A3"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2,177</w:t>
            </w:r>
          </w:p>
        </w:tc>
      </w:tr>
    </w:tbl>
    <w:p w14:paraId="33E65A1D" w14:textId="7FE8247A" w:rsidR="00D44A98" w:rsidRDefault="00D44A98" w:rsidP="00D44A98">
      <w:pPr>
        <w:pStyle w:val="FootnoteText"/>
        <w:spacing w:before="120"/>
      </w:pPr>
      <w:r w:rsidRPr="00D44A98">
        <w:t>DCB =</w:t>
      </w:r>
      <w:r>
        <w:t xml:space="preserve"> Departmental Capital Budget</w:t>
      </w:r>
      <w:r>
        <w:br w:type="page"/>
      </w:r>
    </w:p>
    <w:p w14:paraId="07A4A836" w14:textId="76E4607E" w:rsidR="00BC0659" w:rsidRDefault="00BC0659" w:rsidP="00BC0659">
      <w:pPr>
        <w:pStyle w:val="Tablenumberandreference"/>
        <w:rPr>
          <w:color w:val="000000" w:themeColor="text1"/>
        </w:rPr>
      </w:pPr>
      <w:r w:rsidRPr="00EE76CA">
        <w:rPr>
          <w:color w:val="000000" w:themeColor="text1"/>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D44A98" w:rsidRPr="00D44A98" w14:paraId="7C85ACE1" w14:textId="77777777" w:rsidTr="00D44A98">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79241B33"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793459F3"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2021–22 Estimated actual</w:t>
            </w:r>
            <w:r w:rsidRPr="00D44A98">
              <w:rPr>
                <w:rFonts w:ascii="Arial" w:hAnsi="Arial" w:cs="Arial"/>
                <w:b/>
                <w:bCs/>
                <w:color w:val="auto"/>
                <w:sz w:val="16"/>
                <w:szCs w:val="16"/>
              </w:rPr>
              <w:br/>
            </w:r>
            <w:r w:rsidRPr="00D44A98">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686BCB2B"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 xml:space="preserve">2022–23 Budget </w:t>
            </w:r>
            <w:r w:rsidRPr="00D44A98">
              <w:rPr>
                <w:rFonts w:ascii="Arial" w:hAnsi="Arial" w:cs="Arial"/>
                <w:b/>
                <w:bCs/>
                <w:color w:val="auto"/>
                <w:sz w:val="16"/>
                <w:szCs w:val="16"/>
              </w:rPr>
              <w:br/>
            </w:r>
            <w:r w:rsidRPr="00D44A98">
              <w:rPr>
                <w:rFonts w:ascii="Arial" w:hAnsi="Arial" w:cs="Arial"/>
                <w:b/>
                <w:bCs/>
                <w:color w:val="auto"/>
                <w:sz w:val="16"/>
                <w:szCs w:val="16"/>
              </w:rPr>
              <w:br/>
            </w:r>
            <w:r w:rsidRPr="00D44A98">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0A5E0F42"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2023–24 Forward estimate</w:t>
            </w:r>
            <w:r w:rsidRPr="00D44A98">
              <w:rPr>
                <w:rFonts w:ascii="Arial" w:hAnsi="Arial" w:cs="Arial"/>
                <w:b/>
                <w:bCs/>
                <w:color w:val="auto"/>
                <w:sz w:val="16"/>
                <w:szCs w:val="16"/>
              </w:rPr>
              <w:br/>
            </w:r>
            <w:r w:rsidRPr="00D44A98">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557C1A43"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2024–25 Forward estimate</w:t>
            </w:r>
            <w:r w:rsidRPr="00D44A98">
              <w:rPr>
                <w:rFonts w:ascii="Arial" w:hAnsi="Arial" w:cs="Arial"/>
                <w:b/>
                <w:bCs/>
                <w:color w:val="auto"/>
                <w:sz w:val="16"/>
                <w:szCs w:val="16"/>
              </w:rPr>
              <w:br/>
            </w:r>
            <w:r w:rsidRPr="00D44A98">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15085A87" w14:textId="77777777" w:rsidR="00D44A98" w:rsidRPr="00D44A98" w:rsidRDefault="00D44A98" w:rsidP="00D44A98">
            <w:pPr>
              <w:spacing w:before="40" w:after="0"/>
              <w:jc w:val="right"/>
              <w:rPr>
                <w:rFonts w:ascii="Arial" w:hAnsi="Arial" w:cs="Arial"/>
                <w:b/>
                <w:bCs/>
                <w:color w:val="auto"/>
                <w:sz w:val="16"/>
                <w:szCs w:val="16"/>
              </w:rPr>
            </w:pPr>
            <w:r w:rsidRPr="00D44A98">
              <w:rPr>
                <w:rFonts w:ascii="Arial" w:hAnsi="Arial" w:cs="Arial"/>
                <w:b/>
                <w:bCs/>
                <w:color w:val="auto"/>
                <w:sz w:val="16"/>
                <w:szCs w:val="16"/>
              </w:rPr>
              <w:t>2025–26 Forward estimate</w:t>
            </w:r>
            <w:r w:rsidRPr="00D44A98">
              <w:rPr>
                <w:rFonts w:ascii="Arial" w:hAnsi="Arial" w:cs="Arial"/>
                <w:b/>
                <w:bCs/>
                <w:color w:val="auto"/>
                <w:sz w:val="16"/>
                <w:szCs w:val="16"/>
              </w:rPr>
              <w:br/>
            </w:r>
            <w:r w:rsidRPr="00D44A98">
              <w:rPr>
                <w:rFonts w:ascii="Arial" w:hAnsi="Arial" w:cs="Arial"/>
                <w:color w:val="auto"/>
                <w:sz w:val="16"/>
                <w:szCs w:val="16"/>
              </w:rPr>
              <w:t>$'000</w:t>
            </w:r>
          </w:p>
        </w:tc>
      </w:tr>
      <w:tr w:rsidR="00D44A98" w:rsidRPr="00D44A98" w14:paraId="06701A8A"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2F462AA7"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31DF065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5402D78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0C13180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538EABE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3657617"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r>
      <w:tr w:rsidR="00D44A98" w:rsidRPr="00D44A98" w14:paraId="515CE494"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15B6CCDE"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0DE24FC" w14:textId="77777777" w:rsidR="00D44A98" w:rsidRPr="00D44A98" w:rsidRDefault="00D44A98" w:rsidP="00D44A9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53DA434"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8D10B66"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6AF1DD8"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718E6D9" w14:textId="77777777" w:rsidR="00D44A98" w:rsidRPr="00D44A98" w:rsidRDefault="00D44A98" w:rsidP="00D44A98">
            <w:pPr>
              <w:spacing w:after="0"/>
              <w:jc w:val="right"/>
              <w:rPr>
                <w:rFonts w:ascii="Times New Roman" w:hAnsi="Times New Roman"/>
                <w:color w:val="auto"/>
              </w:rPr>
            </w:pPr>
          </w:p>
        </w:tc>
      </w:tr>
      <w:tr w:rsidR="00D44A98" w:rsidRPr="00D44A98" w14:paraId="719C8F30"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73B9E21F"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3D24AFBB"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5,978</w:t>
            </w:r>
          </w:p>
        </w:tc>
        <w:tc>
          <w:tcPr>
            <w:tcW w:w="844" w:type="dxa"/>
            <w:tcBorders>
              <w:top w:val="nil"/>
              <w:left w:val="nil"/>
              <w:bottom w:val="nil"/>
              <w:right w:val="nil"/>
            </w:tcBorders>
            <w:shd w:val="clear" w:color="000000" w:fill="D9D9D9"/>
            <w:noWrap/>
            <w:vAlign w:val="bottom"/>
            <w:hideMark/>
          </w:tcPr>
          <w:p w14:paraId="4376652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6,194</w:t>
            </w:r>
          </w:p>
        </w:tc>
        <w:tc>
          <w:tcPr>
            <w:tcW w:w="861" w:type="dxa"/>
            <w:tcBorders>
              <w:top w:val="nil"/>
              <w:left w:val="nil"/>
              <w:bottom w:val="nil"/>
              <w:right w:val="nil"/>
            </w:tcBorders>
            <w:shd w:val="clear" w:color="auto" w:fill="auto"/>
            <w:noWrap/>
            <w:vAlign w:val="bottom"/>
            <w:hideMark/>
          </w:tcPr>
          <w:p w14:paraId="3012BF24"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6,228</w:t>
            </w:r>
          </w:p>
        </w:tc>
        <w:tc>
          <w:tcPr>
            <w:tcW w:w="861" w:type="dxa"/>
            <w:tcBorders>
              <w:top w:val="nil"/>
              <w:left w:val="nil"/>
              <w:bottom w:val="nil"/>
              <w:right w:val="nil"/>
            </w:tcBorders>
            <w:shd w:val="clear" w:color="auto" w:fill="auto"/>
            <w:noWrap/>
            <w:vAlign w:val="bottom"/>
            <w:hideMark/>
          </w:tcPr>
          <w:p w14:paraId="5A3B903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6,273</w:t>
            </w:r>
          </w:p>
        </w:tc>
        <w:tc>
          <w:tcPr>
            <w:tcW w:w="861" w:type="dxa"/>
            <w:tcBorders>
              <w:top w:val="nil"/>
              <w:left w:val="nil"/>
              <w:bottom w:val="nil"/>
              <w:right w:val="nil"/>
            </w:tcBorders>
            <w:shd w:val="clear" w:color="auto" w:fill="auto"/>
            <w:noWrap/>
            <w:vAlign w:val="bottom"/>
            <w:hideMark/>
          </w:tcPr>
          <w:p w14:paraId="3A19249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6,316</w:t>
            </w:r>
          </w:p>
        </w:tc>
      </w:tr>
      <w:tr w:rsidR="00D44A98" w:rsidRPr="00D44A98" w14:paraId="4F186C39"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1E2E0D57"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67C2817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2BEDC1A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5B2AA3BE"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DD890D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83908EE"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r>
      <w:tr w:rsidR="00D44A98" w:rsidRPr="00D44A98" w14:paraId="10CD25CD"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76FCB7C5"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GST received</w:t>
            </w:r>
          </w:p>
        </w:tc>
        <w:tc>
          <w:tcPr>
            <w:tcW w:w="881" w:type="dxa"/>
            <w:tcBorders>
              <w:top w:val="nil"/>
              <w:left w:val="nil"/>
              <w:bottom w:val="nil"/>
              <w:right w:val="nil"/>
            </w:tcBorders>
            <w:shd w:val="clear" w:color="auto" w:fill="auto"/>
            <w:noWrap/>
            <w:vAlign w:val="bottom"/>
            <w:hideMark/>
          </w:tcPr>
          <w:p w14:paraId="58230470"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195</w:t>
            </w:r>
          </w:p>
        </w:tc>
        <w:tc>
          <w:tcPr>
            <w:tcW w:w="844" w:type="dxa"/>
            <w:tcBorders>
              <w:top w:val="nil"/>
              <w:left w:val="nil"/>
              <w:bottom w:val="nil"/>
              <w:right w:val="nil"/>
            </w:tcBorders>
            <w:shd w:val="clear" w:color="000000" w:fill="D9D9D9"/>
            <w:noWrap/>
            <w:vAlign w:val="bottom"/>
            <w:hideMark/>
          </w:tcPr>
          <w:p w14:paraId="526E30E7"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6856DD3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67708162"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62206B9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200</w:t>
            </w:r>
          </w:p>
        </w:tc>
      </w:tr>
      <w:tr w:rsidR="00D44A98" w:rsidRPr="00D44A98" w14:paraId="582D798A"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292FF30E" w14:textId="77777777" w:rsidR="00D44A98" w:rsidRPr="00D44A98" w:rsidRDefault="00D44A98" w:rsidP="008250BA">
            <w:pPr>
              <w:spacing w:after="0"/>
              <w:ind w:leftChars="150" w:left="300"/>
              <w:rPr>
                <w:rFonts w:ascii="Arial" w:hAnsi="Arial" w:cs="Arial"/>
                <w:b/>
                <w:bCs/>
                <w:sz w:val="16"/>
                <w:szCs w:val="16"/>
              </w:rPr>
            </w:pPr>
            <w:r w:rsidRPr="00D44A98">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F8C21C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6,173</w:t>
            </w:r>
          </w:p>
        </w:tc>
        <w:tc>
          <w:tcPr>
            <w:tcW w:w="844" w:type="dxa"/>
            <w:tcBorders>
              <w:top w:val="nil"/>
              <w:left w:val="nil"/>
              <w:bottom w:val="single" w:sz="4" w:space="0" w:color="auto"/>
              <w:right w:val="nil"/>
            </w:tcBorders>
            <w:shd w:val="clear" w:color="000000" w:fill="D9D9D9"/>
            <w:noWrap/>
            <w:vAlign w:val="bottom"/>
            <w:hideMark/>
          </w:tcPr>
          <w:p w14:paraId="2DF9746A"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6,359</w:t>
            </w:r>
          </w:p>
        </w:tc>
        <w:tc>
          <w:tcPr>
            <w:tcW w:w="861" w:type="dxa"/>
            <w:tcBorders>
              <w:top w:val="nil"/>
              <w:left w:val="nil"/>
              <w:bottom w:val="single" w:sz="4" w:space="0" w:color="auto"/>
              <w:right w:val="nil"/>
            </w:tcBorders>
            <w:shd w:val="clear" w:color="auto" w:fill="auto"/>
            <w:noWrap/>
            <w:vAlign w:val="bottom"/>
            <w:hideMark/>
          </w:tcPr>
          <w:p w14:paraId="55F3D029"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6,393</w:t>
            </w:r>
          </w:p>
        </w:tc>
        <w:tc>
          <w:tcPr>
            <w:tcW w:w="861" w:type="dxa"/>
            <w:tcBorders>
              <w:top w:val="nil"/>
              <w:left w:val="nil"/>
              <w:bottom w:val="single" w:sz="4" w:space="0" w:color="auto"/>
              <w:right w:val="nil"/>
            </w:tcBorders>
            <w:shd w:val="clear" w:color="auto" w:fill="auto"/>
            <w:noWrap/>
            <w:vAlign w:val="bottom"/>
            <w:hideMark/>
          </w:tcPr>
          <w:p w14:paraId="0585A3F1"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6,473</w:t>
            </w:r>
          </w:p>
        </w:tc>
        <w:tc>
          <w:tcPr>
            <w:tcW w:w="861" w:type="dxa"/>
            <w:tcBorders>
              <w:top w:val="nil"/>
              <w:left w:val="nil"/>
              <w:bottom w:val="single" w:sz="4" w:space="0" w:color="auto"/>
              <w:right w:val="nil"/>
            </w:tcBorders>
            <w:shd w:val="clear" w:color="auto" w:fill="auto"/>
            <w:noWrap/>
            <w:vAlign w:val="bottom"/>
            <w:hideMark/>
          </w:tcPr>
          <w:p w14:paraId="72EF0F5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6,516</w:t>
            </w:r>
          </w:p>
        </w:tc>
      </w:tr>
      <w:tr w:rsidR="00D44A98" w:rsidRPr="00D44A98" w14:paraId="5C23B12A" w14:textId="77777777" w:rsidTr="003B0A03">
        <w:trPr>
          <w:trHeight w:val="283"/>
          <w:jc w:val="center"/>
        </w:trPr>
        <w:tc>
          <w:tcPr>
            <w:tcW w:w="3052" w:type="dxa"/>
            <w:tcBorders>
              <w:top w:val="nil"/>
              <w:left w:val="nil"/>
              <w:bottom w:val="nil"/>
              <w:right w:val="nil"/>
            </w:tcBorders>
            <w:shd w:val="clear" w:color="auto" w:fill="auto"/>
            <w:noWrap/>
            <w:vAlign w:val="bottom"/>
            <w:hideMark/>
          </w:tcPr>
          <w:p w14:paraId="639C8EA7"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08198F9D" w14:textId="77777777" w:rsidR="00D44A98" w:rsidRPr="00D44A98" w:rsidRDefault="00D44A98" w:rsidP="00D44A9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7A71F9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1732451"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9451010"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9863171" w14:textId="77777777" w:rsidR="00D44A98" w:rsidRPr="00D44A98" w:rsidRDefault="00D44A98" w:rsidP="00D44A98">
            <w:pPr>
              <w:spacing w:after="0"/>
              <w:jc w:val="right"/>
              <w:rPr>
                <w:rFonts w:ascii="Times New Roman" w:hAnsi="Times New Roman"/>
                <w:color w:val="auto"/>
              </w:rPr>
            </w:pPr>
          </w:p>
        </w:tc>
      </w:tr>
      <w:tr w:rsidR="00D44A98" w:rsidRPr="00D44A98" w14:paraId="1466B520"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60506E6C"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08A9211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4,135</w:t>
            </w:r>
          </w:p>
        </w:tc>
        <w:tc>
          <w:tcPr>
            <w:tcW w:w="844" w:type="dxa"/>
            <w:tcBorders>
              <w:top w:val="nil"/>
              <w:left w:val="nil"/>
              <w:bottom w:val="nil"/>
              <w:right w:val="nil"/>
            </w:tcBorders>
            <w:shd w:val="clear" w:color="000000" w:fill="D9D9D9"/>
            <w:noWrap/>
            <w:vAlign w:val="bottom"/>
            <w:hideMark/>
          </w:tcPr>
          <w:p w14:paraId="5B6752D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4,278</w:t>
            </w:r>
          </w:p>
        </w:tc>
        <w:tc>
          <w:tcPr>
            <w:tcW w:w="861" w:type="dxa"/>
            <w:tcBorders>
              <w:top w:val="nil"/>
              <w:left w:val="nil"/>
              <w:bottom w:val="nil"/>
              <w:right w:val="nil"/>
            </w:tcBorders>
            <w:shd w:val="clear" w:color="auto" w:fill="auto"/>
            <w:noWrap/>
            <w:vAlign w:val="bottom"/>
            <w:hideMark/>
          </w:tcPr>
          <w:p w14:paraId="25E2A42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4,280</w:t>
            </w:r>
          </w:p>
        </w:tc>
        <w:tc>
          <w:tcPr>
            <w:tcW w:w="861" w:type="dxa"/>
            <w:tcBorders>
              <w:top w:val="nil"/>
              <w:left w:val="nil"/>
              <w:bottom w:val="nil"/>
              <w:right w:val="nil"/>
            </w:tcBorders>
            <w:shd w:val="clear" w:color="auto" w:fill="auto"/>
            <w:noWrap/>
            <w:vAlign w:val="bottom"/>
            <w:hideMark/>
          </w:tcPr>
          <w:p w14:paraId="02C04B08"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4,455</w:t>
            </w:r>
          </w:p>
        </w:tc>
        <w:tc>
          <w:tcPr>
            <w:tcW w:w="861" w:type="dxa"/>
            <w:tcBorders>
              <w:top w:val="nil"/>
              <w:left w:val="nil"/>
              <w:bottom w:val="nil"/>
              <w:right w:val="nil"/>
            </w:tcBorders>
            <w:shd w:val="clear" w:color="auto" w:fill="auto"/>
            <w:noWrap/>
            <w:vAlign w:val="bottom"/>
            <w:hideMark/>
          </w:tcPr>
          <w:p w14:paraId="260B23BC"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4,482</w:t>
            </w:r>
          </w:p>
        </w:tc>
      </w:tr>
      <w:tr w:rsidR="00D44A98" w:rsidRPr="00D44A98" w14:paraId="2190A6ED"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433F3E3A"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6C431A59"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1,514</w:t>
            </w:r>
          </w:p>
        </w:tc>
        <w:tc>
          <w:tcPr>
            <w:tcW w:w="844" w:type="dxa"/>
            <w:tcBorders>
              <w:top w:val="nil"/>
              <w:left w:val="nil"/>
              <w:bottom w:val="nil"/>
              <w:right w:val="nil"/>
            </w:tcBorders>
            <w:shd w:val="clear" w:color="000000" w:fill="D9D9D9"/>
            <w:noWrap/>
            <w:vAlign w:val="bottom"/>
            <w:hideMark/>
          </w:tcPr>
          <w:p w14:paraId="6556BC0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1,587</w:t>
            </w:r>
          </w:p>
        </w:tc>
        <w:tc>
          <w:tcPr>
            <w:tcW w:w="861" w:type="dxa"/>
            <w:tcBorders>
              <w:top w:val="nil"/>
              <w:left w:val="nil"/>
              <w:bottom w:val="nil"/>
              <w:right w:val="nil"/>
            </w:tcBorders>
            <w:shd w:val="clear" w:color="auto" w:fill="auto"/>
            <w:noWrap/>
            <w:vAlign w:val="bottom"/>
            <w:hideMark/>
          </w:tcPr>
          <w:p w14:paraId="4B77F70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1,612</w:t>
            </w:r>
          </w:p>
        </w:tc>
        <w:tc>
          <w:tcPr>
            <w:tcW w:w="861" w:type="dxa"/>
            <w:tcBorders>
              <w:top w:val="nil"/>
              <w:left w:val="nil"/>
              <w:bottom w:val="nil"/>
              <w:right w:val="nil"/>
            </w:tcBorders>
            <w:shd w:val="clear" w:color="auto" w:fill="auto"/>
            <w:noWrap/>
            <w:vAlign w:val="bottom"/>
            <w:hideMark/>
          </w:tcPr>
          <w:p w14:paraId="544D11B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1,528</w:t>
            </w:r>
          </w:p>
        </w:tc>
        <w:tc>
          <w:tcPr>
            <w:tcW w:w="861" w:type="dxa"/>
            <w:tcBorders>
              <w:top w:val="nil"/>
              <w:left w:val="nil"/>
              <w:bottom w:val="nil"/>
              <w:right w:val="nil"/>
            </w:tcBorders>
            <w:shd w:val="clear" w:color="auto" w:fill="auto"/>
            <w:noWrap/>
            <w:vAlign w:val="bottom"/>
            <w:hideMark/>
          </w:tcPr>
          <w:p w14:paraId="2BACDC6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1,536</w:t>
            </w:r>
          </w:p>
        </w:tc>
      </w:tr>
      <w:tr w:rsidR="00D44A98" w:rsidRPr="00D44A98" w14:paraId="1A179E2C"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45609276"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24DF93D5"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14</w:t>
            </w:r>
          </w:p>
        </w:tc>
        <w:tc>
          <w:tcPr>
            <w:tcW w:w="844" w:type="dxa"/>
            <w:tcBorders>
              <w:top w:val="nil"/>
              <w:left w:val="nil"/>
              <w:bottom w:val="nil"/>
              <w:right w:val="nil"/>
            </w:tcBorders>
            <w:shd w:val="clear" w:color="000000" w:fill="D9D9D9"/>
            <w:noWrap/>
            <w:vAlign w:val="bottom"/>
            <w:hideMark/>
          </w:tcPr>
          <w:p w14:paraId="3037197D"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14</w:t>
            </w:r>
          </w:p>
        </w:tc>
        <w:tc>
          <w:tcPr>
            <w:tcW w:w="861" w:type="dxa"/>
            <w:tcBorders>
              <w:top w:val="nil"/>
              <w:left w:val="nil"/>
              <w:bottom w:val="nil"/>
              <w:right w:val="nil"/>
            </w:tcBorders>
            <w:shd w:val="clear" w:color="auto" w:fill="auto"/>
            <w:noWrap/>
            <w:vAlign w:val="bottom"/>
            <w:hideMark/>
          </w:tcPr>
          <w:p w14:paraId="4CD99259"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51D0342D"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3B6E860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10</w:t>
            </w:r>
          </w:p>
        </w:tc>
      </w:tr>
      <w:tr w:rsidR="00D44A98" w:rsidRPr="00D44A98" w14:paraId="7B88F633"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171BAE3E"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1BF8331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w:t>
            </w:r>
          </w:p>
        </w:tc>
        <w:tc>
          <w:tcPr>
            <w:tcW w:w="844" w:type="dxa"/>
            <w:tcBorders>
              <w:top w:val="nil"/>
              <w:left w:val="nil"/>
              <w:bottom w:val="nil"/>
              <w:right w:val="nil"/>
            </w:tcBorders>
            <w:shd w:val="clear" w:color="000000" w:fill="D9D9D9"/>
            <w:noWrap/>
            <w:vAlign w:val="bottom"/>
            <w:hideMark/>
          </w:tcPr>
          <w:p w14:paraId="1BCD373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2ACC6A30"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F127D2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358AA4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w:t>
            </w:r>
          </w:p>
        </w:tc>
      </w:tr>
      <w:tr w:rsidR="00D44A98" w:rsidRPr="00D44A98" w14:paraId="529FF0DE"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5059FA43"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GST paid</w:t>
            </w:r>
          </w:p>
        </w:tc>
        <w:tc>
          <w:tcPr>
            <w:tcW w:w="881" w:type="dxa"/>
            <w:tcBorders>
              <w:top w:val="nil"/>
              <w:left w:val="nil"/>
              <w:bottom w:val="nil"/>
              <w:right w:val="nil"/>
            </w:tcBorders>
            <w:shd w:val="clear" w:color="auto" w:fill="auto"/>
            <w:noWrap/>
            <w:vAlign w:val="bottom"/>
            <w:hideMark/>
          </w:tcPr>
          <w:p w14:paraId="26E2C05F"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203</w:t>
            </w:r>
          </w:p>
        </w:tc>
        <w:tc>
          <w:tcPr>
            <w:tcW w:w="844" w:type="dxa"/>
            <w:tcBorders>
              <w:top w:val="nil"/>
              <w:left w:val="nil"/>
              <w:bottom w:val="nil"/>
              <w:right w:val="nil"/>
            </w:tcBorders>
            <w:shd w:val="clear" w:color="000000" w:fill="D9D9D9"/>
            <w:noWrap/>
            <w:vAlign w:val="bottom"/>
            <w:hideMark/>
          </w:tcPr>
          <w:p w14:paraId="63FAC2CB"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260FCE20"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47635613"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48E9F670"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200</w:t>
            </w:r>
          </w:p>
        </w:tc>
      </w:tr>
      <w:tr w:rsidR="00D44A98" w:rsidRPr="00D44A98" w14:paraId="1BEDB48E"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5CE847BE" w14:textId="77777777" w:rsidR="00D44A98" w:rsidRPr="00D44A98" w:rsidRDefault="00D44A98" w:rsidP="00D44A98">
            <w:pPr>
              <w:spacing w:after="0"/>
              <w:ind w:firstLineChars="200" w:firstLine="320"/>
              <w:rPr>
                <w:rFonts w:ascii="Arial" w:hAnsi="Arial" w:cs="Arial"/>
                <w:b/>
                <w:bCs/>
                <w:sz w:val="16"/>
                <w:szCs w:val="16"/>
              </w:rPr>
            </w:pPr>
            <w:r w:rsidRPr="00D44A9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6152EB8"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5,868</w:t>
            </w:r>
          </w:p>
        </w:tc>
        <w:tc>
          <w:tcPr>
            <w:tcW w:w="844" w:type="dxa"/>
            <w:tcBorders>
              <w:top w:val="nil"/>
              <w:left w:val="nil"/>
              <w:bottom w:val="single" w:sz="4" w:space="0" w:color="auto"/>
              <w:right w:val="nil"/>
            </w:tcBorders>
            <w:shd w:val="clear" w:color="000000" w:fill="D9D9D9"/>
            <w:noWrap/>
            <w:vAlign w:val="bottom"/>
            <w:hideMark/>
          </w:tcPr>
          <w:p w14:paraId="05AE3BD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6,044</w:t>
            </w:r>
          </w:p>
        </w:tc>
        <w:tc>
          <w:tcPr>
            <w:tcW w:w="861" w:type="dxa"/>
            <w:tcBorders>
              <w:top w:val="nil"/>
              <w:left w:val="nil"/>
              <w:bottom w:val="single" w:sz="4" w:space="0" w:color="auto"/>
              <w:right w:val="nil"/>
            </w:tcBorders>
            <w:shd w:val="clear" w:color="auto" w:fill="auto"/>
            <w:noWrap/>
            <w:vAlign w:val="bottom"/>
            <w:hideMark/>
          </w:tcPr>
          <w:p w14:paraId="083B39C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6,067</w:t>
            </w:r>
          </w:p>
        </w:tc>
        <w:tc>
          <w:tcPr>
            <w:tcW w:w="861" w:type="dxa"/>
            <w:tcBorders>
              <w:top w:val="nil"/>
              <w:left w:val="nil"/>
              <w:bottom w:val="single" w:sz="4" w:space="0" w:color="auto"/>
              <w:right w:val="nil"/>
            </w:tcBorders>
            <w:shd w:val="clear" w:color="auto" w:fill="auto"/>
            <w:noWrap/>
            <w:vAlign w:val="bottom"/>
            <w:hideMark/>
          </w:tcPr>
          <w:p w14:paraId="6324F68A"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6,193</w:t>
            </w:r>
          </w:p>
        </w:tc>
        <w:tc>
          <w:tcPr>
            <w:tcW w:w="861" w:type="dxa"/>
            <w:tcBorders>
              <w:top w:val="nil"/>
              <w:left w:val="nil"/>
              <w:bottom w:val="single" w:sz="4" w:space="0" w:color="auto"/>
              <w:right w:val="nil"/>
            </w:tcBorders>
            <w:shd w:val="clear" w:color="auto" w:fill="auto"/>
            <w:noWrap/>
            <w:vAlign w:val="bottom"/>
            <w:hideMark/>
          </w:tcPr>
          <w:p w14:paraId="1C12E526"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6,228</w:t>
            </w:r>
          </w:p>
        </w:tc>
      </w:tr>
      <w:tr w:rsidR="00D44A98" w:rsidRPr="00D44A98" w14:paraId="04D10824" w14:textId="77777777" w:rsidTr="003B0A03">
        <w:trPr>
          <w:trHeight w:val="425"/>
          <w:jc w:val="center"/>
        </w:trPr>
        <w:tc>
          <w:tcPr>
            <w:tcW w:w="3052" w:type="dxa"/>
            <w:tcBorders>
              <w:top w:val="nil"/>
              <w:left w:val="nil"/>
              <w:bottom w:val="nil"/>
              <w:right w:val="nil"/>
            </w:tcBorders>
            <w:shd w:val="clear" w:color="auto" w:fill="auto"/>
            <w:vAlign w:val="bottom"/>
            <w:hideMark/>
          </w:tcPr>
          <w:p w14:paraId="09346596"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A29CF3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305</w:t>
            </w:r>
          </w:p>
        </w:tc>
        <w:tc>
          <w:tcPr>
            <w:tcW w:w="844" w:type="dxa"/>
            <w:tcBorders>
              <w:top w:val="nil"/>
              <w:left w:val="nil"/>
              <w:bottom w:val="single" w:sz="4" w:space="0" w:color="auto"/>
              <w:right w:val="nil"/>
            </w:tcBorders>
            <w:shd w:val="clear" w:color="000000" w:fill="D9D9D9"/>
            <w:noWrap/>
            <w:vAlign w:val="bottom"/>
            <w:hideMark/>
          </w:tcPr>
          <w:p w14:paraId="70FFFCEC"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315</w:t>
            </w:r>
          </w:p>
        </w:tc>
        <w:tc>
          <w:tcPr>
            <w:tcW w:w="861" w:type="dxa"/>
            <w:tcBorders>
              <w:top w:val="nil"/>
              <w:left w:val="nil"/>
              <w:bottom w:val="single" w:sz="4" w:space="0" w:color="auto"/>
              <w:right w:val="nil"/>
            </w:tcBorders>
            <w:shd w:val="clear" w:color="auto" w:fill="auto"/>
            <w:noWrap/>
            <w:vAlign w:val="bottom"/>
            <w:hideMark/>
          </w:tcPr>
          <w:p w14:paraId="2796D88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326</w:t>
            </w:r>
          </w:p>
        </w:tc>
        <w:tc>
          <w:tcPr>
            <w:tcW w:w="861" w:type="dxa"/>
            <w:tcBorders>
              <w:top w:val="nil"/>
              <w:left w:val="nil"/>
              <w:bottom w:val="single" w:sz="4" w:space="0" w:color="auto"/>
              <w:right w:val="nil"/>
            </w:tcBorders>
            <w:shd w:val="clear" w:color="auto" w:fill="auto"/>
            <w:noWrap/>
            <w:vAlign w:val="bottom"/>
            <w:hideMark/>
          </w:tcPr>
          <w:p w14:paraId="60FE8BF0"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280</w:t>
            </w:r>
          </w:p>
        </w:tc>
        <w:tc>
          <w:tcPr>
            <w:tcW w:w="861" w:type="dxa"/>
            <w:tcBorders>
              <w:top w:val="nil"/>
              <w:left w:val="nil"/>
              <w:bottom w:val="single" w:sz="4" w:space="0" w:color="auto"/>
              <w:right w:val="nil"/>
            </w:tcBorders>
            <w:shd w:val="clear" w:color="auto" w:fill="auto"/>
            <w:noWrap/>
            <w:vAlign w:val="bottom"/>
            <w:hideMark/>
          </w:tcPr>
          <w:p w14:paraId="204B538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288</w:t>
            </w:r>
          </w:p>
        </w:tc>
      </w:tr>
      <w:tr w:rsidR="00D44A98" w:rsidRPr="00D44A98" w14:paraId="6D6B3152" w14:textId="77777777" w:rsidTr="003B0A03">
        <w:trPr>
          <w:trHeight w:val="283"/>
          <w:jc w:val="center"/>
        </w:trPr>
        <w:tc>
          <w:tcPr>
            <w:tcW w:w="3052" w:type="dxa"/>
            <w:tcBorders>
              <w:top w:val="nil"/>
              <w:left w:val="nil"/>
              <w:bottom w:val="nil"/>
              <w:right w:val="nil"/>
            </w:tcBorders>
            <w:shd w:val="clear" w:color="auto" w:fill="auto"/>
            <w:noWrap/>
            <w:vAlign w:val="bottom"/>
            <w:hideMark/>
          </w:tcPr>
          <w:p w14:paraId="6231FE3B"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32F2FD45" w14:textId="77777777" w:rsidR="00D44A98" w:rsidRPr="00D44A98" w:rsidRDefault="00D44A98" w:rsidP="00D44A9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EEAFFC2"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8627817"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4A5D030"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830A65E" w14:textId="77777777" w:rsidR="00D44A98" w:rsidRPr="00D44A98" w:rsidRDefault="00D44A98" w:rsidP="00D44A98">
            <w:pPr>
              <w:spacing w:after="0"/>
              <w:jc w:val="right"/>
              <w:rPr>
                <w:rFonts w:ascii="Times New Roman" w:hAnsi="Times New Roman"/>
                <w:color w:val="auto"/>
              </w:rPr>
            </w:pPr>
          </w:p>
        </w:tc>
      </w:tr>
      <w:tr w:rsidR="00D44A98" w:rsidRPr="00D44A98" w14:paraId="2A6A7111"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44501A70"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0131A12" w14:textId="77777777" w:rsidR="00D44A98" w:rsidRPr="00D44A98" w:rsidRDefault="00D44A98" w:rsidP="00D44A9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7DC072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F0AF1C8"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1EA493F"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408A339" w14:textId="77777777" w:rsidR="00D44A98" w:rsidRPr="00D44A98" w:rsidRDefault="00D44A98" w:rsidP="00D44A98">
            <w:pPr>
              <w:spacing w:after="0"/>
              <w:jc w:val="right"/>
              <w:rPr>
                <w:rFonts w:ascii="Times New Roman" w:hAnsi="Times New Roman"/>
                <w:color w:val="auto"/>
              </w:rPr>
            </w:pPr>
          </w:p>
        </w:tc>
      </w:tr>
      <w:tr w:rsidR="00D44A98" w:rsidRPr="00D44A98" w14:paraId="46D993E9" w14:textId="77777777" w:rsidTr="00A4403D">
        <w:trPr>
          <w:trHeight w:val="425"/>
          <w:jc w:val="center"/>
        </w:trPr>
        <w:tc>
          <w:tcPr>
            <w:tcW w:w="3052" w:type="dxa"/>
            <w:tcBorders>
              <w:top w:val="nil"/>
              <w:left w:val="nil"/>
              <w:bottom w:val="nil"/>
              <w:right w:val="nil"/>
            </w:tcBorders>
            <w:shd w:val="clear" w:color="auto" w:fill="auto"/>
            <w:vAlign w:val="bottom"/>
            <w:hideMark/>
          </w:tcPr>
          <w:p w14:paraId="50805BDC" w14:textId="77777777" w:rsidR="00D44A98" w:rsidRPr="00D44A98" w:rsidRDefault="00D44A98" w:rsidP="008250BA">
            <w:pPr>
              <w:spacing w:after="0"/>
              <w:ind w:leftChars="150" w:left="300"/>
              <w:rPr>
                <w:rFonts w:ascii="Arial" w:hAnsi="Arial" w:cs="Arial"/>
                <w:sz w:val="16"/>
                <w:szCs w:val="16"/>
              </w:rPr>
            </w:pPr>
            <w:r w:rsidRPr="00D44A98">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6750FA16"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261</w:t>
            </w:r>
          </w:p>
        </w:tc>
        <w:tc>
          <w:tcPr>
            <w:tcW w:w="844" w:type="dxa"/>
            <w:tcBorders>
              <w:top w:val="nil"/>
              <w:left w:val="nil"/>
              <w:bottom w:val="nil"/>
              <w:right w:val="nil"/>
            </w:tcBorders>
            <w:shd w:val="clear" w:color="000000" w:fill="D9D9D9"/>
            <w:noWrap/>
            <w:vAlign w:val="bottom"/>
            <w:hideMark/>
          </w:tcPr>
          <w:p w14:paraId="2896FEC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264</w:t>
            </w:r>
          </w:p>
        </w:tc>
        <w:tc>
          <w:tcPr>
            <w:tcW w:w="861" w:type="dxa"/>
            <w:tcBorders>
              <w:top w:val="nil"/>
              <w:left w:val="nil"/>
              <w:bottom w:val="nil"/>
              <w:right w:val="nil"/>
            </w:tcBorders>
            <w:shd w:val="clear" w:color="auto" w:fill="auto"/>
            <w:noWrap/>
            <w:vAlign w:val="bottom"/>
            <w:hideMark/>
          </w:tcPr>
          <w:p w14:paraId="43B9CC06"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265</w:t>
            </w:r>
          </w:p>
        </w:tc>
        <w:tc>
          <w:tcPr>
            <w:tcW w:w="861" w:type="dxa"/>
            <w:tcBorders>
              <w:top w:val="nil"/>
              <w:left w:val="nil"/>
              <w:bottom w:val="nil"/>
              <w:right w:val="nil"/>
            </w:tcBorders>
            <w:shd w:val="clear" w:color="auto" w:fill="auto"/>
            <w:noWrap/>
            <w:vAlign w:val="bottom"/>
            <w:hideMark/>
          </w:tcPr>
          <w:p w14:paraId="49D4DBF2"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267</w:t>
            </w:r>
          </w:p>
        </w:tc>
        <w:tc>
          <w:tcPr>
            <w:tcW w:w="861" w:type="dxa"/>
            <w:tcBorders>
              <w:top w:val="nil"/>
              <w:left w:val="nil"/>
              <w:bottom w:val="nil"/>
              <w:right w:val="nil"/>
            </w:tcBorders>
            <w:shd w:val="clear" w:color="auto" w:fill="auto"/>
            <w:noWrap/>
            <w:vAlign w:val="bottom"/>
            <w:hideMark/>
          </w:tcPr>
          <w:p w14:paraId="06069D9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266</w:t>
            </w:r>
          </w:p>
        </w:tc>
      </w:tr>
      <w:tr w:rsidR="00D44A98" w:rsidRPr="00D44A98" w14:paraId="280A7725"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240C1F7F" w14:textId="77777777" w:rsidR="00D44A98" w:rsidRPr="00D44A98" w:rsidRDefault="00D44A98" w:rsidP="008250BA">
            <w:pPr>
              <w:spacing w:after="0"/>
              <w:ind w:leftChars="150" w:left="300"/>
              <w:rPr>
                <w:rFonts w:ascii="Arial" w:hAnsi="Arial" w:cs="Arial"/>
                <w:b/>
                <w:bCs/>
                <w:sz w:val="16"/>
                <w:szCs w:val="16"/>
              </w:rPr>
            </w:pPr>
            <w:r w:rsidRPr="00D44A9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00211A6A"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261</w:t>
            </w:r>
          </w:p>
        </w:tc>
        <w:tc>
          <w:tcPr>
            <w:tcW w:w="844" w:type="dxa"/>
            <w:tcBorders>
              <w:top w:val="nil"/>
              <w:left w:val="nil"/>
              <w:bottom w:val="single" w:sz="4" w:space="0" w:color="auto"/>
              <w:right w:val="nil"/>
            </w:tcBorders>
            <w:shd w:val="clear" w:color="000000" w:fill="D9D9D9"/>
            <w:noWrap/>
            <w:vAlign w:val="bottom"/>
            <w:hideMark/>
          </w:tcPr>
          <w:p w14:paraId="10FF0EBB"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264</w:t>
            </w:r>
          </w:p>
        </w:tc>
        <w:tc>
          <w:tcPr>
            <w:tcW w:w="861" w:type="dxa"/>
            <w:tcBorders>
              <w:top w:val="nil"/>
              <w:left w:val="nil"/>
              <w:bottom w:val="single" w:sz="4" w:space="0" w:color="auto"/>
              <w:right w:val="nil"/>
            </w:tcBorders>
            <w:shd w:val="clear" w:color="auto" w:fill="auto"/>
            <w:noWrap/>
            <w:vAlign w:val="bottom"/>
            <w:hideMark/>
          </w:tcPr>
          <w:p w14:paraId="23E4D495"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w:t>
            </w:r>
          </w:p>
        </w:tc>
        <w:tc>
          <w:tcPr>
            <w:tcW w:w="861" w:type="dxa"/>
            <w:tcBorders>
              <w:top w:val="nil"/>
              <w:left w:val="nil"/>
              <w:bottom w:val="single" w:sz="4" w:space="0" w:color="auto"/>
              <w:right w:val="nil"/>
            </w:tcBorders>
            <w:shd w:val="clear" w:color="auto" w:fill="auto"/>
            <w:noWrap/>
            <w:vAlign w:val="bottom"/>
            <w:hideMark/>
          </w:tcPr>
          <w:p w14:paraId="1CBC2643"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7914A4FD"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266</w:t>
            </w:r>
          </w:p>
        </w:tc>
      </w:tr>
      <w:tr w:rsidR="00D44A98" w:rsidRPr="00D44A98" w14:paraId="44AF2765" w14:textId="77777777" w:rsidTr="003B0A03">
        <w:trPr>
          <w:trHeight w:val="425"/>
          <w:jc w:val="center"/>
        </w:trPr>
        <w:tc>
          <w:tcPr>
            <w:tcW w:w="3052" w:type="dxa"/>
            <w:tcBorders>
              <w:top w:val="nil"/>
              <w:left w:val="nil"/>
              <w:bottom w:val="nil"/>
              <w:right w:val="nil"/>
            </w:tcBorders>
            <w:shd w:val="clear" w:color="auto" w:fill="auto"/>
            <w:vAlign w:val="bottom"/>
            <w:hideMark/>
          </w:tcPr>
          <w:p w14:paraId="34899C63"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1E41428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(261)</w:t>
            </w:r>
          </w:p>
        </w:tc>
        <w:tc>
          <w:tcPr>
            <w:tcW w:w="844" w:type="dxa"/>
            <w:tcBorders>
              <w:top w:val="nil"/>
              <w:left w:val="nil"/>
              <w:bottom w:val="single" w:sz="4" w:space="0" w:color="auto"/>
              <w:right w:val="nil"/>
            </w:tcBorders>
            <w:shd w:val="clear" w:color="000000" w:fill="D9D9D9"/>
            <w:noWrap/>
            <w:vAlign w:val="bottom"/>
            <w:hideMark/>
          </w:tcPr>
          <w:p w14:paraId="48A30B1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(264)</w:t>
            </w:r>
          </w:p>
        </w:tc>
        <w:tc>
          <w:tcPr>
            <w:tcW w:w="861" w:type="dxa"/>
            <w:tcBorders>
              <w:top w:val="nil"/>
              <w:left w:val="nil"/>
              <w:bottom w:val="single" w:sz="4" w:space="0" w:color="auto"/>
              <w:right w:val="nil"/>
            </w:tcBorders>
            <w:shd w:val="clear" w:color="auto" w:fill="auto"/>
            <w:noWrap/>
            <w:vAlign w:val="bottom"/>
            <w:hideMark/>
          </w:tcPr>
          <w:p w14:paraId="31ED527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w:t>
            </w:r>
          </w:p>
        </w:tc>
        <w:tc>
          <w:tcPr>
            <w:tcW w:w="861" w:type="dxa"/>
            <w:tcBorders>
              <w:top w:val="nil"/>
              <w:left w:val="nil"/>
              <w:bottom w:val="single" w:sz="4" w:space="0" w:color="auto"/>
              <w:right w:val="nil"/>
            </w:tcBorders>
            <w:shd w:val="clear" w:color="auto" w:fill="auto"/>
            <w:noWrap/>
            <w:vAlign w:val="bottom"/>
            <w:hideMark/>
          </w:tcPr>
          <w:p w14:paraId="7881624A"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16A4A08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(266)</w:t>
            </w:r>
          </w:p>
        </w:tc>
      </w:tr>
      <w:tr w:rsidR="00D44A98" w:rsidRPr="00D44A98" w14:paraId="57E215AD" w14:textId="77777777" w:rsidTr="00D44A98">
        <w:trPr>
          <w:trHeight w:val="300"/>
          <w:jc w:val="center"/>
        </w:trPr>
        <w:tc>
          <w:tcPr>
            <w:tcW w:w="3052" w:type="dxa"/>
            <w:tcBorders>
              <w:top w:val="nil"/>
              <w:left w:val="nil"/>
              <w:bottom w:val="nil"/>
              <w:right w:val="nil"/>
            </w:tcBorders>
            <w:shd w:val="clear" w:color="auto" w:fill="auto"/>
            <w:noWrap/>
            <w:vAlign w:val="bottom"/>
            <w:hideMark/>
          </w:tcPr>
          <w:p w14:paraId="0E872B0E"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728B77FF" w14:textId="77777777" w:rsidR="00D44A98" w:rsidRPr="00D44A98" w:rsidRDefault="00D44A98" w:rsidP="00D44A9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B876F84"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5CDFAC9"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A1AD727"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2BC9662" w14:textId="77777777" w:rsidR="00D44A98" w:rsidRPr="00D44A98" w:rsidRDefault="00D44A98" w:rsidP="00D44A98">
            <w:pPr>
              <w:spacing w:after="0"/>
              <w:jc w:val="right"/>
              <w:rPr>
                <w:rFonts w:ascii="Times New Roman" w:hAnsi="Times New Roman"/>
                <w:color w:val="auto"/>
              </w:rPr>
            </w:pPr>
          </w:p>
        </w:tc>
      </w:tr>
      <w:tr w:rsidR="00D44A98" w:rsidRPr="00D44A98" w14:paraId="56E90010"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17667327"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505C68D2" w14:textId="77777777" w:rsidR="00D44A98" w:rsidRPr="00D44A98" w:rsidRDefault="00D44A98" w:rsidP="00D44A9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42E2F56"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ADAB10F"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32C77CD8"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A0D2FA1" w14:textId="77777777" w:rsidR="00D44A98" w:rsidRPr="00D44A98" w:rsidRDefault="00D44A98" w:rsidP="00D44A98">
            <w:pPr>
              <w:spacing w:after="0"/>
              <w:jc w:val="right"/>
              <w:rPr>
                <w:rFonts w:ascii="Times New Roman" w:hAnsi="Times New Roman"/>
                <w:color w:val="auto"/>
              </w:rPr>
            </w:pPr>
          </w:p>
        </w:tc>
      </w:tr>
      <w:tr w:rsidR="00D44A98" w:rsidRPr="00D44A98" w14:paraId="21A6B1DA"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43B45814" w14:textId="77777777" w:rsidR="00D44A98" w:rsidRPr="00D44A98" w:rsidRDefault="00D44A98" w:rsidP="008250BA">
            <w:pPr>
              <w:spacing w:after="0"/>
              <w:ind w:leftChars="150" w:left="300"/>
              <w:rPr>
                <w:rFonts w:ascii="Arial" w:hAnsi="Arial" w:cs="Arial"/>
                <w:color w:val="auto"/>
                <w:sz w:val="16"/>
                <w:szCs w:val="16"/>
              </w:rPr>
            </w:pPr>
            <w:r w:rsidRPr="00D44A98">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78A3D12D"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261</w:t>
            </w:r>
          </w:p>
        </w:tc>
        <w:tc>
          <w:tcPr>
            <w:tcW w:w="844" w:type="dxa"/>
            <w:tcBorders>
              <w:top w:val="nil"/>
              <w:left w:val="nil"/>
              <w:bottom w:val="nil"/>
              <w:right w:val="nil"/>
            </w:tcBorders>
            <w:shd w:val="clear" w:color="000000" w:fill="D9D9D9"/>
            <w:noWrap/>
            <w:vAlign w:val="bottom"/>
            <w:hideMark/>
          </w:tcPr>
          <w:p w14:paraId="3F9CAA5A"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264</w:t>
            </w:r>
          </w:p>
        </w:tc>
        <w:tc>
          <w:tcPr>
            <w:tcW w:w="861" w:type="dxa"/>
            <w:tcBorders>
              <w:top w:val="nil"/>
              <w:left w:val="nil"/>
              <w:bottom w:val="nil"/>
              <w:right w:val="nil"/>
            </w:tcBorders>
            <w:shd w:val="clear" w:color="auto" w:fill="auto"/>
            <w:noWrap/>
            <w:vAlign w:val="bottom"/>
            <w:hideMark/>
          </w:tcPr>
          <w:p w14:paraId="78401409"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265</w:t>
            </w:r>
          </w:p>
        </w:tc>
        <w:tc>
          <w:tcPr>
            <w:tcW w:w="861" w:type="dxa"/>
            <w:tcBorders>
              <w:top w:val="nil"/>
              <w:left w:val="nil"/>
              <w:bottom w:val="nil"/>
              <w:right w:val="nil"/>
            </w:tcBorders>
            <w:shd w:val="clear" w:color="auto" w:fill="auto"/>
            <w:noWrap/>
            <w:vAlign w:val="bottom"/>
            <w:hideMark/>
          </w:tcPr>
          <w:p w14:paraId="4D4D9933"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267</w:t>
            </w:r>
          </w:p>
        </w:tc>
        <w:tc>
          <w:tcPr>
            <w:tcW w:w="861" w:type="dxa"/>
            <w:tcBorders>
              <w:top w:val="nil"/>
              <w:left w:val="nil"/>
              <w:bottom w:val="nil"/>
              <w:right w:val="nil"/>
            </w:tcBorders>
            <w:shd w:val="clear" w:color="auto" w:fill="auto"/>
            <w:noWrap/>
            <w:vAlign w:val="bottom"/>
            <w:hideMark/>
          </w:tcPr>
          <w:p w14:paraId="34FB2427"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266</w:t>
            </w:r>
          </w:p>
        </w:tc>
      </w:tr>
      <w:tr w:rsidR="00D44A98" w:rsidRPr="00D44A98" w14:paraId="07405543"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1301CF31" w14:textId="77777777" w:rsidR="00D44A98" w:rsidRPr="00D44A98" w:rsidRDefault="00D44A98" w:rsidP="008250BA">
            <w:pPr>
              <w:spacing w:after="0"/>
              <w:ind w:leftChars="150" w:left="300"/>
              <w:rPr>
                <w:rFonts w:ascii="Arial" w:hAnsi="Arial" w:cs="Arial"/>
                <w:b/>
                <w:bCs/>
                <w:sz w:val="16"/>
                <w:szCs w:val="16"/>
              </w:rPr>
            </w:pPr>
            <w:r w:rsidRPr="00D44A98">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477639D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261</w:t>
            </w:r>
          </w:p>
        </w:tc>
        <w:tc>
          <w:tcPr>
            <w:tcW w:w="844" w:type="dxa"/>
            <w:tcBorders>
              <w:top w:val="nil"/>
              <w:left w:val="nil"/>
              <w:bottom w:val="single" w:sz="4" w:space="0" w:color="auto"/>
              <w:right w:val="nil"/>
            </w:tcBorders>
            <w:shd w:val="clear" w:color="000000" w:fill="D9D9D9"/>
            <w:noWrap/>
            <w:vAlign w:val="bottom"/>
            <w:hideMark/>
          </w:tcPr>
          <w:p w14:paraId="1D966319"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264</w:t>
            </w:r>
          </w:p>
        </w:tc>
        <w:tc>
          <w:tcPr>
            <w:tcW w:w="861" w:type="dxa"/>
            <w:tcBorders>
              <w:top w:val="nil"/>
              <w:left w:val="nil"/>
              <w:bottom w:val="single" w:sz="4" w:space="0" w:color="auto"/>
              <w:right w:val="nil"/>
            </w:tcBorders>
            <w:shd w:val="clear" w:color="auto" w:fill="auto"/>
            <w:noWrap/>
            <w:vAlign w:val="bottom"/>
            <w:hideMark/>
          </w:tcPr>
          <w:p w14:paraId="2D647612"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265</w:t>
            </w:r>
          </w:p>
        </w:tc>
        <w:tc>
          <w:tcPr>
            <w:tcW w:w="861" w:type="dxa"/>
            <w:tcBorders>
              <w:top w:val="nil"/>
              <w:left w:val="nil"/>
              <w:bottom w:val="single" w:sz="4" w:space="0" w:color="auto"/>
              <w:right w:val="nil"/>
            </w:tcBorders>
            <w:shd w:val="clear" w:color="auto" w:fill="auto"/>
            <w:noWrap/>
            <w:vAlign w:val="bottom"/>
            <w:hideMark/>
          </w:tcPr>
          <w:p w14:paraId="02126F0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183A14E5"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266</w:t>
            </w:r>
          </w:p>
        </w:tc>
      </w:tr>
      <w:tr w:rsidR="00D44A98" w:rsidRPr="00D44A98" w14:paraId="609B2322" w14:textId="77777777" w:rsidTr="003B0A03">
        <w:trPr>
          <w:trHeight w:val="283"/>
          <w:jc w:val="center"/>
        </w:trPr>
        <w:tc>
          <w:tcPr>
            <w:tcW w:w="3052" w:type="dxa"/>
            <w:tcBorders>
              <w:top w:val="nil"/>
              <w:left w:val="nil"/>
              <w:bottom w:val="nil"/>
              <w:right w:val="nil"/>
            </w:tcBorders>
            <w:shd w:val="clear" w:color="auto" w:fill="auto"/>
            <w:noWrap/>
            <w:vAlign w:val="bottom"/>
            <w:hideMark/>
          </w:tcPr>
          <w:p w14:paraId="4A139B12"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D30D010" w14:textId="77777777" w:rsidR="00D44A98" w:rsidRPr="00D44A98" w:rsidRDefault="00D44A98" w:rsidP="00D44A9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4AADD71" w14:textId="77777777" w:rsidR="00D44A98" w:rsidRPr="00D44A98" w:rsidRDefault="00D44A98" w:rsidP="00D44A98">
            <w:pPr>
              <w:spacing w:after="0"/>
              <w:jc w:val="right"/>
              <w:rPr>
                <w:rFonts w:ascii="Arial" w:hAnsi="Arial" w:cs="Arial"/>
                <w:sz w:val="16"/>
                <w:szCs w:val="16"/>
              </w:rPr>
            </w:pPr>
            <w:r w:rsidRPr="00D44A9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9FDF39F" w14:textId="77777777" w:rsidR="00D44A98" w:rsidRPr="00D44A98" w:rsidRDefault="00D44A98" w:rsidP="00D44A9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E77DDC0" w14:textId="77777777" w:rsidR="00D44A98" w:rsidRPr="00D44A98" w:rsidRDefault="00D44A98" w:rsidP="00D44A9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782D110" w14:textId="77777777" w:rsidR="00D44A98" w:rsidRPr="00D44A98" w:rsidRDefault="00D44A98" w:rsidP="00D44A98">
            <w:pPr>
              <w:spacing w:after="0"/>
              <w:jc w:val="right"/>
              <w:rPr>
                <w:rFonts w:ascii="Times New Roman" w:hAnsi="Times New Roman"/>
                <w:color w:val="auto"/>
              </w:rPr>
            </w:pPr>
          </w:p>
        </w:tc>
      </w:tr>
      <w:tr w:rsidR="00D44A98" w:rsidRPr="00D44A98" w14:paraId="7F2B96DE" w14:textId="77777777" w:rsidTr="00D44A98">
        <w:trPr>
          <w:trHeight w:val="225"/>
          <w:jc w:val="center"/>
        </w:trPr>
        <w:tc>
          <w:tcPr>
            <w:tcW w:w="3052" w:type="dxa"/>
            <w:tcBorders>
              <w:top w:val="nil"/>
              <w:left w:val="nil"/>
              <w:bottom w:val="nil"/>
              <w:right w:val="nil"/>
            </w:tcBorders>
            <w:shd w:val="clear" w:color="000000" w:fill="FFFFFF"/>
            <w:noWrap/>
            <w:vAlign w:val="bottom"/>
            <w:hideMark/>
          </w:tcPr>
          <w:p w14:paraId="3A9FC4C4" w14:textId="77777777" w:rsidR="00D44A98" w:rsidRPr="00D44A98" w:rsidRDefault="00D44A98" w:rsidP="008250BA">
            <w:pPr>
              <w:spacing w:after="0"/>
              <w:ind w:leftChars="150" w:left="300"/>
              <w:rPr>
                <w:rFonts w:ascii="Arial" w:hAnsi="Arial" w:cs="Arial"/>
                <w:color w:val="auto"/>
                <w:sz w:val="16"/>
                <w:szCs w:val="16"/>
              </w:rPr>
            </w:pPr>
            <w:r w:rsidRPr="00D44A98">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1E4C5EE2"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305</w:t>
            </w:r>
          </w:p>
        </w:tc>
        <w:tc>
          <w:tcPr>
            <w:tcW w:w="844" w:type="dxa"/>
            <w:tcBorders>
              <w:top w:val="nil"/>
              <w:left w:val="nil"/>
              <w:bottom w:val="nil"/>
              <w:right w:val="nil"/>
            </w:tcBorders>
            <w:shd w:val="clear" w:color="000000" w:fill="D9D9D9"/>
            <w:noWrap/>
            <w:vAlign w:val="bottom"/>
            <w:hideMark/>
          </w:tcPr>
          <w:p w14:paraId="72E0C91C"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315</w:t>
            </w:r>
          </w:p>
        </w:tc>
        <w:tc>
          <w:tcPr>
            <w:tcW w:w="861" w:type="dxa"/>
            <w:tcBorders>
              <w:top w:val="nil"/>
              <w:left w:val="nil"/>
              <w:bottom w:val="nil"/>
              <w:right w:val="nil"/>
            </w:tcBorders>
            <w:shd w:val="clear" w:color="auto" w:fill="auto"/>
            <w:noWrap/>
            <w:vAlign w:val="bottom"/>
            <w:hideMark/>
          </w:tcPr>
          <w:p w14:paraId="34901C2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326</w:t>
            </w:r>
          </w:p>
        </w:tc>
        <w:tc>
          <w:tcPr>
            <w:tcW w:w="861" w:type="dxa"/>
            <w:tcBorders>
              <w:top w:val="nil"/>
              <w:left w:val="nil"/>
              <w:bottom w:val="nil"/>
              <w:right w:val="nil"/>
            </w:tcBorders>
            <w:shd w:val="clear" w:color="auto" w:fill="auto"/>
            <w:noWrap/>
            <w:vAlign w:val="bottom"/>
            <w:hideMark/>
          </w:tcPr>
          <w:p w14:paraId="1795BE7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280</w:t>
            </w:r>
          </w:p>
        </w:tc>
        <w:tc>
          <w:tcPr>
            <w:tcW w:w="861" w:type="dxa"/>
            <w:tcBorders>
              <w:top w:val="nil"/>
              <w:left w:val="nil"/>
              <w:bottom w:val="nil"/>
              <w:right w:val="nil"/>
            </w:tcBorders>
            <w:shd w:val="clear" w:color="auto" w:fill="auto"/>
            <w:noWrap/>
            <w:vAlign w:val="bottom"/>
            <w:hideMark/>
          </w:tcPr>
          <w:p w14:paraId="66B9C0F0"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288</w:t>
            </w:r>
          </w:p>
        </w:tc>
      </w:tr>
      <w:tr w:rsidR="00D44A98" w:rsidRPr="00D44A98" w14:paraId="3B8AEBFC" w14:textId="77777777" w:rsidTr="00D44A98">
        <w:trPr>
          <w:trHeight w:val="225"/>
          <w:jc w:val="center"/>
        </w:trPr>
        <w:tc>
          <w:tcPr>
            <w:tcW w:w="3052" w:type="dxa"/>
            <w:tcBorders>
              <w:top w:val="nil"/>
              <w:left w:val="nil"/>
              <w:bottom w:val="nil"/>
              <w:right w:val="nil"/>
            </w:tcBorders>
            <w:shd w:val="clear" w:color="000000" w:fill="FFFFFF"/>
            <w:noWrap/>
            <w:vAlign w:val="bottom"/>
            <w:hideMark/>
          </w:tcPr>
          <w:p w14:paraId="4647C121" w14:textId="77777777" w:rsidR="00D44A98" w:rsidRPr="00D44A98" w:rsidRDefault="00D44A98" w:rsidP="008250BA">
            <w:pPr>
              <w:spacing w:after="0"/>
              <w:ind w:leftChars="150" w:left="300"/>
              <w:rPr>
                <w:rFonts w:ascii="Arial" w:hAnsi="Arial" w:cs="Arial"/>
                <w:color w:val="auto"/>
                <w:sz w:val="16"/>
                <w:szCs w:val="16"/>
              </w:rPr>
            </w:pPr>
            <w:r w:rsidRPr="00D44A98">
              <w:rPr>
                <w:rFonts w:ascii="Arial" w:hAnsi="Arial" w:cs="Arial"/>
                <w:color w:val="auto"/>
                <w:sz w:val="16"/>
                <w:szCs w:val="16"/>
              </w:rPr>
              <w:t xml:space="preserve">Other financing activity </w:t>
            </w:r>
          </w:p>
        </w:tc>
        <w:tc>
          <w:tcPr>
            <w:tcW w:w="881" w:type="dxa"/>
            <w:tcBorders>
              <w:top w:val="nil"/>
              <w:left w:val="nil"/>
              <w:bottom w:val="nil"/>
              <w:right w:val="nil"/>
            </w:tcBorders>
            <w:shd w:val="clear" w:color="auto" w:fill="auto"/>
            <w:noWrap/>
            <w:vAlign w:val="bottom"/>
            <w:hideMark/>
          </w:tcPr>
          <w:p w14:paraId="49C8D9D7"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3959F88E"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BA12532"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01CBF3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9DF6DF9"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w:t>
            </w:r>
          </w:p>
        </w:tc>
      </w:tr>
      <w:tr w:rsidR="00D44A98" w:rsidRPr="00D44A98" w14:paraId="66668D8A" w14:textId="77777777" w:rsidTr="00D44A98">
        <w:trPr>
          <w:trHeight w:val="225"/>
          <w:jc w:val="center"/>
        </w:trPr>
        <w:tc>
          <w:tcPr>
            <w:tcW w:w="3052" w:type="dxa"/>
            <w:tcBorders>
              <w:top w:val="nil"/>
              <w:left w:val="nil"/>
              <w:bottom w:val="nil"/>
              <w:right w:val="nil"/>
            </w:tcBorders>
            <w:shd w:val="clear" w:color="auto" w:fill="auto"/>
            <w:noWrap/>
            <w:vAlign w:val="bottom"/>
            <w:hideMark/>
          </w:tcPr>
          <w:p w14:paraId="5B8BF471" w14:textId="77777777" w:rsidR="00D44A98" w:rsidRPr="00D44A98" w:rsidRDefault="00D44A98" w:rsidP="008250BA">
            <w:pPr>
              <w:spacing w:after="0"/>
              <w:ind w:leftChars="150" w:left="300"/>
              <w:rPr>
                <w:rFonts w:ascii="Arial" w:hAnsi="Arial" w:cs="Arial"/>
                <w:b/>
                <w:bCs/>
                <w:sz w:val="16"/>
                <w:szCs w:val="16"/>
              </w:rPr>
            </w:pPr>
            <w:r w:rsidRPr="00D44A9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32D8159"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305</w:t>
            </w:r>
          </w:p>
        </w:tc>
        <w:tc>
          <w:tcPr>
            <w:tcW w:w="844" w:type="dxa"/>
            <w:tcBorders>
              <w:top w:val="nil"/>
              <w:left w:val="nil"/>
              <w:bottom w:val="single" w:sz="4" w:space="0" w:color="auto"/>
              <w:right w:val="nil"/>
            </w:tcBorders>
            <w:shd w:val="clear" w:color="000000" w:fill="D9D9D9"/>
            <w:noWrap/>
            <w:vAlign w:val="bottom"/>
            <w:hideMark/>
          </w:tcPr>
          <w:p w14:paraId="23C7F532"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315</w:t>
            </w:r>
          </w:p>
        </w:tc>
        <w:tc>
          <w:tcPr>
            <w:tcW w:w="861" w:type="dxa"/>
            <w:tcBorders>
              <w:top w:val="nil"/>
              <w:left w:val="nil"/>
              <w:bottom w:val="single" w:sz="4" w:space="0" w:color="auto"/>
              <w:right w:val="nil"/>
            </w:tcBorders>
            <w:shd w:val="clear" w:color="auto" w:fill="auto"/>
            <w:noWrap/>
            <w:vAlign w:val="bottom"/>
            <w:hideMark/>
          </w:tcPr>
          <w:p w14:paraId="49164C0A"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326</w:t>
            </w:r>
          </w:p>
        </w:tc>
        <w:tc>
          <w:tcPr>
            <w:tcW w:w="861" w:type="dxa"/>
            <w:tcBorders>
              <w:top w:val="nil"/>
              <w:left w:val="nil"/>
              <w:bottom w:val="single" w:sz="4" w:space="0" w:color="auto"/>
              <w:right w:val="nil"/>
            </w:tcBorders>
            <w:shd w:val="clear" w:color="auto" w:fill="auto"/>
            <w:noWrap/>
            <w:vAlign w:val="bottom"/>
            <w:hideMark/>
          </w:tcPr>
          <w:p w14:paraId="77700368"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280</w:t>
            </w:r>
          </w:p>
        </w:tc>
        <w:tc>
          <w:tcPr>
            <w:tcW w:w="861" w:type="dxa"/>
            <w:tcBorders>
              <w:top w:val="nil"/>
              <w:left w:val="nil"/>
              <w:bottom w:val="single" w:sz="4" w:space="0" w:color="auto"/>
              <w:right w:val="nil"/>
            </w:tcBorders>
            <w:shd w:val="clear" w:color="auto" w:fill="auto"/>
            <w:noWrap/>
            <w:vAlign w:val="bottom"/>
            <w:hideMark/>
          </w:tcPr>
          <w:p w14:paraId="1F3F9C94"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288</w:t>
            </w:r>
          </w:p>
        </w:tc>
      </w:tr>
      <w:tr w:rsidR="00D44A98" w:rsidRPr="00D44A98" w14:paraId="1F2E9930" w14:textId="77777777" w:rsidTr="00D44A98">
        <w:trPr>
          <w:trHeight w:val="450"/>
          <w:jc w:val="center"/>
        </w:trPr>
        <w:tc>
          <w:tcPr>
            <w:tcW w:w="3052" w:type="dxa"/>
            <w:tcBorders>
              <w:top w:val="nil"/>
              <w:left w:val="nil"/>
              <w:bottom w:val="nil"/>
              <w:right w:val="nil"/>
            </w:tcBorders>
            <w:shd w:val="clear" w:color="auto" w:fill="auto"/>
            <w:vAlign w:val="bottom"/>
            <w:hideMark/>
          </w:tcPr>
          <w:p w14:paraId="0750D4AF" w14:textId="77777777" w:rsidR="00D44A98" w:rsidRPr="00D44A98" w:rsidRDefault="00D44A98" w:rsidP="008250BA">
            <w:pPr>
              <w:spacing w:after="0"/>
              <w:ind w:leftChars="75" w:left="150"/>
              <w:rPr>
                <w:rFonts w:ascii="Arial" w:hAnsi="Arial" w:cs="Arial"/>
                <w:b/>
                <w:bCs/>
                <w:sz w:val="16"/>
                <w:szCs w:val="16"/>
              </w:rPr>
            </w:pPr>
            <w:r w:rsidRPr="00D44A98">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42FBE01E"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(44)</w:t>
            </w:r>
          </w:p>
        </w:tc>
        <w:tc>
          <w:tcPr>
            <w:tcW w:w="844" w:type="dxa"/>
            <w:tcBorders>
              <w:top w:val="nil"/>
              <w:left w:val="nil"/>
              <w:bottom w:val="single" w:sz="4" w:space="0" w:color="auto"/>
              <w:right w:val="nil"/>
            </w:tcBorders>
            <w:shd w:val="clear" w:color="000000" w:fill="D9D9D9"/>
            <w:noWrap/>
            <w:vAlign w:val="bottom"/>
            <w:hideMark/>
          </w:tcPr>
          <w:p w14:paraId="53D1AE9F"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(51)</w:t>
            </w:r>
          </w:p>
        </w:tc>
        <w:tc>
          <w:tcPr>
            <w:tcW w:w="861" w:type="dxa"/>
            <w:tcBorders>
              <w:top w:val="nil"/>
              <w:left w:val="nil"/>
              <w:bottom w:val="single" w:sz="4" w:space="0" w:color="auto"/>
              <w:right w:val="nil"/>
            </w:tcBorders>
            <w:shd w:val="clear" w:color="auto" w:fill="auto"/>
            <w:noWrap/>
            <w:vAlign w:val="bottom"/>
            <w:hideMark/>
          </w:tcPr>
          <w:p w14:paraId="2E24EDC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(61)</w:t>
            </w:r>
          </w:p>
        </w:tc>
        <w:tc>
          <w:tcPr>
            <w:tcW w:w="861" w:type="dxa"/>
            <w:tcBorders>
              <w:top w:val="nil"/>
              <w:left w:val="nil"/>
              <w:bottom w:val="single" w:sz="4" w:space="0" w:color="auto"/>
              <w:right w:val="nil"/>
            </w:tcBorders>
            <w:shd w:val="clear" w:color="auto" w:fill="auto"/>
            <w:noWrap/>
            <w:vAlign w:val="bottom"/>
            <w:hideMark/>
          </w:tcPr>
          <w:p w14:paraId="59C34B07"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(13)</w:t>
            </w:r>
          </w:p>
        </w:tc>
        <w:tc>
          <w:tcPr>
            <w:tcW w:w="861" w:type="dxa"/>
            <w:tcBorders>
              <w:top w:val="nil"/>
              <w:left w:val="nil"/>
              <w:bottom w:val="single" w:sz="4" w:space="0" w:color="auto"/>
              <w:right w:val="nil"/>
            </w:tcBorders>
            <w:shd w:val="clear" w:color="auto" w:fill="auto"/>
            <w:noWrap/>
            <w:vAlign w:val="bottom"/>
            <w:hideMark/>
          </w:tcPr>
          <w:p w14:paraId="342233EB" w14:textId="77777777" w:rsidR="00D44A98" w:rsidRPr="00D44A98" w:rsidRDefault="00D44A98" w:rsidP="00D44A98">
            <w:pPr>
              <w:spacing w:after="0"/>
              <w:jc w:val="right"/>
              <w:rPr>
                <w:rFonts w:ascii="Arial" w:hAnsi="Arial" w:cs="Arial"/>
                <w:b/>
                <w:bCs/>
                <w:sz w:val="16"/>
                <w:szCs w:val="16"/>
              </w:rPr>
            </w:pPr>
            <w:r w:rsidRPr="00D44A98">
              <w:rPr>
                <w:rFonts w:ascii="Arial" w:hAnsi="Arial" w:cs="Arial"/>
                <w:b/>
                <w:bCs/>
                <w:sz w:val="16"/>
                <w:szCs w:val="16"/>
              </w:rPr>
              <w:t>(22)</w:t>
            </w:r>
          </w:p>
        </w:tc>
      </w:tr>
      <w:tr w:rsidR="00D44A98" w:rsidRPr="00D44A98" w14:paraId="5FFB5335" w14:textId="77777777" w:rsidTr="003B0A03">
        <w:trPr>
          <w:trHeight w:val="425"/>
          <w:jc w:val="center"/>
        </w:trPr>
        <w:tc>
          <w:tcPr>
            <w:tcW w:w="3052" w:type="dxa"/>
            <w:tcBorders>
              <w:top w:val="nil"/>
              <w:left w:val="nil"/>
              <w:bottom w:val="nil"/>
              <w:right w:val="nil"/>
            </w:tcBorders>
            <w:shd w:val="clear" w:color="auto" w:fill="auto"/>
            <w:vAlign w:val="bottom"/>
            <w:hideMark/>
          </w:tcPr>
          <w:p w14:paraId="59B77F9B"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6FA74DD9"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w:t>
            </w:r>
          </w:p>
        </w:tc>
        <w:tc>
          <w:tcPr>
            <w:tcW w:w="844" w:type="dxa"/>
            <w:tcBorders>
              <w:top w:val="nil"/>
              <w:left w:val="nil"/>
              <w:bottom w:val="single" w:sz="4" w:space="0" w:color="auto"/>
              <w:right w:val="nil"/>
            </w:tcBorders>
            <w:shd w:val="clear" w:color="000000" w:fill="D9D9D9"/>
            <w:noWrap/>
            <w:vAlign w:val="bottom"/>
            <w:hideMark/>
          </w:tcPr>
          <w:p w14:paraId="0062774C"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5C873CA7"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4B2ECCA7"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5D6DFFCD"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w:t>
            </w:r>
          </w:p>
        </w:tc>
      </w:tr>
      <w:tr w:rsidR="00D44A98" w:rsidRPr="00D44A98" w14:paraId="346DC14A" w14:textId="77777777" w:rsidTr="00D44A98">
        <w:trPr>
          <w:trHeight w:val="450"/>
          <w:jc w:val="center"/>
        </w:trPr>
        <w:tc>
          <w:tcPr>
            <w:tcW w:w="3052" w:type="dxa"/>
            <w:tcBorders>
              <w:top w:val="nil"/>
              <w:left w:val="nil"/>
              <w:bottom w:val="nil"/>
              <w:right w:val="nil"/>
            </w:tcBorders>
            <w:shd w:val="clear" w:color="auto" w:fill="auto"/>
            <w:vAlign w:val="bottom"/>
            <w:hideMark/>
          </w:tcPr>
          <w:p w14:paraId="47B3FC22" w14:textId="77777777" w:rsidR="00D44A98" w:rsidRPr="00D44A98" w:rsidRDefault="00D44A98" w:rsidP="008250BA">
            <w:pPr>
              <w:spacing w:after="0"/>
              <w:ind w:leftChars="75" w:left="150"/>
              <w:rPr>
                <w:rFonts w:ascii="Arial" w:hAnsi="Arial" w:cs="Arial"/>
                <w:sz w:val="16"/>
                <w:szCs w:val="16"/>
              </w:rPr>
            </w:pPr>
            <w:r w:rsidRPr="00D44A98">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5EDC830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268</w:t>
            </w:r>
          </w:p>
        </w:tc>
        <w:tc>
          <w:tcPr>
            <w:tcW w:w="844" w:type="dxa"/>
            <w:tcBorders>
              <w:top w:val="nil"/>
              <w:left w:val="nil"/>
              <w:bottom w:val="nil"/>
              <w:right w:val="nil"/>
            </w:tcBorders>
            <w:shd w:val="clear" w:color="000000" w:fill="D9D9D9"/>
            <w:noWrap/>
            <w:vAlign w:val="bottom"/>
            <w:hideMark/>
          </w:tcPr>
          <w:p w14:paraId="4C9CC711"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268</w:t>
            </w:r>
          </w:p>
        </w:tc>
        <w:tc>
          <w:tcPr>
            <w:tcW w:w="861" w:type="dxa"/>
            <w:tcBorders>
              <w:top w:val="nil"/>
              <w:left w:val="nil"/>
              <w:bottom w:val="nil"/>
              <w:right w:val="nil"/>
            </w:tcBorders>
            <w:shd w:val="clear" w:color="auto" w:fill="auto"/>
            <w:noWrap/>
            <w:vAlign w:val="bottom"/>
            <w:hideMark/>
          </w:tcPr>
          <w:p w14:paraId="358DB13E"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268</w:t>
            </w:r>
          </w:p>
        </w:tc>
        <w:tc>
          <w:tcPr>
            <w:tcW w:w="861" w:type="dxa"/>
            <w:tcBorders>
              <w:top w:val="nil"/>
              <w:left w:val="nil"/>
              <w:bottom w:val="nil"/>
              <w:right w:val="nil"/>
            </w:tcBorders>
            <w:shd w:val="clear" w:color="auto" w:fill="auto"/>
            <w:noWrap/>
            <w:vAlign w:val="bottom"/>
            <w:hideMark/>
          </w:tcPr>
          <w:p w14:paraId="17D557BD"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268</w:t>
            </w:r>
          </w:p>
        </w:tc>
        <w:tc>
          <w:tcPr>
            <w:tcW w:w="861" w:type="dxa"/>
            <w:tcBorders>
              <w:top w:val="nil"/>
              <w:left w:val="nil"/>
              <w:bottom w:val="nil"/>
              <w:right w:val="nil"/>
            </w:tcBorders>
            <w:shd w:val="clear" w:color="auto" w:fill="auto"/>
            <w:noWrap/>
            <w:vAlign w:val="bottom"/>
            <w:hideMark/>
          </w:tcPr>
          <w:p w14:paraId="6E93BAAF" w14:textId="77777777" w:rsidR="00D44A98" w:rsidRPr="00D44A98" w:rsidRDefault="00D44A98" w:rsidP="00D44A98">
            <w:pPr>
              <w:spacing w:after="0"/>
              <w:jc w:val="right"/>
              <w:rPr>
                <w:rFonts w:ascii="Arial" w:hAnsi="Arial" w:cs="Arial"/>
                <w:color w:val="auto"/>
                <w:sz w:val="16"/>
                <w:szCs w:val="16"/>
              </w:rPr>
            </w:pPr>
            <w:r w:rsidRPr="00D44A98">
              <w:rPr>
                <w:rFonts w:ascii="Arial" w:hAnsi="Arial" w:cs="Arial"/>
                <w:color w:val="auto"/>
                <w:sz w:val="16"/>
                <w:szCs w:val="16"/>
              </w:rPr>
              <w:t>268</w:t>
            </w:r>
          </w:p>
        </w:tc>
      </w:tr>
      <w:tr w:rsidR="00D44A98" w:rsidRPr="00D44A98" w14:paraId="47184264" w14:textId="77777777" w:rsidTr="00D44A98">
        <w:trPr>
          <w:trHeight w:val="450"/>
          <w:jc w:val="center"/>
        </w:trPr>
        <w:tc>
          <w:tcPr>
            <w:tcW w:w="3052" w:type="dxa"/>
            <w:tcBorders>
              <w:top w:val="nil"/>
              <w:left w:val="nil"/>
              <w:bottom w:val="single" w:sz="4" w:space="0" w:color="auto"/>
              <w:right w:val="nil"/>
            </w:tcBorders>
            <w:shd w:val="clear" w:color="auto" w:fill="auto"/>
            <w:vAlign w:val="bottom"/>
            <w:hideMark/>
          </w:tcPr>
          <w:p w14:paraId="719CF525" w14:textId="77777777" w:rsidR="00D44A98" w:rsidRPr="00D44A98" w:rsidRDefault="00D44A98" w:rsidP="00D44A98">
            <w:pPr>
              <w:spacing w:after="0"/>
              <w:rPr>
                <w:rFonts w:ascii="Arial" w:hAnsi="Arial" w:cs="Arial"/>
                <w:b/>
                <w:bCs/>
                <w:sz w:val="16"/>
                <w:szCs w:val="16"/>
              </w:rPr>
            </w:pPr>
            <w:r w:rsidRPr="00D44A98">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2D756E4D"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268</w:t>
            </w:r>
          </w:p>
        </w:tc>
        <w:tc>
          <w:tcPr>
            <w:tcW w:w="844" w:type="dxa"/>
            <w:tcBorders>
              <w:top w:val="nil"/>
              <w:left w:val="nil"/>
              <w:bottom w:val="single" w:sz="4" w:space="0" w:color="auto"/>
              <w:right w:val="nil"/>
            </w:tcBorders>
            <w:shd w:val="clear" w:color="000000" w:fill="D9D9D9"/>
            <w:noWrap/>
            <w:vAlign w:val="bottom"/>
            <w:hideMark/>
          </w:tcPr>
          <w:p w14:paraId="0D153C25"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268</w:t>
            </w:r>
          </w:p>
        </w:tc>
        <w:tc>
          <w:tcPr>
            <w:tcW w:w="861" w:type="dxa"/>
            <w:tcBorders>
              <w:top w:val="nil"/>
              <w:left w:val="nil"/>
              <w:bottom w:val="single" w:sz="4" w:space="0" w:color="auto"/>
              <w:right w:val="nil"/>
            </w:tcBorders>
            <w:shd w:val="clear" w:color="auto" w:fill="auto"/>
            <w:noWrap/>
            <w:vAlign w:val="bottom"/>
            <w:hideMark/>
          </w:tcPr>
          <w:p w14:paraId="02B10574"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268</w:t>
            </w:r>
          </w:p>
        </w:tc>
        <w:tc>
          <w:tcPr>
            <w:tcW w:w="861" w:type="dxa"/>
            <w:tcBorders>
              <w:top w:val="nil"/>
              <w:left w:val="nil"/>
              <w:bottom w:val="single" w:sz="4" w:space="0" w:color="auto"/>
              <w:right w:val="nil"/>
            </w:tcBorders>
            <w:shd w:val="clear" w:color="auto" w:fill="auto"/>
            <w:noWrap/>
            <w:vAlign w:val="bottom"/>
            <w:hideMark/>
          </w:tcPr>
          <w:p w14:paraId="5C2AD47B"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268</w:t>
            </w:r>
          </w:p>
        </w:tc>
        <w:tc>
          <w:tcPr>
            <w:tcW w:w="861" w:type="dxa"/>
            <w:tcBorders>
              <w:top w:val="nil"/>
              <w:left w:val="nil"/>
              <w:bottom w:val="single" w:sz="4" w:space="0" w:color="auto"/>
              <w:right w:val="nil"/>
            </w:tcBorders>
            <w:shd w:val="clear" w:color="auto" w:fill="auto"/>
            <w:noWrap/>
            <w:vAlign w:val="bottom"/>
            <w:hideMark/>
          </w:tcPr>
          <w:p w14:paraId="72266C5E" w14:textId="77777777" w:rsidR="00D44A98" w:rsidRPr="00D44A98" w:rsidRDefault="00D44A98" w:rsidP="00D44A98">
            <w:pPr>
              <w:spacing w:after="0"/>
              <w:jc w:val="right"/>
              <w:rPr>
                <w:rFonts w:ascii="Arial" w:hAnsi="Arial" w:cs="Arial"/>
                <w:b/>
                <w:bCs/>
                <w:color w:val="auto"/>
                <w:sz w:val="16"/>
                <w:szCs w:val="16"/>
              </w:rPr>
            </w:pPr>
            <w:r w:rsidRPr="00D44A98">
              <w:rPr>
                <w:rFonts w:ascii="Arial" w:hAnsi="Arial" w:cs="Arial"/>
                <w:b/>
                <w:bCs/>
                <w:color w:val="auto"/>
                <w:sz w:val="16"/>
                <w:szCs w:val="16"/>
              </w:rPr>
              <w:t>268</w:t>
            </w:r>
          </w:p>
        </w:tc>
      </w:tr>
    </w:tbl>
    <w:p w14:paraId="6D81B139" w14:textId="5407874C" w:rsidR="003B0A03" w:rsidRDefault="008250BA" w:rsidP="008250BA">
      <w:pPr>
        <w:pStyle w:val="FootnoteText"/>
        <w:spacing w:before="120"/>
      </w:pPr>
      <w:r w:rsidRPr="008250BA">
        <w:t xml:space="preserve">DCB = </w:t>
      </w:r>
      <w:r>
        <w:t>Departmental Capital Budget</w:t>
      </w:r>
    </w:p>
    <w:p w14:paraId="3FDE5616" w14:textId="77777777" w:rsidR="003B0A03" w:rsidRDefault="003B0A03">
      <w:pPr>
        <w:spacing w:after="160" w:line="259" w:lineRule="auto"/>
        <w:rPr>
          <w:rFonts w:ascii="Arial" w:hAnsi="Arial"/>
          <w:sz w:val="15"/>
        </w:rPr>
      </w:pPr>
      <w:r>
        <w:br w:type="page"/>
      </w:r>
    </w:p>
    <w:p w14:paraId="70B10A25" w14:textId="2C3E4FA1" w:rsidR="00BC0659" w:rsidRPr="00EE76CA" w:rsidRDefault="00BC0659" w:rsidP="008C5D8B">
      <w:pPr>
        <w:pStyle w:val="Tablenumberandreference"/>
        <w:rPr>
          <w:color w:val="000000" w:themeColor="text1"/>
        </w:rPr>
      </w:pPr>
      <w:r w:rsidRPr="00EE76CA">
        <w:rPr>
          <w:color w:val="000000" w:themeColor="text1"/>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Pr>
      <w:tblGrid>
        <w:gridCol w:w="2919"/>
        <w:gridCol w:w="894"/>
        <w:gridCol w:w="883"/>
        <w:gridCol w:w="888"/>
        <w:gridCol w:w="888"/>
        <w:gridCol w:w="888"/>
      </w:tblGrid>
      <w:tr w:rsidR="007209F6" w:rsidRPr="007209F6" w14:paraId="57B7A369" w14:textId="77777777" w:rsidTr="007209F6">
        <w:trPr>
          <w:trHeight w:val="765"/>
          <w:jc w:val="center"/>
        </w:trPr>
        <w:tc>
          <w:tcPr>
            <w:tcW w:w="2919" w:type="dxa"/>
            <w:tcBorders>
              <w:top w:val="single" w:sz="4" w:space="0" w:color="auto"/>
              <w:left w:val="nil"/>
              <w:bottom w:val="nil"/>
              <w:right w:val="nil"/>
            </w:tcBorders>
            <w:shd w:val="clear" w:color="auto" w:fill="auto"/>
            <w:hideMark/>
          </w:tcPr>
          <w:p w14:paraId="14516045"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 </w:t>
            </w:r>
          </w:p>
        </w:tc>
        <w:tc>
          <w:tcPr>
            <w:tcW w:w="894" w:type="dxa"/>
            <w:tcBorders>
              <w:top w:val="single" w:sz="4" w:space="0" w:color="auto"/>
              <w:left w:val="nil"/>
              <w:bottom w:val="single" w:sz="4" w:space="0" w:color="auto"/>
              <w:right w:val="nil"/>
            </w:tcBorders>
            <w:shd w:val="clear" w:color="auto" w:fill="auto"/>
            <w:tcMar>
              <w:left w:w="57" w:type="dxa"/>
              <w:right w:w="57" w:type="dxa"/>
            </w:tcMar>
            <w:hideMark/>
          </w:tcPr>
          <w:p w14:paraId="10E6E214"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2021–22 Estimated actual</w:t>
            </w:r>
            <w:r w:rsidRPr="007209F6">
              <w:rPr>
                <w:rFonts w:ascii="Arial" w:hAnsi="Arial" w:cs="Arial"/>
                <w:b/>
                <w:bCs/>
                <w:color w:val="auto"/>
                <w:sz w:val="16"/>
                <w:szCs w:val="16"/>
              </w:rPr>
              <w:br/>
            </w:r>
            <w:r w:rsidRPr="007209F6">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000000" w:fill="D9D9D9"/>
            <w:tcMar>
              <w:left w:w="57" w:type="dxa"/>
              <w:right w:w="57" w:type="dxa"/>
            </w:tcMar>
            <w:hideMark/>
          </w:tcPr>
          <w:p w14:paraId="047BD6C9"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 xml:space="preserve">2022–23 Budget </w:t>
            </w:r>
            <w:r w:rsidRPr="007209F6">
              <w:rPr>
                <w:rFonts w:ascii="Arial" w:hAnsi="Arial" w:cs="Arial"/>
                <w:b/>
                <w:bCs/>
                <w:color w:val="auto"/>
                <w:sz w:val="16"/>
                <w:szCs w:val="16"/>
              </w:rPr>
              <w:br/>
            </w:r>
            <w:r w:rsidRPr="007209F6">
              <w:rPr>
                <w:rFonts w:ascii="Arial" w:hAnsi="Arial" w:cs="Arial"/>
                <w:b/>
                <w:bCs/>
                <w:color w:val="auto"/>
                <w:sz w:val="16"/>
                <w:szCs w:val="16"/>
              </w:rPr>
              <w:br/>
            </w:r>
            <w:r w:rsidRPr="007209F6">
              <w:rPr>
                <w:rFonts w:ascii="Arial" w:hAnsi="Arial" w:cs="Arial"/>
                <w:color w:val="auto"/>
                <w:sz w:val="16"/>
                <w:szCs w:val="16"/>
              </w:rPr>
              <w:t>$'000</w:t>
            </w:r>
          </w:p>
        </w:tc>
        <w:tc>
          <w:tcPr>
            <w:tcW w:w="888" w:type="dxa"/>
            <w:tcBorders>
              <w:top w:val="single" w:sz="4" w:space="0" w:color="auto"/>
              <w:left w:val="nil"/>
              <w:bottom w:val="single" w:sz="4" w:space="0" w:color="auto"/>
              <w:right w:val="nil"/>
            </w:tcBorders>
            <w:shd w:val="clear" w:color="auto" w:fill="auto"/>
            <w:tcMar>
              <w:left w:w="57" w:type="dxa"/>
              <w:right w:w="57" w:type="dxa"/>
            </w:tcMar>
            <w:hideMark/>
          </w:tcPr>
          <w:p w14:paraId="1DEB955E"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2023–24 Forward estimate</w:t>
            </w:r>
            <w:r w:rsidRPr="007209F6">
              <w:rPr>
                <w:rFonts w:ascii="Arial" w:hAnsi="Arial" w:cs="Arial"/>
                <w:b/>
                <w:bCs/>
                <w:color w:val="auto"/>
                <w:sz w:val="16"/>
                <w:szCs w:val="16"/>
              </w:rPr>
              <w:br/>
            </w:r>
            <w:r w:rsidRPr="007209F6">
              <w:rPr>
                <w:rFonts w:ascii="Arial" w:hAnsi="Arial" w:cs="Arial"/>
                <w:color w:val="auto"/>
                <w:sz w:val="16"/>
                <w:szCs w:val="16"/>
              </w:rPr>
              <w:t>$'000</w:t>
            </w:r>
          </w:p>
        </w:tc>
        <w:tc>
          <w:tcPr>
            <w:tcW w:w="888" w:type="dxa"/>
            <w:tcBorders>
              <w:top w:val="single" w:sz="4" w:space="0" w:color="auto"/>
              <w:left w:val="nil"/>
              <w:bottom w:val="single" w:sz="4" w:space="0" w:color="auto"/>
              <w:right w:val="nil"/>
            </w:tcBorders>
            <w:shd w:val="clear" w:color="auto" w:fill="auto"/>
            <w:tcMar>
              <w:left w:w="57" w:type="dxa"/>
              <w:right w:w="57" w:type="dxa"/>
            </w:tcMar>
            <w:hideMark/>
          </w:tcPr>
          <w:p w14:paraId="71CE0166"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2024–25 Forward estimate</w:t>
            </w:r>
            <w:r w:rsidRPr="007209F6">
              <w:rPr>
                <w:rFonts w:ascii="Arial" w:hAnsi="Arial" w:cs="Arial"/>
                <w:b/>
                <w:bCs/>
                <w:color w:val="auto"/>
                <w:sz w:val="16"/>
                <w:szCs w:val="16"/>
              </w:rPr>
              <w:br/>
            </w:r>
            <w:r w:rsidRPr="007209F6">
              <w:rPr>
                <w:rFonts w:ascii="Arial" w:hAnsi="Arial" w:cs="Arial"/>
                <w:color w:val="auto"/>
                <w:sz w:val="16"/>
                <w:szCs w:val="16"/>
              </w:rPr>
              <w:t>$'000</w:t>
            </w:r>
          </w:p>
        </w:tc>
        <w:tc>
          <w:tcPr>
            <w:tcW w:w="888" w:type="dxa"/>
            <w:tcBorders>
              <w:top w:val="single" w:sz="4" w:space="0" w:color="auto"/>
              <w:left w:val="nil"/>
              <w:bottom w:val="single" w:sz="4" w:space="0" w:color="auto"/>
              <w:right w:val="nil"/>
            </w:tcBorders>
            <w:shd w:val="clear" w:color="auto" w:fill="auto"/>
            <w:tcMar>
              <w:left w:w="57" w:type="dxa"/>
              <w:right w:w="57" w:type="dxa"/>
            </w:tcMar>
            <w:hideMark/>
          </w:tcPr>
          <w:p w14:paraId="0718A67C"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2025–26 Forward estimate</w:t>
            </w:r>
            <w:r w:rsidRPr="007209F6">
              <w:rPr>
                <w:rFonts w:ascii="Arial" w:hAnsi="Arial" w:cs="Arial"/>
                <w:b/>
                <w:bCs/>
                <w:color w:val="auto"/>
                <w:sz w:val="16"/>
                <w:szCs w:val="16"/>
              </w:rPr>
              <w:br/>
            </w:r>
            <w:r w:rsidRPr="007209F6">
              <w:rPr>
                <w:rFonts w:ascii="Arial" w:hAnsi="Arial" w:cs="Arial"/>
                <w:color w:val="auto"/>
                <w:sz w:val="16"/>
                <w:szCs w:val="16"/>
              </w:rPr>
              <w:t>$'000</w:t>
            </w:r>
          </w:p>
        </w:tc>
      </w:tr>
      <w:tr w:rsidR="007209F6" w:rsidRPr="007209F6" w14:paraId="5AFB0F2C"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3B04CE1C"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CAPITAL APPROPRIATIONS</w:t>
            </w:r>
          </w:p>
        </w:tc>
        <w:tc>
          <w:tcPr>
            <w:tcW w:w="894" w:type="dxa"/>
            <w:tcBorders>
              <w:top w:val="single" w:sz="4" w:space="0" w:color="auto"/>
              <w:left w:val="nil"/>
              <w:bottom w:val="nil"/>
              <w:right w:val="nil"/>
            </w:tcBorders>
            <w:shd w:val="clear" w:color="000000" w:fill="FFFFFF"/>
            <w:noWrap/>
            <w:vAlign w:val="bottom"/>
            <w:hideMark/>
          </w:tcPr>
          <w:p w14:paraId="4263CF47"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883" w:type="dxa"/>
            <w:tcBorders>
              <w:top w:val="single" w:sz="4" w:space="0" w:color="auto"/>
              <w:left w:val="nil"/>
              <w:bottom w:val="nil"/>
              <w:right w:val="nil"/>
            </w:tcBorders>
            <w:shd w:val="clear" w:color="000000" w:fill="D9D9D9"/>
            <w:noWrap/>
            <w:vAlign w:val="center"/>
            <w:hideMark/>
          </w:tcPr>
          <w:p w14:paraId="0A13BF1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888" w:type="dxa"/>
            <w:tcBorders>
              <w:top w:val="single" w:sz="4" w:space="0" w:color="auto"/>
              <w:left w:val="nil"/>
              <w:bottom w:val="nil"/>
              <w:right w:val="nil"/>
            </w:tcBorders>
            <w:shd w:val="clear" w:color="auto" w:fill="auto"/>
            <w:noWrap/>
            <w:vAlign w:val="center"/>
            <w:hideMark/>
          </w:tcPr>
          <w:p w14:paraId="3296CF91"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888" w:type="dxa"/>
            <w:tcBorders>
              <w:top w:val="single" w:sz="4" w:space="0" w:color="auto"/>
              <w:left w:val="nil"/>
              <w:bottom w:val="nil"/>
              <w:right w:val="nil"/>
            </w:tcBorders>
            <w:shd w:val="clear" w:color="000000" w:fill="FFFFFF"/>
            <w:noWrap/>
            <w:vAlign w:val="bottom"/>
            <w:hideMark/>
          </w:tcPr>
          <w:p w14:paraId="5EA5AAF7"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888" w:type="dxa"/>
            <w:tcBorders>
              <w:top w:val="single" w:sz="4" w:space="0" w:color="auto"/>
              <w:left w:val="nil"/>
              <w:bottom w:val="nil"/>
              <w:right w:val="nil"/>
            </w:tcBorders>
            <w:shd w:val="clear" w:color="000000" w:fill="FFFFFF"/>
            <w:noWrap/>
            <w:vAlign w:val="bottom"/>
            <w:hideMark/>
          </w:tcPr>
          <w:p w14:paraId="149CB5E7"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r>
      <w:tr w:rsidR="007209F6" w:rsidRPr="007209F6" w14:paraId="1C557DBD"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6C81E3EC" w14:textId="77777777" w:rsidR="007209F6" w:rsidRPr="007209F6" w:rsidRDefault="007209F6" w:rsidP="007209F6">
            <w:pPr>
              <w:spacing w:after="0"/>
              <w:ind w:leftChars="75" w:left="150"/>
              <w:rPr>
                <w:rFonts w:ascii="Arial" w:hAnsi="Arial" w:cs="Arial"/>
                <w:sz w:val="16"/>
                <w:szCs w:val="16"/>
              </w:rPr>
            </w:pPr>
            <w:r w:rsidRPr="007209F6">
              <w:rPr>
                <w:rFonts w:ascii="Arial" w:hAnsi="Arial" w:cs="Arial"/>
                <w:sz w:val="16"/>
                <w:szCs w:val="16"/>
              </w:rPr>
              <w:t>Capital budget - Bill 1 (DCB)</w:t>
            </w:r>
          </w:p>
        </w:tc>
        <w:tc>
          <w:tcPr>
            <w:tcW w:w="894" w:type="dxa"/>
            <w:tcBorders>
              <w:top w:val="nil"/>
              <w:left w:val="nil"/>
              <w:bottom w:val="nil"/>
              <w:right w:val="nil"/>
            </w:tcBorders>
            <w:shd w:val="clear" w:color="auto" w:fill="auto"/>
            <w:noWrap/>
            <w:vAlign w:val="bottom"/>
            <w:hideMark/>
          </w:tcPr>
          <w:p w14:paraId="4E11C5E0"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261</w:t>
            </w:r>
          </w:p>
        </w:tc>
        <w:tc>
          <w:tcPr>
            <w:tcW w:w="883" w:type="dxa"/>
            <w:tcBorders>
              <w:top w:val="nil"/>
              <w:left w:val="nil"/>
              <w:bottom w:val="nil"/>
              <w:right w:val="nil"/>
            </w:tcBorders>
            <w:shd w:val="clear" w:color="000000" w:fill="D9D9D9"/>
            <w:noWrap/>
            <w:vAlign w:val="bottom"/>
            <w:hideMark/>
          </w:tcPr>
          <w:p w14:paraId="1AE10702"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264</w:t>
            </w:r>
          </w:p>
        </w:tc>
        <w:tc>
          <w:tcPr>
            <w:tcW w:w="888" w:type="dxa"/>
            <w:tcBorders>
              <w:top w:val="nil"/>
              <w:left w:val="nil"/>
              <w:bottom w:val="nil"/>
              <w:right w:val="nil"/>
            </w:tcBorders>
            <w:shd w:val="clear" w:color="auto" w:fill="auto"/>
            <w:noWrap/>
            <w:vAlign w:val="bottom"/>
            <w:hideMark/>
          </w:tcPr>
          <w:p w14:paraId="45D68908"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265</w:t>
            </w:r>
          </w:p>
        </w:tc>
        <w:tc>
          <w:tcPr>
            <w:tcW w:w="888" w:type="dxa"/>
            <w:tcBorders>
              <w:top w:val="nil"/>
              <w:left w:val="nil"/>
              <w:bottom w:val="nil"/>
              <w:right w:val="nil"/>
            </w:tcBorders>
            <w:shd w:val="clear" w:color="auto" w:fill="auto"/>
            <w:noWrap/>
            <w:vAlign w:val="bottom"/>
            <w:hideMark/>
          </w:tcPr>
          <w:p w14:paraId="5253BF50"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267</w:t>
            </w:r>
          </w:p>
        </w:tc>
        <w:tc>
          <w:tcPr>
            <w:tcW w:w="888" w:type="dxa"/>
            <w:tcBorders>
              <w:top w:val="nil"/>
              <w:left w:val="nil"/>
              <w:bottom w:val="nil"/>
              <w:right w:val="nil"/>
            </w:tcBorders>
            <w:shd w:val="clear" w:color="auto" w:fill="auto"/>
            <w:noWrap/>
            <w:vAlign w:val="bottom"/>
            <w:hideMark/>
          </w:tcPr>
          <w:p w14:paraId="71DF3DDF"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266</w:t>
            </w:r>
          </w:p>
        </w:tc>
      </w:tr>
      <w:tr w:rsidR="007209F6" w:rsidRPr="007209F6" w14:paraId="04E86A25"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16C57A87" w14:textId="77777777" w:rsidR="007209F6" w:rsidRPr="007209F6" w:rsidRDefault="007209F6" w:rsidP="007209F6">
            <w:pPr>
              <w:spacing w:after="0"/>
              <w:ind w:leftChars="75" w:left="150"/>
              <w:rPr>
                <w:rFonts w:ascii="Arial" w:hAnsi="Arial" w:cs="Arial"/>
                <w:sz w:val="16"/>
                <w:szCs w:val="16"/>
              </w:rPr>
            </w:pPr>
            <w:r w:rsidRPr="007209F6">
              <w:rPr>
                <w:rFonts w:ascii="Arial" w:hAnsi="Arial" w:cs="Arial"/>
                <w:sz w:val="16"/>
                <w:szCs w:val="16"/>
              </w:rPr>
              <w:t>Equity injections - Bill 2</w:t>
            </w:r>
          </w:p>
        </w:tc>
        <w:tc>
          <w:tcPr>
            <w:tcW w:w="894" w:type="dxa"/>
            <w:tcBorders>
              <w:top w:val="nil"/>
              <w:left w:val="nil"/>
              <w:bottom w:val="nil"/>
              <w:right w:val="nil"/>
            </w:tcBorders>
            <w:shd w:val="clear" w:color="auto" w:fill="auto"/>
            <w:noWrap/>
            <w:vAlign w:val="bottom"/>
            <w:hideMark/>
          </w:tcPr>
          <w:p w14:paraId="30FA4FBB"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0DD185BD"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3A045E1B"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549AFF5C"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5943462F"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r>
      <w:tr w:rsidR="007209F6" w:rsidRPr="007209F6" w14:paraId="469096D7"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633CC496" w14:textId="77777777" w:rsidR="007209F6" w:rsidRPr="007209F6" w:rsidRDefault="007209F6" w:rsidP="007209F6">
            <w:pPr>
              <w:spacing w:after="0"/>
              <w:ind w:leftChars="75" w:left="150"/>
              <w:rPr>
                <w:rFonts w:ascii="Arial" w:hAnsi="Arial" w:cs="Arial"/>
                <w:b/>
                <w:bCs/>
                <w:sz w:val="16"/>
                <w:szCs w:val="16"/>
              </w:rPr>
            </w:pPr>
            <w:r w:rsidRPr="007209F6">
              <w:rPr>
                <w:rFonts w:ascii="Arial" w:hAnsi="Arial" w:cs="Arial"/>
                <w:b/>
                <w:bCs/>
                <w:sz w:val="16"/>
                <w:szCs w:val="16"/>
              </w:rPr>
              <w:t>Total capital appropriations</w:t>
            </w:r>
          </w:p>
        </w:tc>
        <w:tc>
          <w:tcPr>
            <w:tcW w:w="894" w:type="dxa"/>
            <w:tcBorders>
              <w:top w:val="nil"/>
              <w:left w:val="nil"/>
              <w:bottom w:val="single" w:sz="4" w:space="0" w:color="auto"/>
              <w:right w:val="nil"/>
            </w:tcBorders>
            <w:shd w:val="clear" w:color="auto" w:fill="auto"/>
            <w:noWrap/>
            <w:vAlign w:val="bottom"/>
            <w:hideMark/>
          </w:tcPr>
          <w:p w14:paraId="2D4EA2B5"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261</w:t>
            </w:r>
          </w:p>
        </w:tc>
        <w:tc>
          <w:tcPr>
            <w:tcW w:w="883" w:type="dxa"/>
            <w:tcBorders>
              <w:top w:val="nil"/>
              <w:left w:val="nil"/>
              <w:bottom w:val="single" w:sz="4" w:space="0" w:color="auto"/>
              <w:right w:val="nil"/>
            </w:tcBorders>
            <w:shd w:val="clear" w:color="000000" w:fill="D9D9D9"/>
            <w:noWrap/>
            <w:vAlign w:val="bottom"/>
            <w:hideMark/>
          </w:tcPr>
          <w:p w14:paraId="3CC4C907"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264</w:t>
            </w:r>
          </w:p>
        </w:tc>
        <w:tc>
          <w:tcPr>
            <w:tcW w:w="888" w:type="dxa"/>
            <w:tcBorders>
              <w:top w:val="nil"/>
              <w:left w:val="nil"/>
              <w:bottom w:val="single" w:sz="4" w:space="0" w:color="auto"/>
              <w:right w:val="nil"/>
            </w:tcBorders>
            <w:shd w:val="clear" w:color="auto" w:fill="auto"/>
            <w:noWrap/>
            <w:vAlign w:val="bottom"/>
            <w:hideMark/>
          </w:tcPr>
          <w:p w14:paraId="6460F220"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265</w:t>
            </w:r>
          </w:p>
        </w:tc>
        <w:tc>
          <w:tcPr>
            <w:tcW w:w="888" w:type="dxa"/>
            <w:tcBorders>
              <w:top w:val="nil"/>
              <w:left w:val="nil"/>
              <w:bottom w:val="single" w:sz="4" w:space="0" w:color="auto"/>
              <w:right w:val="nil"/>
            </w:tcBorders>
            <w:shd w:val="clear" w:color="auto" w:fill="auto"/>
            <w:noWrap/>
            <w:vAlign w:val="bottom"/>
            <w:hideMark/>
          </w:tcPr>
          <w:p w14:paraId="763594A2"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0093F0FC"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266</w:t>
            </w:r>
          </w:p>
        </w:tc>
      </w:tr>
      <w:tr w:rsidR="007209F6" w:rsidRPr="007209F6" w14:paraId="303CD032" w14:textId="77777777" w:rsidTr="007209F6">
        <w:trPr>
          <w:trHeight w:val="454"/>
          <w:jc w:val="center"/>
        </w:trPr>
        <w:tc>
          <w:tcPr>
            <w:tcW w:w="2919" w:type="dxa"/>
            <w:tcBorders>
              <w:top w:val="nil"/>
              <w:left w:val="nil"/>
              <w:bottom w:val="nil"/>
              <w:right w:val="nil"/>
            </w:tcBorders>
            <w:shd w:val="clear" w:color="000000" w:fill="FFFFFF"/>
            <w:vAlign w:val="bottom"/>
            <w:hideMark/>
          </w:tcPr>
          <w:p w14:paraId="33F77ECA"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Total new capital appropriations represented by:</w:t>
            </w:r>
          </w:p>
        </w:tc>
        <w:tc>
          <w:tcPr>
            <w:tcW w:w="894" w:type="dxa"/>
            <w:tcBorders>
              <w:top w:val="nil"/>
              <w:left w:val="nil"/>
              <w:bottom w:val="nil"/>
              <w:right w:val="nil"/>
            </w:tcBorders>
            <w:shd w:val="clear" w:color="000000" w:fill="FFFFFF"/>
            <w:noWrap/>
            <w:vAlign w:val="bottom"/>
            <w:hideMark/>
          </w:tcPr>
          <w:p w14:paraId="38C7D1AB"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c>
          <w:tcPr>
            <w:tcW w:w="883" w:type="dxa"/>
            <w:tcBorders>
              <w:top w:val="nil"/>
              <w:left w:val="nil"/>
              <w:bottom w:val="nil"/>
              <w:right w:val="nil"/>
            </w:tcBorders>
            <w:shd w:val="clear" w:color="000000" w:fill="D9D9D9"/>
            <w:noWrap/>
            <w:vAlign w:val="bottom"/>
            <w:hideMark/>
          </w:tcPr>
          <w:p w14:paraId="64C34F22"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c>
          <w:tcPr>
            <w:tcW w:w="888" w:type="dxa"/>
            <w:tcBorders>
              <w:top w:val="nil"/>
              <w:left w:val="nil"/>
              <w:bottom w:val="nil"/>
              <w:right w:val="nil"/>
            </w:tcBorders>
            <w:shd w:val="clear" w:color="auto" w:fill="auto"/>
            <w:noWrap/>
            <w:vAlign w:val="bottom"/>
            <w:hideMark/>
          </w:tcPr>
          <w:p w14:paraId="33BFA62A" w14:textId="77777777" w:rsidR="007209F6" w:rsidRPr="007209F6" w:rsidRDefault="007209F6" w:rsidP="007209F6">
            <w:pPr>
              <w:spacing w:after="0"/>
              <w:jc w:val="right"/>
              <w:rPr>
                <w:rFonts w:ascii="Arial" w:hAnsi="Arial" w:cs="Arial"/>
                <w:color w:val="auto"/>
                <w:sz w:val="16"/>
                <w:szCs w:val="16"/>
              </w:rPr>
            </w:pPr>
          </w:p>
        </w:tc>
        <w:tc>
          <w:tcPr>
            <w:tcW w:w="888" w:type="dxa"/>
            <w:tcBorders>
              <w:top w:val="nil"/>
              <w:left w:val="nil"/>
              <w:bottom w:val="nil"/>
              <w:right w:val="nil"/>
            </w:tcBorders>
            <w:shd w:val="clear" w:color="000000" w:fill="FFFFFF"/>
            <w:noWrap/>
            <w:vAlign w:val="bottom"/>
            <w:hideMark/>
          </w:tcPr>
          <w:p w14:paraId="5A5678CA"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c>
          <w:tcPr>
            <w:tcW w:w="888" w:type="dxa"/>
            <w:tcBorders>
              <w:top w:val="nil"/>
              <w:left w:val="nil"/>
              <w:bottom w:val="nil"/>
              <w:right w:val="nil"/>
            </w:tcBorders>
            <w:shd w:val="clear" w:color="000000" w:fill="FFFFFF"/>
            <w:noWrap/>
            <w:vAlign w:val="bottom"/>
            <w:hideMark/>
          </w:tcPr>
          <w:p w14:paraId="4264CDED"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r>
      <w:tr w:rsidR="007209F6" w:rsidRPr="007209F6" w14:paraId="19BF1404"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280BD280" w14:textId="77777777" w:rsidR="007209F6" w:rsidRPr="007209F6" w:rsidRDefault="007209F6" w:rsidP="007209F6">
            <w:pPr>
              <w:spacing w:after="0"/>
              <w:ind w:firstLineChars="200" w:firstLine="320"/>
              <w:rPr>
                <w:rFonts w:ascii="Arial" w:hAnsi="Arial" w:cs="Arial"/>
                <w:sz w:val="16"/>
                <w:szCs w:val="16"/>
              </w:rPr>
            </w:pPr>
            <w:r w:rsidRPr="007209F6">
              <w:rPr>
                <w:rFonts w:ascii="Arial" w:hAnsi="Arial" w:cs="Arial"/>
                <w:sz w:val="16"/>
                <w:szCs w:val="16"/>
              </w:rPr>
              <w:t>Purchase of non-financial assets</w:t>
            </w:r>
          </w:p>
        </w:tc>
        <w:tc>
          <w:tcPr>
            <w:tcW w:w="894" w:type="dxa"/>
            <w:tcBorders>
              <w:top w:val="nil"/>
              <w:left w:val="nil"/>
              <w:bottom w:val="nil"/>
              <w:right w:val="nil"/>
            </w:tcBorders>
            <w:shd w:val="clear" w:color="auto" w:fill="auto"/>
            <w:noWrap/>
            <w:vAlign w:val="bottom"/>
            <w:hideMark/>
          </w:tcPr>
          <w:p w14:paraId="68974526"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261</w:t>
            </w:r>
          </w:p>
        </w:tc>
        <w:tc>
          <w:tcPr>
            <w:tcW w:w="883" w:type="dxa"/>
            <w:tcBorders>
              <w:top w:val="nil"/>
              <w:left w:val="nil"/>
              <w:bottom w:val="nil"/>
              <w:right w:val="nil"/>
            </w:tcBorders>
            <w:shd w:val="clear" w:color="000000" w:fill="D9D9D9"/>
            <w:noWrap/>
            <w:vAlign w:val="bottom"/>
            <w:hideMark/>
          </w:tcPr>
          <w:p w14:paraId="0E44BC0B"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264</w:t>
            </w:r>
          </w:p>
        </w:tc>
        <w:tc>
          <w:tcPr>
            <w:tcW w:w="888" w:type="dxa"/>
            <w:tcBorders>
              <w:top w:val="nil"/>
              <w:left w:val="nil"/>
              <w:bottom w:val="nil"/>
              <w:right w:val="nil"/>
            </w:tcBorders>
            <w:shd w:val="clear" w:color="auto" w:fill="auto"/>
            <w:noWrap/>
            <w:vAlign w:val="bottom"/>
            <w:hideMark/>
          </w:tcPr>
          <w:p w14:paraId="7DEEA16C"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265</w:t>
            </w:r>
          </w:p>
        </w:tc>
        <w:tc>
          <w:tcPr>
            <w:tcW w:w="888" w:type="dxa"/>
            <w:tcBorders>
              <w:top w:val="nil"/>
              <w:left w:val="nil"/>
              <w:bottom w:val="nil"/>
              <w:right w:val="nil"/>
            </w:tcBorders>
            <w:shd w:val="clear" w:color="auto" w:fill="auto"/>
            <w:noWrap/>
            <w:vAlign w:val="bottom"/>
            <w:hideMark/>
          </w:tcPr>
          <w:p w14:paraId="46B3AB9D"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267</w:t>
            </w:r>
          </w:p>
        </w:tc>
        <w:tc>
          <w:tcPr>
            <w:tcW w:w="888" w:type="dxa"/>
            <w:tcBorders>
              <w:top w:val="nil"/>
              <w:left w:val="nil"/>
              <w:bottom w:val="nil"/>
              <w:right w:val="nil"/>
            </w:tcBorders>
            <w:shd w:val="clear" w:color="auto" w:fill="auto"/>
            <w:noWrap/>
            <w:vAlign w:val="bottom"/>
            <w:hideMark/>
          </w:tcPr>
          <w:p w14:paraId="75CB77C7"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266</w:t>
            </w:r>
          </w:p>
        </w:tc>
      </w:tr>
      <w:tr w:rsidR="007209F6" w:rsidRPr="007209F6" w14:paraId="7AC3BE70"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526FA7B5" w14:textId="77777777" w:rsidR="007209F6" w:rsidRPr="007209F6" w:rsidRDefault="007209F6" w:rsidP="007209F6">
            <w:pPr>
              <w:spacing w:after="0"/>
              <w:ind w:firstLineChars="200" w:firstLine="320"/>
              <w:rPr>
                <w:rFonts w:ascii="Arial" w:hAnsi="Arial" w:cs="Arial"/>
                <w:b/>
                <w:bCs/>
                <w:sz w:val="16"/>
                <w:szCs w:val="16"/>
              </w:rPr>
            </w:pPr>
            <w:r w:rsidRPr="007209F6">
              <w:rPr>
                <w:rFonts w:ascii="Arial" w:hAnsi="Arial" w:cs="Arial"/>
                <w:b/>
                <w:bCs/>
                <w:sz w:val="16"/>
                <w:szCs w:val="16"/>
              </w:rPr>
              <w:t>Total items</w:t>
            </w:r>
          </w:p>
        </w:tc>
        <w:tc>
          <w:tcPr>
            <w:tcW w:w="894" w:type="dxa"/>
            <w:tcBorders>
              <w:top w:val="nil"/>
              <w:left w:val="nil"/>
              <w:bottom w:val="single" w:sz="4" w:space="0" w:color="auto"/>
              <w:right w:val="nil"/>
            </w:tcBorders>
            <w:shd w:val="clear" w:color="auto" w:fill="auto"/>
            <w:noWrap/>
            <w:vAlign w:val="bottom"/>
            <w:hideMark/>
          </w:tcPr>
          <w:p w14:paraId="2081A4D2"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261</w:t>
            </w:r>
          </w:p>
        </w:tc>
        <w:tc>
          <w:tcPr>
            <w:tcW w:w="883" w:type="dxa"/>
            <w:tcBorders>
              <w:top w:val="nil"/>
              <w:left w:val="nil"/>
              <w:bottom w:val="single" w:sz="4" w:space="0" w:color="auto"/>
              <w:right w:val="nil"/>
            </w:tcBorders>
            <w:shd w:val="clear" w:color="000000" w:fill="D9D9D9"/>
            <w:noWrap/>
            <w:vAlign w:val="bottom"/>
            <w:hideMark/>
          </w:tcPr>
          <w:p w14:paraId="289CCC81" w14:textId="77777777" w:rsidR="007209F6" w:rsidRPr="00337788" w:rsidRDefault="007209F6" w:rsidP="007209F6">
            <w:pPr>
              <w:spacing w:after="0"/>
              <w:jc w:val="right"/>
              <w:rPr>
                <w:rFonts w:ascii="Arial" w:hAnsi="Arial" w:cs="Arial"/>
                <w:b/>
                <w:color w:val="auto"/>
                <w:sz w:val="16"/>
                <w:szCs w:val="16"/>
              </w:rPr>
            </w:pPr>
            <w:r w:rsidRPr="00337788">
              <w:rPr>
                <w:rFonts w:ascii="Arial" w:hAnsi="Arial" w:cs="Arial"/>
                <w:b/>
                <w:color w:val="auto"/>
                <w:sz w:val="16"/>
                <w:szCs w:val="16"/>
              </w:rPr>
              <w:t>264</w:t>
            </w:r>
          </w:p>
        </w:tc>
        <w:tc>
          <w:tcPr>
            <w:tcW w:w="888" w:type="dxa"/>
            <w:tcBorders>
              <w:top w:val="nil"/>
              <w:left w:val="nil"/>
              <w:bottom w:val="single" w:sz="4" w:space="0" w:color="auto"/>
              <w:right w:val="nil"/>
            </w:tcBorders>
            <w:shd w:val="clear" w:color="auto" w:fill="auto"/>
            <w:noWrap/>
            <w:vAlign w:val="bottom"/>
            <w:hideMark/>
          </w:tcPr>
          <w:p w14:paraId="225E3DE4"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265</w:t>
            </w:r>
          </w:p>
        </w:tc>
        <w:tc>
          <w:tcPr>
            <w:tcW w:w="888" w:type="dxa"/>
            <w:tcBorders>
              <w:top w:val="nil"/>
              <w:left w:val="nil"/>
              <w:bottom w:val="single" w:sz="4" w:space="0" w:color="auto"/>
              <w:right w:val="nil"/>
            </w:tcBorders>
            <w:shd w:val="clear" w:color="auto" w:fill="auto"/>
            <w:noWrap/>
            <w:vAlign w:val="bottom"/>
            <w:hideMark/>
          </w:tcPr>
          <w:p w14:paraId="1479232E"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06475CE7"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266</w:t>
            </w:r>
          </w:p>
        </w:tc>
      </w:tr>
      <w:tr w:rsidR="007209F6" w:rsidRPr="007209F6" w14:paraId="4DCC569D" w14:textId="77777777" w:rsidTr="007209F6">
        <w:trPr>
          <w:trHeight w:val="454"/>
          <w:jc w:val="center"/>
        </w:trPr>
        <w:tc>
          <w:tcPr>
            <w:tcW w:w="2919" w:type="dxa"/>
            <w:tcBorders>
              <w:top w:val="nil"/>
              <w:left w:val="nil"/>
              <w:bottom w:val="nil"/>
              <w:right w:val="nil"/>
            </w:tcBorders>
            <w:shd w:val="clear" w:color="000000" w:fill="FFFFFF"/>
            <w:vAlign w:val="bottom"/>
            <w:hideMark/>
          </w:tcPr>
          <w:p w14:paraId="426DDB8E"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PURCHASE OF NON-FINANCIAL ASSETS</w:t>
            </w:r>
          </w:p>
        </w:tc>
        <w:tc>
          <w:tcPr>
            <w:tcW w:w="894" w:type="dxa"/>
            <w:tcBorders>
              <w:top w:val="nil"/>
              <w:left w:val="nil"/>
              <w:bottom w:val="nil"/>
              <w:right w:val="nil"/>
            </w:tcBorders>
            <w:shd w:val="clear" w:color="000000" w:fill="FFFFFF"/>
            <w:noWrap/>
            <w:vAlign w:val="bottom"/>
            <w:hideMark/>
          </w:tcPr>
          <w:p w14:paraId="0B8C9CA6"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c>
          <w:tcPr>
            <w:tcW w:w="883" w:type="dxa"/>
            <w:tcBorders>
              <w:top w:val="nil"/>
              <w:left w:val="nil"/>
              <w:bottom w:val="nil"/>
              <w:right w:val="nil"/>
            </w:tcBorders>
            <w:shd w:val="clear" w:color="000000" w:fill="D9D9D9"/>
            <w:noWrap/>
            <w:vAlign w:val="bottom"/>
            <w:hideMark/>
          </w:tcPr>
          <w:p w14:paraId="2C62396A"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c>
          <w:tcPr>
            <w:tcW w:w="888" w:type="dxa"/>
            <w:tcBorders>
              <w:top w:val="nil"/>
              <w:left w:val="nil"/>
              <w:bottom w:val="nil"/>
              <w:right w:val="nil"/>
            </w:tcBorders>
            <w:shd w:val="clear" w:color="auto" w:fill="auto"/>
            <w:noWrap/>
            <w:vAlign w:val="bottom"/>
            <w:hideMark/>
          </w:tcPr>
          <w:p w14:paraId="4F415852" w14:textId="77777777" w:rsidR="007209F6" w:rsidRPr="007209F6" w:rsidRDefault="007209F6" w:rsidP="007209F6">
            <w:pPr>
              <w:spacing w:after="0"/>
              <w:jc w:val="right"/>
              <w:rPr>
                <w:rFonts w:ascii="Arial" w:hAnsi="Arial" w:cs="Arial"/>
                <w:color w:val="auto"/>
                <w:sz w:val="16"/>
                <w:szCs w:val="16"/>
              </w:rPr>
            </w:pPr>
          </w:p>
        </w:tc>
        <w:tc>
          <w:tcPr>
            <w:tcW w:w="888" w:type="dxa"/>
            <w:tcBorders>
              <w:top w:val="nil"/>
              <w:left w:val="nil"/>
              <w:bottom w:val="nil"/>
              <w:right w:val="nil"/>
            </w:tcBorders>
            <w:shd w:val="clear" w:color="000000" w:fill="FFFFFF"/>
            <w:noWrap/>
            <w:vAlign w:val="bottom"/>
            <w:hideMark/>
          </w:tcPr>
          <w:p w14:paraId="18E62034"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c>
          <w:tcPr>
            <w:tcW w:w="888" w:type="dxa"/>
            <w:tcBorders>
              <w:top w:val="nil"/>
              <w:left w:val="nil"/>
              <w:bottom w:val="nil"/>
              <w:right w:val="nil"/>
            </w:tcBorders>
            <w:shd w:val="clear" w:color="000000" w:fill="FFFFFF"/>
            <w:noWrap/>
            <w:vAlign w:val="bottom"/>
            <w:hideMark/>
          </w:tcPr>
          <w:p w14:paraId="4F6E1945"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 </w:t>
            </w:r>
          </w:p>
        </w:tc>
      </w:tr>
      <w:tr w:rsidR="007209F6" w:rsidRPr="007209F6" w14:paraId="4738737E" w14:textId="77777777" w:rsidTr="007209F6">
        <w:trPr>
          <w:trHeight w:val="454"/>
          <w:jc w:val="center"/>
        </w:trPr>
        <w:tc>
          <w:tcPr>
            <w:tcW w:w="2919" w:type="dxa"/>
            <w:tcBorders>
              <w:top w:val="nil"/>
              <w:left w:val="nil"/>
              <w:bottom w:val="nil"/>
              <w:right w:val="nil"/>
            </w:tcBorders>
            <w:shd w:val="clear" w:color="auto" w:fill="auto"/>
            <w:vAlign w:val="bottom"/>
            <w:hideMark/>
          </w:tcPr>
          <w:p w14:paraId="3323AA1D" w14:textId="77777777" w:rsidR="007209F6" w:rsidRPr="007209F6" w:rsidRDefault="007209F6" w:rsidP="007209F6">
            <w:pPr>
              <w:spacing w:after="0"/>
              <w:ind w:leftChars="75" w:left="150"/>
              <w:rPr>
                <w:rFonts w:ascii="Arial" w:hAnsi="Arial" w:cs="Arial"/>
                <w:color w:val="auto"/>
                <w:sz w:val="16"/>
                <w:szCs w:val="16"/>
              </w:rPr>
            </w:pPr>
            <w:r w:rsidRPr="007209F6">
              <w:rPr>
                <w:rFonts w:ascii="Arial" w:hAnsi="Arial" w:cs="Arial"/>
                <w:color w:val="auto"/>
                <w:sz w:val="16"/>
                <w:szCs w:val="16"/>
              </w:rPr>
              <w:t>Funded by capital appropriations</w:t>
            </w:r>
            <w:r w:rsidRPr="007209F6">
              <w:rPr>
                <w:rFonts w:ascii="Arial" w:hAnsi="Arial" w:cs="Arial"/>
                <w:color w:val="auto"/>
                <w:sz w:val="16"/>
                <w:szCs w:val="16"/>
              </w:rPr>
              <w:br/>
              <w:t xml:space="preserve"> - equity injection</w:t>
            </w:r>
            <w:r w:rsidRPr="007209F6">
              <w:rPr>
                <w:rFonts w:ascii="Arial" w:hAnsi="Arial" w:cs="Arial"/>
                <w:color w:val="auto"/>
                <w:sz w:val="16"/>
                <w:szCs w:val="16"/>
                <w:vertAlign w:val="superscript"/>
              </w:rPr>
              <w:t xml:space="preserve"> (a)</w:t>
            </w:r>
          </w:p>
        </w:tc>
        <w:tc>
          <w:tcPr>
            <w:tcW w:w="894" w:type="dxa"/>
            <w:tcBorders>
              <w:top w:val="nil"/>
              <w:left w:val="nil"/>
              <w:bottom w:val="nil"/>
              <w:right w:val="nil"/>
            </w:tcBorders>
            <w:shd w:val="clear" w:color="auto" w:fill="auto"/>
            <w:noWrap/>
            <w:vAlign w:val="bottom"/>
            <w:hideMark/>
          </w:tcPr>
          <w:p w14:paraId="7A41F5A5"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4F79B659"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0B555478"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639634CA"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1474283D"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r>
      <w:tr w:rsidR="007209F6" w:rsidRPr="007209F6" w14:paraId="36CD5366" w14:textId="77777777" w:rsidTr="007209F6">
        <w:trPr>
          <w:trHeight w:val="454"/>
          <w:jc w:val="center"/>
        </w:trPr>
        <w:tc>
          <w:tcPr>
            <w:tcW w:w="2919" w:type="dxa"/>
            <w:tcBorders>
              <w:top w:val="nil"/>
              <w:left w:val="nil"/>
              <w:bottom w:val="nil"/>
              <w:right w:val="nil"/>
            </w:tcBorders>
            <w:shd w:val="clear" w:color="000000" w:fill="FFFFFF"/>
            <w:vAlign w:val="bottom"/>
            <w:hideMark/>
          </w:tcPr>
          <w:p w14:paraId="5BB37F9D" w14:textId="77777777" w:rsidR="007209F6" w:rsidRPr="007209F6" w:rsidRDefault="007209F6" w:rsidP="007209F6">
            <w:pPr>
              <w:spacing w:after="0"/>
              <w:ind w:leftChars="75" w:left="150"/>
              <w:rPr>
                <w:rFonts w:ascii="Arial" w:hAnsi="Arial" w:cs="Arial"/>
                <w:color w:val="auto"/>
                <w:sz w:val="16"/>
                <w:szCs w:val="16"/>
              </w:rPr>
            </w:pPr>
            <w:r w:rsidRPr="007209F6">
              <w:rPr>
                <w:rFonts w:ascii="Arial" w:hAnsi="Arial" w:cs="Arial"/>
                <w:color w:val="auto"/>
                <w:sz w:val="16"/>
                <w:szCs w:val="16"/>
              </w:rPr>
              <w:t>Funded by capital appropriation</w:t>
            </w:r>
            <w:r w:rsidRPr="007209F6">
              <w:rPr>
                <w:rFonts w:ascii="Arial" w:hAnsi="Arial" w:cs="Arial"/>
                <w:color w:val="auto"/>
                <w:sz w:val="16"/>
                <w:szCs w:val="16"/>
              </w:rPr>
              <w:br/>
              <w:t xml:space="preserve"> - DCB</w:t>
            </w:r>
            <w:r w:rsidRPr="007209F6">
              <w:rPr>
                <w:rFonts w:ascii="Arial" w:hAnsi="Arial" w:cs="Arial"/>
                <w:color w:val="auto"/>
                <w:sz w:val="16"/>
                <w:szCs w:val="16"/>
                <w:vertAlign w:val="superscript"/>
              </w:rPr>
              <w:t xml:space="preserve"> (b)</w:t>
            </w:r>
          </w:p>
        </w:tc>
        <w:tc>
          <w:tcPr>
            <w:tcW w:w="894" w:type="dxa"/>
            <w:tcBorders>
              <w:top w:val="nil"/>
              <w:left w:val="nil"/>
              <w:bottom w:val="nil"/>
              <w:right w:val="nil"/>
            </w:tcBorders>
            <w:shd w:val="clear" w:color="auto" w:fill="auto"/>
            <w:noWrap/>
            <w:vAlign w:val="bottom"/>
            <w:hideMark/>
          </w:tcPr>
          <w:p w14:paraId="103397E2"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261</w:t>
            </w:r>
          </w:p>
        </w:tc>
        <w:tc>
          <w:tcPr>
            <w:tcW w:w="883" w:type="dxa"/>
            <w:tcBorders>
              <w:top w:val="nil"/>
              <w:left w:val="nil"/>
              <w:bottom w:val="nil"/>
              <w:right w:val="nil"/>
            </w:tcBorders>
            <w:shd w:val="clear" w:color="000000" w:fill="D9D9D9"/>
            <w:noWrap/>
            <w:vAlign w:val="bottom"/>
            <w:hideMark/>
          </w:tcPr>
          <w:p w14:paraId="26567785"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264</w:t>
            </w:r>
          </w:p>
        </w:tc>
        <w:tc>
          <w:tcPr>
            <w:tcW w:w="888" w:type="dxa"/>
            <w:tcBorders>
              <w:top w:val="nil"/>
              <w:left w:val="nil"/>
              <w:bottom w:val="nil"/>
              <w:right w:val="nil"/>
            </w:tcBorders>
            <w:shd w:val="clear" w:color="auto" w:fill="auto"/>
            <w:noWrap/>
            <w:vAlign w:val="bottom"/>
            <w:hideMark/>
          </w:tcPr>
          <w:p w14:paraId="5E33E88E"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265</w:t>
            </w:r>
          </w:p>
        </w:tc>
        <w:tc>
          <w:tcPr>
            <w:tcW w:w="888" w:type="dxa"/>
            <w:tcBorders>
              <w:top w:val="nil"/>
              <w:left w:val="nil"/>
              <w:bottom w:val="nil"/>
              <w:right w:val="nil"/>
            </w:tcBorders>
            <w:shd w:val="clear" w:color="auto" w:fill="auto"/>
            <w:noWrap/>
            <w:vAlign w:val="bottom"/>
            <w:hideMark/>
          </w:tcPr>
          <w:p w14:paraId="086D751E"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267</w:t>
            </w:r>
          </w:p>
        </w:tc>
        <w:tc>
          <w:tcPr>
            <w:tcW w:w="888" w:type="dxa"/>
            <w:tcBorders>
              <w:top w:val="nil"/>
              <w:left w:val="nil"/>
              <w:bottom w:val="nil"/>
              <w:right w:val="nil"/>
            </w:tcBorders>
            <w:shd w:val="clear" w:color="auto" w:fill="auto"/>
            <w:noWrap/>
            <w:vAlign w:val="bottom"/>
            <w:hideMark/>
          </w:tcPr>
          <w:p w14:paraId="6A32B818"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266</w:t>
            </w:r>
          </w:p>
        </w:tc>
      </w:tr>
      <w:tr w:rsidR="007209F6" w:rsidRPr="007209F6" w14:paraId="5DB0CC36" w14:textId="77777777" w:rsidTr="007209F6">
        <w:trPr>
          <w:trHeight w:val="454"/>
          <w:jc w:val="center"/>
        </w:trPr>
        <w:tc>
          <w:tcPr>
            <w:tcW w:w="2919" w:type="dxa"/>
            <w:tcBorders>
              <w:top w:val="nil"/>
              <w:left w:val="nil"/>
              <w:bottom w:val="nil"/>
              <w:right w:val="nil"/>
            </w:tcBorders>
            <w:shd w:val="clear" w:color="000000" w:fill="FFFFFF"/>
            <w:vAlign w:val="bottom"/>
            <w:hideMark/>
          </w:tcPr>
          <w:p w14:paraId="7E05525B" w14:textId="77777777" w:rsidR="007209F6" w:rsidRPr="007209F6" w:rsidRDefault="007209F6" w:rsidP="007209F6">
            <w:pPr>
              <w:spacing w:after="0"/>
              <w:ind w:leftChars="75" w:left="150"/>
              <w:rPr>
                <w:rFonts w:ascii="Arial" w:hAnsi="Arial" w:cs="Arial"/>
                <w:color w:val="auto"/>
                <w:sz w:val="16"/>
                <w:szCs w:val="16"/>
              </w:rPr>
            </w:pPr>
            <w:r w:rsidRPr="007209F6">
              <w:rPr>
                <w:rFonts w:ascii="Arial" w:hAnsi="Arial" w:cs="Arial"/>
                <w:color w:val="auto"/>
                <w:sz w:val="16"/>
                <w:szCs w:val="16"/>
              </w:rPr>
              <w:t>Funded internally from departmental resources</w:t>
            </w:r>
          </w:p>
        </w:tc>
        <w:tc>
          <w:tcPr>
            <w:tcW w:w="894" w:type="dxa"/>
            <w:tcBorders>
              <w:top w:val="nil"/>
              <w:left w:val="nil"/>
              <w:bottom w:val="nil"/>
              <w:right w:val="nil"/>
            </w:tcBorders>
            <w:shd w:val="clear" w:color="auto" w:fill="auto"/>
            <w:noWrap/>
            <w:vAlign w:val="bottom"/>
            <w:hideMark/>
          </w:tcPr>
          <w:p w14:paraId="2D357940"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77796064"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0673DBDC"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25C64065"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41A12261" w14:textId="77777777" w:rsidR="007209F6" w:rsidRPr="007209F6" w:rsidRDefault="007209F6" w:rsidP="007209F6">
            <w:pPr>
              <w:spacing w:after="0"/>
              <w:jc w:val="right"/>
              <w:rPr>
                <w:rFonts w:ascii="Arial" w:hAnsi="Arial" w:cs="Arial"/>
                <w:color w:val="auto"/>
                <w:sz w:val="16"/>
                <w:szCs w:val="16"/>
              </w:rPr>
            </w:pPr>
            <w:r w:rsidRPr="007209F6">
              <w:rPr>
                <w:rFonts w:ascii="Arial" w:hAnsi="Arial" w:cs="Arial"/>
                <w:color w:val="auto"/>
                <w:sz w:val="16"/>
                <w:szCs w:val="16"/>
              </w:rPr>
              <w:t>-</w:t>
            </w:r>
          </w:p>
        </w:tc>
      </w:tr>
      <w:tr w:rsidR="007209F6" w:rsidRPr="007209F6" w14:paraId="0C275A05" w14:textId="77777777" w:rsidTr="007209F6">
        <w:trPr>
          <w:trHeight w:val="454"/>
          <w:jc w:val="center"/>
        </w:trPr>
        <w:tc>
          <w:tcPr>
            <w:tcW w:w="2919" w:type="dxa"/>
            <w:tcBorders>
              <w:top w:val="nil"/>
              <w:left w:val="nil"/>
              <w:bottom w:val="nil"/>
              <w:right w:val="nil"/>
            </w:tcBorders>
            <w:shd w:val="clear" w:color="000000" w:fill="FFFFFF"/>
            <w:vAlign w:val="bottom"/>
            <w:hideMark/>
          </w:tcPr>
          <w:p w14:paraId="62971FD0" w14:textId="77777777" w:rsidR="007209F6" w:rsidRPr="007209F6" w:rsidRDefault="007209F6" w:rsidP="007209F6">
            <w:pPr>
              <w:spacing w:after="0"/>
              <w:ind w:leftChars="75" w:left="150"/>
              <w:rPr>
                <w:rFonts w:ascii="Arial" w:hAnsi="Arial" w:cs="Arial"/>
                <w:b/>
                <w:bCs/>
                <w:sz w:val="16"/>
                <w:szCs w:val="16"/>
              </w:rPr>
            </w:pPr>
            <w:r w:rsidRPr="007209F6">
              <w:rPr>
                <w:rFonts w:ascii="Arial" w:hAnsi="Arial" w:cs="Arial"/>
                <w:b/>
                <w:bCs/>
                <w:sz w:val="16"/>
                <w:szCs w:val="16"/>
              </w:rPr>
              <w:t>Total acquisitions of</w:t>
            </w:r>
            <w:r w:rsidRPr="007209F6">
              <w:rPr>
                <w:rFonts w:ascii="Arial" w:hAnsi="Arial" w:cs="Arial"/>
                <w:b/>
                <w:bCs/>
                <w:sz w:val="16"/>
                <w:szCs w:val="16"/>
              </w:rPr>
              <w:br/>
              <w:t xml:space="preserve"> non-financial assets</w:t>
            </w:r>
          </w:p>
        </w:tc>
        <w:tc>
          <w:tcPr>
            <w:tcW w:w="894" w:type="dxa"/>
            <w:tcBorders>
              <w:top w:val="nil"/>
              <w:left w:val="nil"/>
              <w:bottom w:val="single" w:sz="4" w:space="0" w:color="auto"/>
              <w:right w:val="nil"/>
            </w:tcBorders>
            <w:shd w:val="clear" w:color="auto" w:fill="auto"/>
            <w:noWrap/>
            <w:vAlign w:val="bottom"/>
            <w:hideMark/>
          </w:tcPr>
          <w:p w14:paraId="5AAC537D"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261</w:t>
            </w:r>
          </w:p>
        </w:tc>
        <w:tc>
          <w:tcPr>
            <w:tcW w:w="883" w:type="dxa"/>
            <w:tcBorders>
              <w:top w:val="nil"/>
              <w:left w:val="nil"/>
              <w:bottom w:val="single" w:sz="4" w:space="0" w:color="auto"/>
              <w:right w:val="nil"/>
            </w:tcBorders>
            <w:shd w:val="clear" w:color="000000" w:fill="D9D9D9"/>
            <w:noWrap/>
            <w:vAlign w:val="bottom"/>
            <w:hideMark/>
          </w:tcPr>
          <w:p w14:paraId="200BD5F4"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264</w:t>
            </w:r>
          </w:p>
        </w:tc>
        <w:tc>
          <w:tcPr>
            <w:tcW w:w="888" w:type="dxa"/>
            <w:tcBorders>
              <w:top w:val="nil"/>
              <w:left w:val="nil"/>
              <w:bottom w:val="single" w:sz="4" w:space="0" w:color="auto"/>
              <w:right w:val="nil"/>
            </w:tcBorders>
            <w:shd w:val="clear" w:color="auto" w:fill="auto"/>
            <w:noWrap/>
            <w:vAlign w:val="bottom"/>
            <w:hideMark/>
          </w:tcPr>
          <w:p w14:paraId="011BA891"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265</w:t>
            </w:r>
          </w:p>
        </w:tc>
        <w:tc>
          <w:tcPr>
            <w:tcW w:w="888" w:type="dxa"/>
            <w:tcBorders>
              <w:top w:val="nil"/>
              <w:left w:val="nil"/>
              <w:bottom w:val="single" w:sz="4" w:space="0" w:color="auto"/>
              <w:right w:val="nil"/>
            </w:tcBorders>
            <w:shd w:val="clear" w:color="auto" w:fill="auto"/>
            <w:noWrap/>
            <w:vAlign w:val="bottom"/>
            <w:hideMark/>
          </w:tcPr>
          <w:p w14:paraId="1D1E7BA0"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35795E67"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266</w:t>
            </w:r>
          </w:p>
        </w:tc>
      </w:tr>
      <w:tr w:rsidR="007209F6" w:rsidRPr="007209F6" w14:paraId="1A1B4C0C" w14:textId="77777777" w:rsidTr="007209F6">
        <w:trPr>
          <w:trHeight w:val="624"/>
          <w:jc w:val="center"/>
        </w:trPr>
        <w:tc>
          <w:tcPr>
            <w:tcW w:w="2919" w:type="dxa"/>
            <w:tcBorders>
              <w:top w:val="nil"/>
              <w:left w:val="nil"/>
              <w:bottom w:val="nil"/>
              <w:right w:val="nil"/>
            </w:tcBorders>
            <w:shd w:val="clear" w:color="000000" w:fill="FFFFFF"/>
            <w:vAlign w:val="bottom"/>
            <w:hideMark/>
          </w:tcPr>
          <w:p w14:paraId="5CB51D46"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RECONCILIATION OF CASH USED TO ACQUIRE ASSETS TO ASSET MOVEMENT TABLE</w:t>
            </w:r>
          </w:p>
        </w:tc>
        <w:tc>
          <w:tcPr>
            <w:tcW w:w="894" w:type="dxa"/>
            <w:tcBorders>
              <w:top w:val="nil"/>
              <w:left w:val="nil"/>
              <w:bottom w:val="nil"/>
              <w:right w:val="nil"/>
            </w:tcBorders>
            <w:shd w:val="clear" w:color="auto" w:fill="auto"/>
            <w:noWrap/>
            <w:vAlign w:val="bottom"/>
            <w:hideMark/>
          </w:tcPr>
          <w:p w14:paraId="2B30EDC2" w14:textId="77777777" w:rsidR="007209F6" w:rsidRPr="007209F6" w:rsidRDefault="007209F6" w:rsidP="007209F6">
            <w:pPr>
              <w:spacing w:after="0"/>
              <w:rPr>
                <w:rFonts w:ascii="Arial" w:hAnsi="Arial" w:cs="Arial"/>
                <w:b/>
                <w:bCs/>
                <w:sz w:val="16"/>
                <w:szCs w:val="16"/>
              </w:rPr>
            </w:pPr>
          </w:p>
        </w:tc>
        <w:tc>
          <w:tcPr>
            <w:tcW w:w="883" w:type="dxa"/>
            <w:tcBorders>
              <w:top w:val="nil"/>
              <w:left w:val="nil"/>
              <w:bottom w:val="nil"/>
              <w:right w:val="nil"/>
            </w:tcBorders>
            <w:shd w:val="clear" w:color="000000" w:fill="D9D9D9"/>
            <w:noWrap/>
            <w:vAlign w:val="bottom"/>
            <w:hideMark/>
          </w:tcPr>
          <w:p w14:paraId="0F1DF177"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888" w:type="dxa"/>
            <w:tcBorders>
              <w:top w:val="nil"/>
              <w:left w:val="nil"/>
              <w:bottom w:val="nil"/>
              <w:right w:val="nil"/>
            </w:tcBorders>
            <w:shd w:val="clear" w:color="auto" w:fill="auto"/>
            <w:noWrap/>
            <w:vAlign w:val="bottom"/>
            <w:hideMark/>
          </w:tcPr>
          <w:p w14:paraId="0AC5085F" w14:textId="77777777" w:rsidR="007209F6" w:rsidRPr="007209F6" w:rsidRDefault="007209F6" w:rsidP="007209F6">
            <w:pPr>
              <w:spacing w:after="0"/>
              <w:jc w:val="righ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14:paraId="43DEE972" w14:textId="77777777" w:rsidR="007209F6" w:rsidRPr="007209F6" w:rsidRDefault="007209F6" w:rsidP="007209F6">
            <w:pPr>
              <w:spacing w:after="0"/>
              <w:jc w:val="right"/>
              <w:rPr>
                <w:rFonts w:ascii="Times New Roman" w:hAnsi="Times New Roman"/>
                <w:color w:val="auto"/>
              </w:rPr>
            </w:pPr>
          </w:p>
        </w:tc>
        <w:tc>
          <w:tcPr>
            <w:tcW w:w="888" w:type="dxa"/>
            <w:tcBorders>
              <w:top w:val="nil"/>
              <w:left w:val="nil"/>
              <w:bottom w:val="nil"/>
              <w:right w:val="nil"/>
            </w:tcBorders>
            <w:shd w:val="clear" w:color="auto" w:fill="auto"/>
            <w:noWrap/>
            <w:vAlign w:val="bottom"/>
            <w:hideMark/>
          </w:tcPr>
          <w:p w14:paraId="59AE9873" w14:textId="77777777" w:rsidR="007209F6" w:rsidRPr="007209F6" w:rsidRDefault="007209F6" w:rsidP="007209F6">
            <w:pPr>
              <w:spacing w:after="0"/>
              <w:jc w:val="right"/>
              <w:rPr>
                <w:rFonts w:ascii="Times New Roman" w:hAnsi="Times New Roman"/>
                <w:color w:val="auto"/>
              </w:rPr>
            </w:pPr>
          </w:p>
        </w:tc>
      </w:tr>
      <w:tr w:rsidR="007209F6" w:rsidRPr="007209F6" w14:paraId="63246E2F" w14:textId="77777777" w:rsidTr="007209F6">
        <w:trPr>
          <w:trHeight w:val="225"/>
          <w:jc w:val="center"/>
        </w:trPr>
        <w:tc>
          <w:tcPr>
            <w:tcW w:w="2919" w:type="dxa"/>
            <w:tcBorders>
              <w:top w:val="nil"/>
              <w:left w:val="nil"/>
              <w:bottom w:val="nil"/>
              <w:right w:val="nil"/>
            </w:tcBorders>
            <w:shd w:val="clear" w:color="000000" w:fill="FFFFFF"/>
            <w:noWrap/>
            <w:vAlign w:val="bottom"/>
            <w:hideMark/>
          </w:tcPr>
          <w:p w14:paraId="24411ACA" w14:textId="77777777" w:rsidR="007209F6" w:rsidRPr="007209F6" w:rsidRDefault="007209F6" w:rsidP="007209F6">
            <w:pPr>
              <w:spacing w:after="0"/>
              <w:ind w:leftChars="75" w:left="150"/>
              <w:rPr>
                <w:rFonts w:ascii="Arial" w:hAnsi="Arial" w:cs="Arial"/>
                <w:sz w:val="16"/>
                <w:szCs w:val="16"/>
              </w:rPr>
            </w:pPr>
            <w:r w:rsidRPr="007209F6">
              <w:rPr>
                <w:rFonts w:ascii="Arial" w:hAnsi="Arial" w:cs="Arial"/>
                <w:sz w:val="16"/>
                <w:szCs w:val="16"/>
              </w:rPr>
              <w:t>Total purchases</w:t>
            </w:r>
          </w:p>
        </w:tc>
        <w:tc>
          <w:tcPr>
            <w:tcW w:w="894" w:type="dxa"/>
            <w:tcBorders>
              <w:top w:val="nil"/>
              <w:left w:val="nil"/>
              <w:bottom w:val="nil"/>
              <w:right w:val="nil"/>
            </w:tcBorders>
            <w:shd w:val="clear" w:color="auto" w:fill="auto"/>
            <w:noWrap/>
            <w:vAlign w:val="bottom"/>
            <w:hideMark/>
          </w:tcPr>
          <w:p w14:paraId="70AD743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261</w:t>
            </w:r>
          </w:p>
        </w:tc>
        <w:tc>
          <w:tcPr>
            <w:tcW w:w="883" w:type="dxa"/>
            <w:tcBorders>
              <w:top w:val="nil"/>
              <w:left w:val="nil"/>
              <w:bottom w:val="nil"/>
              <w:right w:val="nil"/>
            </w:tcBorders>
            <w:shd w:val="clear" w:color="000000" w:fill="D9D9D9"/>
            <w:noWrap/>
            <w:vAlign w:val="bottom"/>
            <w:hideMark/>
          </w:tcPr>
          <w:p w14:paraId="49509B6E"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264</w:t>
            </w:r>
          </w:p>
        </w:tc>
        <w:tc>
          <w:tcPr>
            <w:tcW w:w="888" w:type="dxa"/>
            <w:tcBorders>
              <w:top w:val="nil"/>
              <w:left w:val="nil"/>
              <w:bottom w:val="nil"/>
              <w:right w:val="nil"/>
            </w:tcBorders>
            <w:shd w:val="clear" w:color="auto" w:fill="auto"/>
            <w:noWrap/>
            <w:vAlign w:val="bottom"/>
            <w:hideMark/>
          </w:tcPr>
          <w:p w14:paraId="34679404"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265</w:t>
            </w:r>
          </w:p>
        </w:tc>
        <w:tc>
          <w:tcPr>
            <w:tcW w:w="888" w:type="dxa"/>
            <w:tcBorders>
              <w:top w:val="nil"/>
              <w:left w:val="nil"/>
              <w:bottom w:val="nil"/>
              <w:right w:val="nil"/>
            </w:tcBorders>
            <w:shd w:val="clear" w:color="auto" w:fill="auto"/>
            <w:noWrap/>
            <w:vAlign w:val="bottom"/>
            <w:hideMark/>
          </w:tcPr>
          <w:p w14:paraId="04A63B1E"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267</w:t>
            </w:r>
          </w:p>
        </w:tc>
        <w:tc>
          <w:tcPr>
            <w:tcW w:w="888" w:type="dxa"/>
            <w:tcBorders>
              <w:top w:val="nil"/>
              <w:left w:val="nil"/>
              <w:bottom w:val="nil"/>
              <w:right w:val="nil"/>
            </w:tcBorders>
            <w:shd w:val="clear" w:color="auto" w:fill="auto"/>
            <w:noWrap/>
            <w:vAlign w:val="bottom"/>
            <w:hideMark/>
          </w:tcPr>
          <w:p w14:paraId="7836A352"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266</w:t>
            </w:r>
          </w:p>
        </w:tc>
      </w:tr>
      <w:tr w:rsidR="007209F6" w:rsidRPr="007209F6" w14:paraId="545E988B" w14:textId="77777777" w:rsidTr="007209F6">
        <w:trPr>
          <w:trHeight w:val="450"/>
          <w:jc w:val="center"/>
        </w:trPr>
        <w:tc>
          <w:tcPr>
            <w:tcW w:w="2919" w:type="dxa"/>
            <w:tcBorders>
              <w:top w:val="nil"/>
              <w:left w:val="nil"/>
              <w:bottom w:val="single" w:sz="4" w:space="0" w:color="auto"/>
              <w:right w:val="nil"/>
            </w:tcBorders>
            <w:shd w:val="clear" w:color="000000" w:fill="FFFFFF"/>
            <w:vAlign w:val="bottom"/>
            <w:hideMark/>
          </w:tcPr>
          <w:p w14:paraId="07A3E269" w14:textId="77777777" w:rsidR="007209F6" w:rsidRPr="007209F6" w:rsidRDefault="007209F6" w:rsidP="007209F6">
            <w:pPr>
              <w:spacing w:after="0"/>
              <w:ind w:leftChars="75" w:left="150"/>
              <w:rPr>
                <w:rFonts w:ascii="Arial" w:hAnsi="Arial" w:cs="Arial"/>
                <w:b/>
                <w:bCs/>
                <w:color w:val="auto"/>
                <w:sz w:val="16"/>
                <w:szCs w:val="16"/>
              </w:rPr>
            </w:pPr>
            <w:r w:rsidRPr="007209F6">
              <w:rPr>
                <w:rFonts w:ascii="Arial" w:hAnsi="Arial" w:cs="Arial"/>
                <w:b/>
                <w:bCs/>
                <w:color w:val="auto"/>
                <w:sz w:val="16"/>
                <w:szCs w:val="16"/>
              </w:rPr>
              <w:t>Total cash used to acquire assets</w:t>
            </w:r>
          </w:p>
        </w:tc>
        <w:tc>
          <w:tcPr>
            <w:tcW w:w="894" w:type="dxa"/>
            <w:tcBorders>
              <w:top w:val="nil"/>
              <w:left w:val="nil"/>
              <w:bottom w:val="single" w:sz="4" w:space="0" w:color="auto"/>
              <w:right w:val="nil"/>
            </w:tcBorders>
            <w:shd w:val="clear" w:color="auto" w:fill="auto"/>
            <w:noWrap/>
            <w:vAlign w:val="bottom"/>
            <w:hideMark/>
          </w:tcPr>
          <w:p w14:paraId="353187C0"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261</w:t>
            </w:r>
          </w:p>
        </w:tc>
        <w:tc>
          <w:tcPr>
            <w:tcW w:w="883" w:type="dxa"/>
            <w:tcBorders>
              <w:top w:val="nil"/>
              <w:left w:val="nil"/>
              <w:bottom w:val="single" w:sz="4" w:space="0" w:color="auto"/>
              <w:right w:val="nil"/>
            </w:tcBorders>
            <w:shd w:val="clear" w:color="000000" w:fill="D9D9D9"/>
            <w:noWrap/>
            <w:vAlign w:val="bottom"/>
            <w:hideMark/>
          </w:tcPr>
          <w:p w14:paraId="48318DAB"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264</w:t>
            </w:r>
          </w:p>
        </w:tc>
        <w:tc>
          <w:tcPr>
            <w:tcW w:w="888" w:type="dxa"/>
            <w:tcBorders>
              <w:top w:val="nil"/>
              <w:left w:val="nil"/>
              <w:bottom w:val="single" w:sz="4" w:space="0" w:color="auto"/>
              <w:right w:val="nil"/>
            </w:tcBorders>
            <w:shd w:val="clear" w:color="auto" w:fill="auto"/>
            <w:noWrap/>
            <w:vAlign w:val="bottom"/>
            <w:hideMark/>
          </w:tcPr>
          <w:p w14:paraId="3014A673"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265</w:t>
            </w:r>
          </w:p>
        </w:tc>
        <w:tc>
          <w:tcPr>
            <w:tcW w:w="888" w:type="dxa"/>
            <w:tcBorders>
              <w:top w:val="nil"/>
              <w:left w:val="nil"/>
              <w:bottom w:val="single" w:sz="4" w:space="0" w:color="auto"/>
              <w:right w:val="nil"/>
            </w:tcBorders>
            <w:shd w:val="clear" w:color="auto" w:fill="auto"/>
            <w:noWrap/>
            <w:vAlign w:val="bottom"/>
            <w:hideMark/>
          </w:tcPr>
          <w:p w14:paraId="23424EA3"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41CF9A48" w14:textId="77777777" w:rsidR="007209F6" w:rsidRPr="007209F6" w:rsidRDefault="007209F6" w:rsidP="007209F6">
            <w:pPr>
              <w:spacing w:after="0"/>
              <w:jc w:val="right"/>
              <w:rPr>
                <w:rFonts w:ascii="Arial" w:hAnsi="Arial" w:cs="Arial"/>
                <w:b/>
                <w:bCs/>
                <w:color w:val="auto"/>
                <w:sz w:val="16"/>
                <w:szCs w:val="16"/>
              </w:rPr>
            </w:pPr>
            <w:r w:rsidRPr="007209F6">
              <w:rPr>
                <w:rFonts w:ascii="Arial" w:hAnsi="Arial" w:cs="Arial"/>
                <w:b/>
                <w:bCs/>
                <w:color w:val="auto"/>
                <w:sz w:val="16"/>
                <w:szCs w:val="16"/>
              </w:rPr>
              <w:t>266</w:t>
            </w:r>
          </w:p>
        </w:tc>
      </w:tr>
    </w:tbl>
    <w:p w14:paraId="13866CA9" w14:textId="218B79FE" w:rsidR="007209F6" w:rsidRPr="007209F6" w:rsidRDefault="007209F6" w:rsidP="007209F6">
      <w:pPr>
        <w:pStyle w:val="FootnoteText"/>
        <w:spacing w:before="120" w:after="40"/>
      </w:pPr>
      <w:r w:rsidRPr="007209F6">
        <w:t xml:space="preserve">DCB = </w:t>
      </w:r>
      <w:r>
        <w:t>Departmental Capital Budget</w:t>
      </w:r>
    </w:p>
    <w:p w14:paraId="27035D53" w14:textId="683937E4" w:rsidR="007209F6" w:rsidRPr="007209F6" w:rsidRDefault="007209F6" w:rsidP="007209F6">
      <w:pPr>
        <w:pStyle w:val="FootnoteText"/>
      </w:pPr>
      <w:r w:rsidRPr="007209F6">
        <w:rPr>
          <w:vertAlign w:val="superscript"/>
        </w:rPr>
        <w:t>(a)</w:t>
      </w:r>
      <w:r>
        <w:tab/>
      </w:r>
      <w:r w:rsidRPr="007209F6">
        <w:t>Includes both current Bill 2 and prior</w:t>
      </w:r>
      <w:r>
        <w:t xml:space="preserve"> Act 2, 4, 6 appropriations.</w:t>
      </w:r>
    </w:p>
    <w:p w14:paraId="47200009" w14:textId="166423FE" w:rsidR="007209F6" w:rsidRDefault="007209F6" w:rsidP="007209F6">
      <w:pPr>
        <w:pStyle w:val="FootnoteText"/>
      </w:pPr>
      <w:r w:rsidRPr="007209F6">
        <w:rPr>
          <w:vertAlign w:val="superscript"/>
        </w:rPr>
        <w:t>(b)</w:t>
      </w:r>
      <w:r>
        <w:tab/>
      </w:r>
      <w:r w:rsidRPr="007209F6">
        <w:t>Does not include annual finance lease costs. Includes purchases from current and previous</w:t>
      </w:r>
      <w:r>
        <w:t xml:space="preserve"> years’ DCB.</w:t>
      </w:r>
      <w:r>
        <w:br/>
      </w:r>
      <w:r>
        <w:br w:type="page"/>
      </w:r>
    </w:p>
    <w:p w14:paraId="56BEA67F" w14:textId="22072392" w:rsidR="00BC0659" w:rsidRDefault="00BC0659" w:rsidP="00BC0659">
      <w:pPr>
        <w:pStyle w:val="Tablenumberandreference"/>
        <w:rPr>
          <w:color w:val="000000" w:themeColor="text1"/>
        </w:rPr>
      </w:pPr>
      <w:r w:rsidRPr="00EE76CA">
        <w:rPr>
          <w:color w:val="000000" w:themeColor="text1"/>
        </w:rPr>
        <w:t xml:space="preserve">Table 3.6: Statement of </w:t>
      </w:r>
      <w:r w:rsidR="00F4035F" w:rsidRPr="00EE76CA">
        <w:rPr>
          <w:color w:val="000000" w:themeColor="text1"/>
        </w:rPr>
        <w:t xml:space="preserve">Departmental </w:t>
      </w:r>
      <w:r w:rsidRPr="00EE76CA">
        <w:rPr>
          <w:color w:val="000000" w:themeColor="text1"/>
        </w:rPr>
        <w:t xml:space="preserve">Asset Movements (Budget year </w:t>
      </w:r>
      <w:r w:rsidR="00F4035F" w:rsidRPr="00EE76CA">
        <w:rPr>
          <w:color w:val="000000" w:themeColor="text1"/>
        </w:rPr>
        <w:br/>
      </w:r>
      <w:r w:rsidR="00DF40C5">
        <w:rPr>
          <w:color w:val="000000" w:themeColor="text1"/>
        </w:rPr>
        <w:t>2022–</w:t>
      </w:r>
      <w:r w:rsidR="00295539">
        <w:rPr>
          <w:color w:val="000000" w:themeColor="text1"/>
        </w:rPr>
        <w:t>23</w:t>
      </w:r>
      <w:r w:rsidRPr="00EE76CA">
        <w:rPr>
          <w:color w:val="000000" w:themeColor="text1"/>
        </w:rPr>
        <w:t>)</w:t>
      </w:r>
    </w:p>
    <w:tbl>
      <w:tblPr>
        <w:tblW w:w="7400" w:type="dxa"/>
        <w:jc w:val="center"/>
        <w:tblLayout w:type="fixed"/>
        <w:tblLook w:val="04A0" w:firstRow="1" w:lastRow="0" w:firstColumn="1" w:lastColumn="0" w:noHBand="0" w:noVBand="1"/>
      </w:tblPr>
      <w:tblGrid>
        <w:gridCol w:w="3160"/>
        <w:gridCol w:w="1060"/>
        <w:gridCol w:w="1060"/>
        <w:gridCol w:w="1060"/>
        <w:gridCol w:w="1060"/>
      </w:tblGrid>
      <w:tr w:rsidR="007209F6" w:rsidRPr="007209F6" w14:paraId="249EA986" w14:textId="77777777" w:rsidTr="004B67F9">
        <w:trPr>
          <w:trHeight w:val="765"/>
          <w:jc w:val="center"/>
        </w:trPr>
        <w:tc>
          <w:tcPr>
            <w:tcW w:w="3160" w:type="dxa"/>
            <w:tcBorders>
              <w:top w:val="single" w:sz="4" w:space="0" w:color="auto"/>
              <w:left w:val="nil"/>
              <w:bottom w:val="nil"/>
              <w:right w:val="nil"/>
            </w:tcBorders>
            <w:shd w:val="clear" w:color="auto" w:fill="auto"/>
            <w:tcMar>
              <w:left w:w="57" w:type="dxa"/>
              <w:right w:w="57" w:type="dxa"/>
            </w:tcMar>
            <w:hideMark/>
          </w:tcPr>
          <w:p w14:paraId="5E627935" w14:textId="77777777" w:rsidR="007209F6" w:rsidRPr="007209F6" w:rsidRDefault="007209F6" w:rsidP="007209F6">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02D0D9DF"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Buildings</w:t>
            </w:r>
            <w:r w:rsidRPr="007209F6">
              <w:rPr>
                <w:rFonts w:ascii="Arial" w:hAnsi="Arial" w:cs="Arial"/>
                <w:color w:val="auto"/>
                <w:sz w:val="16"/>
                <w:szCs w:val="16"/>
              </w:rPr>
              <w:t xml:space="preserve"> </w:t>
            </w:r>
            <w:r w:rsidRPr="007209F6">
              <w:rPr>
                <w:rFonts w:ascii="Arial" w:hAnsi="Arial" w:cs="Arial"/>
                <w:color w:val="auto"/>
                <w:sz w:val="16"/>
                <w:szCs w:val="16"/>
              </w:rPr>
              <w:br/>
            </w:r>
            <w:r w:rsidRPr="007209F6">
              <w:rPr>
                <w:rFonts w:ascii="Arial" w:hAnsi="Arial" w:cs="Arial"/>
                <w:color w:val="auto"/>
                <w:sz w:val="16"/>
                <w:szCs w:val="16"/>
              </w:rPr>
              <w:br/>
            </w:r>
            <w:r w:rsidRPr="007209F6">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2142FDE8"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 xml:space="preserve">Property, plant and equipment </w:t>
            </w:r>
            <w:r w:rsidRPr="007209F6">
              <w:rPr>
                <w:rFonts w:ascii="Arial" w:hAnsi="Arial" w:cs="Arial"/>
                <w:b/>
                <w:bCs/>
                <w:color w:val="auto"/>
                <w:sz w:val="16"/>
                <w:szCs w:val="16"/>
              </w:rPr>
              <w:br/>
            </w:r>
            <w:r w:rsidRPr="007209F6">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2213621C"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 xml:space="preserve">Intangibles </w:t>
            </w:r>
            <w:r w:rsidRPr="007209F6">
              <w:rPr>
                <w:rFonts w:ascii="Arial" w:hAnsi="Arial" w:cs="Arial"/>
                <w:b/>
                <w:bCs/>
                <w:color w:val="auto"/>
                <w:sz w:val="16"/>
                <w:szCs w:val="16"/>
              </w:rPr>
              <w:br/>
            </w:r>
            <w:r w:rsidRPr="007209F6">
              <w:rPr>
                <w:rFonts w:ascii="Arial" w:hAnsi="Arial" w:cs="Arial"/>
                <w:b/>
                <w:bCs/>
                <w:color w:val="auto"/>
                <w:sz w:val="16"/>
                <w:szCs w:val="16"/>
              </w:rPr>
              <w:br/>
            </w:r>
            <w:r w:rsidRPr="007209F6">
              <w:rPr>
                <w:rFonts w:ascii="Arial" w:hAnsi="Arial" w:cs="Arial"/>
                <w:b/>
                <w:bCs/>
                <w:color w:val="auto"/>
                <w:sz w:val="16"/>
                <w:szCs w:val="16"/>
              </w:rPr>
              <w:br/>
            </w:r>
            <w:r w:rsidRPr="007209F6">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5CA798D2" w14:textId="77777777" w:rsidR="007209F6" w:rsidRPr="007209F6" w:rsidRDefault="007209F6" w:rsidP="007209F6">
            <w:pPr>
              <w:spacing w:before="40" w:after="0"/>
              <w:jc w:val="right"/>
              <w:rPr>
                <w:rFonts w:ascii="Arial" w:hAnsi="Arial" w:cs="Arial"/>
                <w:b/>
                <w:bCs/>
                <w:color w:val="auto"/>
                <w:sz w:val="16"/>
                <w:szCs w:val="16"/>
              </w:rPr>
            </w:pPr>
            <w:r w:rsidRPr="007209F6">
              <w:rPr>
                <w:rFonts w:ascii="Arial" w:hAnsi="Arial" w:cs="Arial"/>
                <w:b/>
                <w:bCs/>
                <w:color w:val="auto"/>
                <w:sz w:val="16"/>
                <w:szCs w:val="16"/>
              </w:rPr>
              <w:t xml:space="preserve">Total </w:t>
            </w:r>
            <w:r w:rsidRPr="007209F6">
              <w:rPr>
                <w:rFonts w:ascii="Arial" w:hAnsi="Arial" w:cs="Arial"/>
                <w:b/>
                <w:bCs/>
                <w:color w:val="auto"/>
                <w:sz w:val="16"/>
                <w:szCs w:val="16"/>
              </w:rPr>
              <w:br/>
            </w:r>
            <w:r w:rsidRPr="007209F6">
              <w:rPr>
                <w:rFonts w:ascii="Arial" w:hAnsi="Arial" w:cs="Arial"/>
                <w:b/>
                <w:bCs/>
                <w:color w:val="auto"/>
                <w:sz w:val="16"/>
                <w:szCs w:val="16"/>
              </w:rPr>
              <w:br/>
            </w:r>
            <w:r w:rsidRPr="007209F6">
              <w:rPr>
                <w:rFonts w:ascii="Arial" w:hAnsi="Arial" w:cs="Arial"/>
                <w:b/>
                <w:bCs/>
                <w:color w:val="auto"/>
                <w:sz w:val="16"/>
                <w:szCs w:val="16"/>
              </w:rPr>
              <w:br/>
            </w:r>
            <w:r w:rsidRPr="007209F6">
              <w:rPr>
                <w:rFonts w:ascii="Arial" w:hAnsi="Arial" w:cs="Arial"/>
                <w:color w:val="auto"/>
                <w:sz w:val="16"/>
                <w:szCs w:val="16"/>
              </w:rPr>
              <w:t>$'000</w:t>
            </w:r>
          </w:p>
        </w:tc>
      </w:tr>
      <w:tr w:rsidR="007209F6" w:rsidRPr="007209F6" w14:paraId="11A4D630"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75DA4F78"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As at 1 July 2022</w:t>
            </w:r>
          </w:p>
        </w:tc>
        <w:tc>
          <w:tcPr>
            <w:tcW w:w="1060" w:type="dxa"/>
            <w:tcBorders>
              <w:top w:val="single" w:sz="4" w:space="0" w:color="auto"/>
              <w:left w:val="nil"/>
              <w:bottom w:val="nil"/>
              <w:right w:val="nil"/>
            </w:tcBorders>
            <w:shd w:val="clear" w:color="auto" w:fill="auto"/>
            <w:noWrap/>
            <w:vAlign w:val="bottom"/>
            <w:hideMark/>
          </w:tcPr>
          <w:p w14:paraId="5327ADF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3449FB34"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1536DA40"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745F935A"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 </w:t>
            </w:r>
          </w:p>
        </w:tc>
      </w:tr>
      <w:tr w:rsidR="007209F6" w:rsidRPr="007209F6" w14:paraId="17596DD9"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7BB9B7E4" w14:textId="77777777" w:rsidR="007209F6" w:rsidRPr="007209F6" w:rsidRDefault="007209F6" w:rsidP="00400843">
            <w:pPr>
              <w:spacing w:after="0"/>
              <w:ind w:leftChars="75" w:left="150"/>
              <w:rPr>
                <w:rFonts w:ascii="Arial" w:hAnsi="Arial" w:cs="Arial"/>
                <w:sz w:val="16"/>
                <w:szCs w:val="16"/>
              </w:rPr>
            </w:pPr>
            <w:r w:rsidRPr="007209F6">
              <w:rPr>
                <w:rFonts w:ascii="Arial" w:hAnsi="Arial"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1ED0987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230</w:t>
            </w:r>
          </w:p>
        </w:tc>
        <w:tc>
          <w:tcPr>
            <w:tcW w:w="1060" w:type="dxa"/>
            <w:tcBorders>
              <w:top w:val="nil"/>
              <w:left w:val="nil"/>
              <w:bottom w:val="nil"/>
              <w:right w:val="nil"/>
            </w:tcBorders>
            <w:shd w:val="clear" w:color="auto" w:fill="auto"/>
            <w:noWrap/>
            <w:vAlign w:val="bottom"/>
            <w:hideMark/>
          </w:tcPr>
          <w:p w14:paraId="43760A23"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262</w:t>
            </w:r>
          </w:p>
        </w:tc>
        <w:tc>
          <w:tcPr>
            <w:tcW w:w="1060" w:type="dxa"/>
            <w:tcBorders>
              <w:top w:val="nil"/>
              <w:left w:val="nil"/>
              <w:bottom w:val="nil"/>
              <w:right w:val="nil"/>
            </w:tcBorders>
            <w:shd w:val="clear" w:color="auto" w:fill="auto"/>
            <w:noWrap/>
            <w:vAlign w:val="bottom"/>
            <w:hideMark/>
          </w:tcPr>
          <w:p w14:paraId="226FB2B0"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2,896</w:t>
            </w:r>
          </w:p>
        </w:tc>
        <w:tc>
          <w:tcPr>
            <w:tcW w:w="1060" w:type="dxa"/>
            <w:tcBorders>
              <w:top w:val="nil"/>
              <w:left w:val="nil"/>
              <w:bottom w:val="nil"/>
              <w:right w:val="nil"/>
            </w:tcBorders>
            <w:shd w:val="clear" w:color="auto" w:fill="auto"/>
            <w:noWrap/>
            <w:vAlign w:val="bottom"/>
            <w:hideMark/>
          </w:tcPr>
          <w:p w14:paraId="3226D8D7"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3,388</w:t>
            </w:r>
          </w:p>
        </w:tc>
      </w:tr>
      <w:tr w:rsidR="007209F6" w:rsidRPr="007209F6" w14:paraId="6AFAA6F4" w14:textId="77777777" w:rsidTr="007209F6">
        <w:trPr>
          <w:trHeight w:val="225"/>
          <w:jc w:val="center"/>
        </w:trPr>
        <w:tc>
          <w:tcPr>
            <w:tcW w:w="3160" w:type="dxa"/>
            <w:tcBorders>
              <w:top w:val="nil"/>
              <w:left w:val="nil"/>
              <w:bottom w:val="nil"/>
              <w:right w:val="nil"/>
            </w:tcBorders>
            <w:shd w:val="clear" w:color="auto" w:fill="auto"/>
            <w:vAlign w:val="bottom"/>
            <w:hideMark/>
          </w:tcPr>
          <w:p w14:paraId="5CD7EB15"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 xml:space="preserve">Gross book value - </w:t>
            </w:r>
            <w:proofErr w:type="spellStart"/>
            <w:r w:rsidRPr="007209F6">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626268E2"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1,322</w:t>
            </w:r>
          </w:p>
        </w:tc>
        <w:tc>
          <w:tcPr>
            <w:tcW w:w="1060" w:type="dxa"/>
            <w:tcBorders>
              <w:top w:val="nil"/>
              <w:left w:val="nil"/>
              <w:bottom w:val="nil"/>
              <w:right w:val="nil"/>
            </w:tcBorders>
            <w:shd w:val="clear" w:color="auto" w:fill="auto"/>
            <w:noWrap/>
            <w:vAlign w:val="bottom"/>
            <w:hideMark/>
          </w:tcPr>
          <w:p w14:paraId="745E814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892CFE5"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33E6020"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1,322</w:t>
            </w:r>
          </w:p>
        </w:tc>
      </w:tr>
      <w:tr w:rsidR="007209F6" w:rsidRPr="007209F6" w14:paraId="456CFD26" w14:textId="77777777" w:rsidTr="007209F6">
        <w:trPr>
          <w:trHeight w:val="450"/>
          <w:jc w:val="center"/>
        </w:trPr>
        <w:tc>
          <w:tcPr>
            <w:tcW w:w="3160" w:type="dxa"/>
            <w:tcBorders>
              <w:top w:val="nil"/>
              <w:left w:val="nil"/>
              <w:bottom w:val="nil"/>
              <w:right w:val="nil"/>
            </w:tcBorders>
            <w:shd w:val="clear" w:color="auto" w:fill="auto"/>
            <w:vAlign w:val="bottom"/>
            <w:hideMark/>
          </w:tcPr>
          <w:p w14:paraId="2CE3DE18"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3CCC1782"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(74)</w:t>
            </w:r>
          </w:p>
        </w:tc>
        <w:tc>
          <w:tcPr>
            <w:tcW w:w="1060" w:type="dxa"/>
            <w:tcBorders>
              <w:top w:val="nil"/>
              <w:left w:val="nil"/>
              <w:bottom w:val="nil"/>
              <w:right w:val="nil"/>
            </w:tcBorders>
            <w:shd w:val="clear" w:color="auto" w:fill="auto"/>
            <w:noWrap/>
            <w:vAlign w:val="bottom"/>
            <w:hideMark/>
          </w:tcPr>
          <w:p w14:paraId="7CAEB96E"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(38)</w:t>
            </w:r>
          </w:p>
        </w:tc>
        <w:tc>
          <w:tcPr>
            <w:tcW w:w="1060" w:type="dxa"/>
            <w:tcBorders>
              <w:top w:val="nil"/>
              <w:left w:val="nil"/>
              <w:bottom w:val="nil"/>
              <w:right w:val="nil"/>
            </w:tcBorders>
            <w:shd w:val="clear" w:color="auto" w:fill="auto"/>
            <w:noWrap/>
            <w:vAlign w:val="bottom"/>
            <w:hideMark/>
          </w:tcPr>
          <w:p w14:paraId="560C9DAE"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(2,212)</w:t>
            </w:r>
          </w:p>
        </w:tc>
        <w:tc>
          <w:tcPr>
            <w:tcW w:w="1060" w:type="dxa"/>
            <w:tcBorders>
              <w:top w:val="nil"/>
              <w:left w:val="nil"/>
              <w:bottom w:val="nil"/>
              <w:right w:val="nil"/>
            </w:tcBorders>
            <w:shd w:val="clear" w:color="auto" w:fill="auto"/>
            <w:noWrap/>
            <w:vAlign w:val="bottom"/>
            <w:hideMark/>
          </w:tcPr>
          <w:p w14:paraId="3D0A0BA1"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(2,324)</w:t>
            </w:r>
          </w:p>
        </w:tc>
      </w:tr>
      <w:tr w:rsidR="007209F6" w:rsidRPr="007209F6" w14:paraId="4076E640" w14:textId="77777777" w:rsidTr="007209F6">
        <w:trPr>
          <w:trHeight w:val="450"/>
          <w:jc w:val="center"/>
        </w:trPr>
        <w:tc>
          <w:tcPr>
            <w:tcW w:w="3160" w:type="dxa"/>
            <w:tcBorders>
              <w:top w:val="nil"/>
              <w:left w:val="nil"/>
              <w:bottom w:val="nil"/>
              <w:right w:val="nil"/>
            </w:tcBorders>
            <w:shd w:val="clear" w:color="auto" w:fill="auto"/>
            <w:vAlign w:val="bottom"/>
            <w:hideMark/>
          </w:tcPr>
          <w:p w14:paraId="01387699" w14:textId="77777777" w:rsidR="007209F6" w:rsidRPr="007209F6" w:rsidRDefault="007209F6" w:rsidP="00400843">
            <w:pPr>
              <w:spacing w:after="0"/>
              <w:ind w:leftChars="75" w:left="150"/>
              <w:rPr>
                <w:rFonts w:ascii="Arial" w:hAnsi="Arial" w:cs="Arial"/>
                <w:sz w:val="16"/>
                <w:szCs w:val="16"/>
              </w:rPr>
            </w:pPr>
            <w:r w:rsidRPr="007209F6">
              <w:rPr>
                <w:rFonts w:ascii="Arial" w:hAnsi="Arial" w:cs="Arial"/>
                <w:sz w:val="16"/>
                <w:szCs w:val="16"/>
              </w:rPr>
              <w:t xml:space="preserve">Accumulated depreciation/ amortisation and impairment - </w:t>
            </w:r>
            <w:proofErr w:type="spellStart"/>
            <w:r w:rsidRPr="007209F6">
              <w:rPr>
                <w:rFonts w:ascii="Arial" w:hAnsi="Arial" w:cs="Arial"/>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6E2A6C40"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(898)</w:t>
            </w:r>
          </w:p>
        </w:tc>
        <w:tc>
          <w:tcPr>
            <w:tcW w:w="1060" w:type="dxa"/>
            <w:tcBorders>
              <w:top w:val="nil"/>
              <w:left w:val="nil"/>
              <w:bottom w:val="single" w:sz="4" w:space="0" w:color="auto"/>
              <w:right w:val="nil"/>
            </w:tcBorders>
            <w:shd w:val="clear" w:color="auto" w:fill="auto"/>
            <w:noWrap/>
            <w:vAlign w:val="bottom"/>
            <w:hideMark/>
          </w:tcPr>
          <w:p w14:paraId="6C87B495"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2D279BB6"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38D5807"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(898)</w:t>
            </w:r>
          </w:p>
        </w:tc>
      </w:tr>
      <w:tr w:rsidR="007209F6" w:rsidRPr="007209F6" w14:paraId="288B301C"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2C6BF9B2" w14:textId="77777777" w:rsidR="007209F6" w:rsidRPr="007209F6" w:rsidRDefault="007209F6" w:rsidP="00400843">
            <w:pPr>
              <w:spacing w:after="0"/>
              <w:ind w:leftChars="75" w:left="150"/>
              <w:rPr>
                <w:rFonts w:ascii="Arial" w:hAnsi="Arial" w:cs="Arial"/>
                <w:b/>
                <w:bCs/>
                <w:sz w:val="16"/>
                <w:szCs w:val="16"/>
              </w:rPr>
            </w:pPr>
            <w:r w:rsidRPr="007209F6">
              <w:rPr>
                <w:rFonts w:ascii="Arial" w:hAnsi="Arial" w:cs="Arial"/>
                <w:b/>
                <w:bCs/>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4556F057"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580</w:t>
            </w:r>
          </w:p>
        </w:tc>
        <w:tc>
          <w:tcPr>
            <w:tcW w:w="1060" w:type="dxa"/>
            <w:tcBorders>
              <w:top w:val="nil"/>
              <w:left w:val="nil"/>
              <w:bottom w:val="single" w:sz="4" w:space="0" w:color="auto"/>
              <w:right w:val="nil"/>
            </w:tcBorders>
            <w:shd w:val="clear" w:color="auto" w:fill="auto"/>
            <w:noWrap/>
            <w:vAlign w:val="bottom"/>
            <w:hideMark/>
          </w:tcPr>
          <w:p w14:paraId="334F08CE"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224</w:t>
            </w:r>
          </w:p>
        </w:tc>
        <w:tc>
          <w:tcPr>
            <w:tcW w:w="1060" w:type="dxa"/>
            <w:tcBorders>
              <w:top w:val="nil"/>
              <w:left w:val="nil"/>
              <w:bottom w:val="single" w:sz="4" w:space="0" w:color="auto"/>
              <w:right w:val="nil"/>
            </w:tcBorders>
            <w:shd w:val="clear" w:color="auto" w:fill="auto"/>
            <w:noWrap/>
            <w:vAlign w:val="bottom"/>
            <w:hideMark/>
          </w:tcPr>
          <w:p w14:paraId="7A11A072"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684</w:t>
            </w:r>
          </w:p>
        </w:tc>
        <w:tc>
          <w:tcPr>
            <w:tcW w:w="1060" w:type="dxa"/>
            <w:tcBorders>
              <w:top w:val="single" w:sz="4" w:space="0" w:color="auto"/>
              <w:left w:val="nil"/>
              <w:bottom w:val="single" w:sz="4" w:space="0" w:color="auto"/>
              <w:right w:val="nil"/>
            </w:tcBorders>
            <w:shd w:val="clear" w:color="auto" w:fill="auto"/>
            <w:noWrap/>
            <w:vAlign w:val="bottom"/>
            <w:hideMark/>
          </w:tcPr>
          <w:p w14:paraId="11453EE9"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1,488</w:t>
            </w:r>
          </w:p>
        </w:tc>
      </w:tr>
      <w:tr w:rsidR="007209F6" w:rsidRPr="007209F6" w14:paraId="17222831" w14:textId="77777777" w:rsidTr="007209F6">
        <w:trPr>
          <w:trHeight w:val="300"/>
          <w:jc w:val="center"/>
        </w:trPr>
        <w:tc>
          <w:tcPr>
            <w:tcW w:w="3160" w:type="dxa"/>
            <w:tcBorders>
              <w:top w:val="nil"/>
              <w:left w:val="nil"/>
              <w:bottom w:val="nil"/>
              <w:right w:val="nil"/>
            </w:tcBorders>
            <w:shd w:val="clear" w:color="auto" w:fill="auto"/>
            <w:noWrap/>
            <w:vAlign w:val="bottom"/>
            <w:hideMark/>
          </w:tcPr>
          <w:p w14:paraId="7EC1763D"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CAPITAL ASSET ADDITIONS</w:t>
            </w:r>
          </w:p>
        </w:tc>
        <w:tc>
          <w:tcPr>
            <w:tcW w:w="1060" w:type="dxa"/>
            <w:tcBorders>
              <w:top w:val="nil"/>
              <w:left w:val="nil"/>
              <w:bottom w:val="nil"/>
              <w:right w:val="nil"/>
            </w:tcBorders>
            <w:shd w:val="clear" w:color="auto" w:fill="auto"/>
            <w:noWrap/>
            <w:vAlign w:val="bottom"/>
            <w:hideMark/>
          </w:tcPr>
          <w:p w14:paraId="5EE1FAB8" w14:textId="77777777" w:rsidR="007209F6" w:rsidRPr="007209F6" w:rsidRDefault="007209F6" w:rsidP="007209F6">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1E5C48BA"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55EBFEA"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EF564A0" w14:textId="77777777" w:rsidR="007209F6" w:rsidRPr="007209F6" w:rsidRDefault="007209F6" w:rsidP="007209F6">
            <w:pPr>
              <w:spacing w:after="0"/>
              <w:jc w:val="right"/>
              <w:rPr>
                <w:rFonts w:ascii="Times New Roman" w:hAnsi="Times New Roman"/>
                <w:color w:val="auto"/>
              </w:rPr>
            </w:pPr>
          </w:p>
        </w:tc>
      </w:tr>
      <w:tr w:rsidR="007209F6" w:rsidRPr="007209F6" w14:paraId="3732DFE8" w14:textId="77777777" w:rsidTr="00400843">
        <w:trPr>
          <w:trHeight w:val="454"/>
          <w:jc w:val="center"/>
        </w:trPr>
        <w:tc>
          <w:tcPr>
            <w:tcW w:w="3160" w:type="dxa"/>
            <w:tcBorders>
              <w:top w:val="nil"/>
              <w:left w:val="nil"/>
              <w:bottom w:val="nil"/>
              <w:right w:val="nil"/>
            </w:tcBorders>
            <w:shd w:val="clear" w:color="auto" w:fill="auto"/>
            <w:vAlign w:val="bottom"/>
            <w:hideMark/>
          </w:tcPr>
          <w:p w14:paraId="146CA004"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2643867B" w14:textId="77777777" w:rsidR="007209F6" w:rsidRPr="007209F6" w:rsidRDefault="007209F6" w:rsidP="007209F6">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078AEC09"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78DD674"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7692165" w14:textId="77777777" w:rsidR="007209F6" w:rsidRPr="007209F6" w:rsidRDefault="007209F6" w:rsidP="007209F6">
            <w:pPr>
              <w:spacing w:after="0"/>
              <w:jc w:val="right"/>
              <w:rPr>
                <w:rFonts w:ascii="Times New Roman" w:hAnsi="Times New Roman"/>
                <w:color w:val="auto"/>
              </w:rPr>
            </w:pPr>
          </w:p>
        </w:tc>
      </w:tr>
      <w:tr w:rsidR="007209F6" w:rsidRPr="007209F6" w14:paraId="107B31B5" w14:textId="77777777" w:rsidTr="007209F6">
        <w:trPr>
          <w:trHeight w:val="450"/>
          <w:jc w:val="center"/>
        </w:trPr>
        <w:tc>
          <w:tcPr>
            <w:tcW w:w="3160" w:type="dxa"/>
            <w:tcBorders>
              <w:top w:val="nil"/>
              <w:left w:val="nil"/>
              <w:bottom w:val="nil"/>
              <w:right w:val="nil"/>
            </w:tcBorders>
            <w:shd w:val="clear" w:color="auto" w:fill="auto"/>
            <w:vAlign w:val="bottom"/>
            <w:hideMark/>
          </w:tcPr>
          <w:p w14:paraId="35C4944F" w14:textId="77777777" w:rsidR="007209F6" w:rsidRPr="007209F6" w:rsidRDefault="007209F6" w:rsidP="00400843">
            <w:pPr>
              <w:spacing w:after="0"/>
              <w:ind w:leftChars="75" w:left="150"/>
              <w:rPr>
                <w:rFonts w:ascii="Arial" w:hAnsi="Arial" w:cs="Arial"/>
                <w:sz w:val="16"/>
                <w:szCs w:val="16"/>
              </w:rPr>
            </w:pPr>
            <w:r w:rsidRPr="007209F6">
              <w:rPr>
                <w:rFonts w:ascii="Arial" w:hAnsi="Arial" w:cs="Arial"/>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517A6A0C"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50</w:t>
            </w:r>
          </w:p>
        </w:tc>
        <w:tc>
          <w:tcPr>
            <w:tcW w:w="1060" w:type="dxa"/>
            <w:tcBorders>
              <w:top w:val="nil"/>
              <w:left w:val="nil"/>
              <w:bottom w:val="nil"/>
              <w:right w:val="nil"/>
            </w:tcBorders>
            <w:shd w:val="clear" w:color="auto" w:fill="auto"/>
            <w:noWrap/>
            <w:vAlign w:val="bottom"/>
            <w:hideMark/>
          </w:tcPr>
          <w:p w14:paraId="604335E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50</w:t>
            </w:r>
          </w:p>
        </w:tc>
        <w:tc>
          <w:tcPr>
            <w:tcW w:w="1060" w:type="dxa"/>
            <w:tcBorders>
              <w:top w:val="nil"/>
              <w:left w:val="nil"/>
              <w:bottom w:val="nil"/>
              <w:right w:val="nil"/>
            </w:tcBorders>
            <w:shd w:val="clear" w:color="auto" w:fill="auto"/>
            <w:noWrap/>
            <w:vAlign w:val="bottom"/>
            <w:hideMark/>
          </w:tcPr>
          <w:p w14:paraId="0D78068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164</w:t>
            </w:r>
          </w:p>
        </w:tc>
        <w:tc>
          <w:tcPr>
            <w:tcW w:w="1060" w:type="dxa"/>
            <w:tcBorders>
              <w:top w:val="nil"/>
              <w:left w:val="nil"/>
              <w:bottom w:val="nil"/>
              <w:right w:val="nil"/>
            </w:tcBorders>
            <w:shd w:val="clear" w:color="auto" w:fill="auto"/>
            <w:noWrap/>
            <w:vAlign w:val="bottom"/>
            <w:hideMark/>
          </w:tcPr>
          <w:p w14:paraId="509F75E8"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264</w:t>
            </w:r>
          </w:p>
        </w:tc>
      </w:tr>
      <w:tr w:rsidR="007209F6" w:rsidRPr="007209F6" w14:paraId="6C576893"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612E99DC"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 xml:space="preserve">By purchase - </w:t>
            </w:r>
            <w:proofErr w:type="spellStart"/>
            <w:r w:rsidRPr="007209F6">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53D1741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55FC17E"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58ED384"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3555981"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w:t>
            </w:r>
          </w:p>
        </w:tc>
      </w:tr>
      <w:tr w:rsidR="007209F6" w:rsidRPr="007209F6" w14:paraId="2FD9BD1D"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7053D0E0" w14:textId="77777777" w:rsidR="007209F6" w:rsidRPr="007209F6" w:rsidRDefault="007209F6" w:rsidP="00400843">
            <w:pPr>
              <w:spacing w:after="0"/>
              <w:ind w:leftChars="75" w:left="150"/>
              <w:rPr>
                <w:rFonts w:ascii="Arial" w:hAnsi="Arial" w:cs="Arial"/>
                <w:b/>
                <w:bCs/>
                <w:sz w:val="16"/>
                <w:szCs w:val="16"/>
              </w:rPr>
            </w:pPr>
            <w:r w:rsidRPr="007209F6">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5A811CC8"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50</w:t>
            </w:r>
          </w:p>
        </w:tc>
        <w:tc>
          <w:tcPr>
            <w:tcW w:w="1060" w:type="dxa"/>
            <w:tcBorders>
              <w:top w:val="nil"/>
              <w:left w:val="nil"/>
              <w:bottom w:val="single" w:sz="4" w:space="0" w:color="auto"/>
              <w:right w:val="nil"/>
            </w:tcBorders>
            <w:shd w:val="clear" w:color="auto" w:fill="auto"/>
            <w:noWrap/>
            <w:vAlign w:val="bottom"/>
            <w:hideMark/>
          </w:tcPr>
          <w:p w14:paraId="263A04CB"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50</w:t>
            </w:r>
          </w:p>
        </w:tc>
        <w:tc>
          <w:tcPr>
            <w:tcW w:w="1060" w:type="dxa"/>
            <w:tcBorders>
              <w:top w:val="nil"/>
              <w:left w:val="nil"/>
              <w:bottom w:val="single" w:sz="4" w:space="0" w:color="auto"/>
              <w:right w:val="nil"/>
            </w:tcBorders>
            <w:shd w:val="clear" w:color="auto" w:fill="auto"/>
            <w:noWrap/>
            <w:vAlign w:val="bottom"/>
            <w:hideMark/>
          </w:tcPr>
          <w:p w14:paraId="1AD694F3"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164</w:t>
            </w:r>
          </w:p>
        </w:tc>
        <w:tc>
          <w:tcPr>
            <w:tcW w:w="1060" w:type="dxa"/>
            <w:tcBorders>
              <w:top w:val="nil"/>
              <w:left w:val="nil"/>
              <w:bottom w:val="single" w:sz="4" w:space="0" w:color="auto"/>
              <w:right w:val="nil"/>
            </w:tcBorders>
            <w:shd w:val="clear" w:color="auto" w:fill="auto"/>
            <w:noWrap/>
            <w:vAlign w:val="bottom"/>
            <w:hideMark/>
          </w:tcPr>
          <w:p w14:paraId="351CE068"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264</w:t>
            </w:r>
          </w:p>
        </w:tc>
      </w:tr>
      <w:tr w:rsidR="007209F6" w:rsidRPr="007209F6" w14:paraId="215F18A0" w14:textId="77777777" w:rsidTr="00400843">
        <w:trPr>
          <w:trHeight w:val="283"/>
          <w:jc w:val="center"/>
        </w:trPr>
        <w:tc>
          <w:tcPr>
            <w:tcW w:w="3160" w:type="dxa"/>
            <w:tcBorders>
              <w:top w:val="nil"/>
              <w:left w:val="nil"/>
              <w:bottom w:val="nil"/>
              <w:right w:val="nil"/>
            </w:tcBorders>
            <w:shd w:val="clear" w:color="auto" w:fill="auto"/>
            <w:noWrap/>
            <w:vAlign w:val="bottom"/>
            <w:hideMark/>
          </w:tcPr>
          <w:p w14:paraId="4F38D860"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Other movements</w:t>
            </w:r>
          </w:p>
        </w:tc>
        <w:tc>
          <w:tcPr>
            <w:tcW w:w="1060" w:type="dxa"/>
            <w:tcBorders>
              <w:top w:val="nil"/>
              <w:left w:val="nil"/>
              <w:bottom w:val="nil"/>
              <w:right w:val="nil"/>
            </w:tcBorders>
            <w:shd w:val="clear" w:color="auto" w:fill="auto"/>
            <w:noWrap/>
            <w:vAlign w:val="bottom"/>
            <w:hideMark/>
          </w:tcPr>
          <w:p w14:paraId="52D1C8B8" w14:textId="77777777" w:rsidR="007209F6" w:rsidRPr="007209F6" w:rsidRDefault="007209F6" w:rsidP="007209F6">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550E1F9F"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9DFFC5E"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0E16150" w14:textId="77777777" w:rsidR="007209F6" w:rsidRPr="007209F6" w:rsidRDefault="007209F6" w:rsidP="007209F6">
            <w:pPr>
              <w:spacing w:after="0"/>
              <w:jc w:val="right"/>
              <w:rPr>
                <w:rFonts w:ascii="Times New Roman" w:hAnsi="Times New Roman"/>
                <w:color w:val="auto"/>
              </w:rPr>
            </w:pPr>
          </w:p>
        </w:tc>
      </w:tr>
      <w:tr w:rsidR="007209F6" w:rsidRPr="007209F6" w14:paraId="6365F388"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58406E71" w14:textId="77777777" w:rsidR="007209F6" w:rsidRPr="007209F6" w:rsidRDefault="007209F6" w:rsidP="00400843">
            <w:pPr>
              <w:spacing w:after="0"/>
              <w:ind w:leftChars="75" w:left="150"/>
              <w:rPr>
                <w:rFonts w:ascii="Arial" w:hAnsi="Arial" w:cs="Arial"/>
                <w:sz w:val="16"/>
                <w:szCs w:val="16"/>
              </w:rPr>
            </w:pPr>
            <w:r w:rsidRPr="007209F6">
              <w:rPr>
                <w:rFonts w:ascii="Arial" w:hAnsi="Arial"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14:paraId="3AD9C75B"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(130)</w:t>
            </w:r>
          </w:p>
        </w:tc>
        <w:tc>
          <w:tcPr>
            <w:tcW w:w="1060" w:type="dxa"/>
            <w:tcBorders>
              <w:top w:val="nil"/>
              <w:left w:val="nil"/>
              <w:bottom w:val="nil"/>
              <w:right w:val="nil"/>
            </w:tcBorders>
            <w:shd w:val="clear" w:color="auto" w:fill="auto"/>
            <w:noWrap/>
            <w:vAlign w:val="bottom"/>
            <w:hideMark/>
          </w:tcPr>
          <w:p w14:paraId="4FC1D3E3"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(36)</w:t>
            </w:r>
          </w:p>
        </w:tc>
        <w:tc>
          <w:tcPr>
            <w:tcW w:w="1060" w:type="dxa"/>
            <w:tcBorders>
              <w:top w:val="nil"/>
              <w:left w:val="nil"/>
              <w:bottom w:val="nil"/>
              <w:right w:val="nil"/>
            </w:tcBorders>
            <w:shd w:val="clear" w:color="auto" w:fill="auto"/>
            <w:noWrap/>
            <w:vAlign w:val="bottom"/>
            <w:hideMark/>
          </w:tcPr>
          <w:p w14:paraId="59EA7F88"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(204)</w:t>
            </w:r>
          </w:p>
        </w:tc>
        <w:tc>
          <w:tcPr>
            <w:tcW w:w="1060" w:type="dxa"/>
            <w:tcBorders>
              <w:top w:val="nil"/>
              <w:left w:val="nil"/>
              <w:bottom w:val="nil"/>
              <w:right w:val="nil"/>
            </w:tcBorders>
            <w:shd w:val="clear" w:color="auto" w:fill="auto"/>
            <w:noWrap/>
            <w:vAlign w:val="bottom"/>
            <w:hideMark/>
          </w:tcPr>
          <w:p w14:paraId="142B7CF8"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(370)</w:t>
            </w:r>
          </w:p>
        </w:tc>
      </w:tr>
      <w:tr w:rsidR="007209F6" w:rsidRPr="007209F6" w14:paraId="512F4C0C" w14:textId="77777777" w:rsidTr="007209F6">
        <w:trPr>
          <w:trHeight w:val="450"/>
          <w:jc w:val="center"/>
        </w:trPr>
        <w:tc>
          <w:tcPr>
            <w:tcW w:w="3160" w:type="dxa"/>
            <w:tcBorders>
              <w:top w:val="nil"/>
              <w:left w:val="nil"/>
              <w:bottom w:val="nil"/>
              <w:right w:val="nil"/>
            </w:tcBorders>
            <w:shd w:val="clear" w:color="auto" w:fill="auto"/>
            <w:vAlign w:val="bottom"/>
            <w:hideMark/>
          </w:tcPr>
          <w:p w14:paraId="593CA682" w14:textId="77777777" w:rsidR="007209F6" w:rsidRPr="007209F6" w:rsidRDefault="007209F6" w:rsidP="00400843">
            <w:pPr>
              <w:spacing w:after="0"/>
              <w:ind w:leftChars="75" w:left="150"/>
              <w:rPr>
                <w:rFonts w:ascii="Arial" w:hAnsi="Arial" w:cs="Arial"/>
                <w:sz w:val="16"/>
                <w:szCs w:val="16"/>
              </w:rPr>
            </w:pPr>
            <w:r w:rsidRPr="007209F6">
              <w:rPr>
                <w:rFonts w:ascii="Arial" w:hAnsi="Arial" w:cs="Arial"/>
                <w:sz w:val="16"/>
                <w:szCs w:val="16"/>
              </w:rPr>
              <w:t xml:space="preserve">Depreciation/amortisation expense </w:t>
            </w:r>
            <w:r w:rsidRPr="007209F6">
              <w:rPr>
                <w:rFonts w:ascii="Arial" w:hAnsi="Arial" w:cs="Arial"/>
                <w:sz w:val="16"/>
                <w:szCs w:val="16"/>
              </w:rPr>
              <w:br/>
              <w:t xml:space="preserve">- </w:t>
            </w:r>
            <w:proofErr w:type="spellStart"/>
            <w:r w:rsidRPr="007209F6">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06CCBDF8"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(299)</w:t>
            </w:r>
          </w:p>
        </w:tc>
        <w:tc>
          <w:tcPr>
            <w:tcW w:w="1060" w:type="dxa"/>
            <w:tcBorders>
              <w:top w:val="nil"/>
              <w:left w:val="nil"/>
              <w:bottom w:val="nil"/>
              <w:right w:val="nil"/>
            </w:tcBorders>
            <w:shd w:val="clear" w:color="auto" w:fill="auto"/>
            <w:noWrap/>
            <w:vAlign w:val="bottom"/>
            <w:hideMark/>
          </w:tcPr>
          <w:p w14:paraId="77A0866B"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451A0F8"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A992BBA"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(299)</w:t>
            </w:r>
          </w:p>
        </w:tc>
      </w:tr>
      <w:tr w:rsidR="007209F6" w:rsidRPr="007209F6" w14:paraId="45BB8AE8"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1E853B28" w14:textId="77777777" w:rsidR="007209F6" w:rsidRPr="007209F6" w:rsidRDefault="007209F6" w:rsidP="00400843">
            <w:pPr>
              <w:spacing w:after="0"/>
              <w:ind w:leftChars="75" w:left="150"/>
              <w:rPr>
                <w:rFonts w:ascii="Arial" w:hAnsi="Arial" w:cs="Arial"/>
                <w:sz w:val="16"/>
                <w:szCs w:val="16"/>
              </w:rPr>
            </w:pPr>
            <w:r w:rsidRPr="007209F6">
              <w:rPr>
                <w:rFonts w:ascii="Arial" w:hAnsi="Arial" w:cs="Arial"/>
                <w:sz w:val="16"/>
                <w:szCs w:val="16"/>
              </w:rPr>
              <w:t>Disposals</w:t>
            </w:r>
            <w:r w:rsidRPr="007209F6">
              <w:rPr>
                <w:rFonts w:ascii="Arial" w:hAnsi="Arial" w:cs="Arial"/>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14:paraId="783B3C5A"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3874C33"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882EB9C"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195AA85"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w:t>
            </w:r>
          </w:p>
        </w:tc>
      </w:tr>
      <w:tr w:rsidR="007209F6" w:rsidRPr="007209F6" w14:paraId="50FB87B2"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46CCB0E9" w14:textId="77777777" w:rsidR="007209F6" w:rsidRPr="007209F6" w:rsidRDefault="007209F6" w:rsidP="00400843">
            <w:pPr>
              <w:spacing w:after="0"/>
              <w:ind w:leftChars="75" w:left="150"/>
              <w:rPr>
                <w:rFonts w:ascii="Arial" w:hAnsi="Arial" w:cs="Arial"/>
                <w:b/>
                <w:bCs/>
                <w:sz w:val="16"/>
                <w:szCs w:val="16"/>
              </w:rPr>
            </w:pPr>
            <w:r w:rsidRPr="007209F6">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35ABB130"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(429)</w:t>
            </w:r>
          </w:p>
        </w:tc>
        <w:tc>
          <w:tcPr>
            <w:tcW w:w="1060" w:type="dxa"/>
            <w:tcBorders>
              <w:top w:val="single" w:sz="4" w:space="0" w:color="auto"/>
              <w:left w:val="nil"/>
              <w:bottom w:val="single" w:sz="4" w:space="0" w:color="auto"/>
              <w:right w:val="nil"/>
            </w:tcBorders>
            <w:shd w:val="clear" w:color="auto" w:fill="auto"/>
            <w:noWrap/>
            <w:vAlign w:val="bottom"/>
            <w:hideMark/>
          </w:tcPr>
          <w:p w14:paraId="16B95069"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(36)</w:t>
            </w:r>
          </w:p>
        </w:tc>
        <w:tc>
          <w:tcPr>
            <w:tcW w:w="1060" w:type="dxa"/>
            <w:tcBorders>
              <w:top w:val="single" w:sz="4" w:space="0" w:color="auto"/>
              <w:left w:val="nil"/>
              <w:bottom w:val="single" w:sz="4" w:space="0" w:color="auto"/>
              <w:right w:val="nil"/>
            </w:tcBorders>
            <w:shd w:val="clear" w:color="auto" w:fill="auto"/>
            <w:noWrap/>
            <w:vAlign w:val="bottom"/>
            <w:hideMark/>
          </w:tcPr>
          <w:p w14:paraId="5E4E9B0B"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(204)</w:t>
            </w:r>
          </w:p>
        </w:tc>
        <w:tc>
          <w:tcPr>
            <w:tcW w:w="1060" w:type="dxa"/>
            <w:tcBorders>
              <w:top w:val="single" w:sz="4" w:space="0" w:color="auto"/>
              <w:left w:val="nil"/>
              <w:bottom w:val="single" w:sz="4" w:space="0" w:color="auto"/>
              <w:right w:val="nil"/>
            </w:tcBorders>
            <w:shd w:val="clear" w:color="auto" w:fill="auto"/>
            <w:noWrap/>
            <w:vAlign w:val="bottom"/>
            <w:hideMark/>
          </w:tcPr>
          <w:p w14:paraId="089ED91B"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(669)</w:t>
            </w:r>
          </w:p>
        </w:tc>
      </w:tr>
      <w:tr w:rsidR="007209F6" w:rsidRPr="007209F6" w14:paraId="6D31994B" w14:textId="77777777" w:rsidTr="007209F6">
        <w:trPr>
          <w:trHeight w:val="300"/>
          <w:jc w:val="center"/>
        </w:trPr>
        <w:tc>
          <w:tcPr>
            <w:tcW w:w="3160" w:type="dxa"/>
            <w:tcBorders>
              <w:top w:val="nil"/>
              <w:left w:val="nil"/>
              <w:bottom w:val="nil"/>
              <w:right w:val="nil"/>
            </w:tcBorders>
            <w:shd w:val="clear" w:color="auto" w:fill="auto"/>
            <w:noWrap/>
            <w:vAlign w:val="bottom"/>
            <w:hideMark/>
          </w:tcPr>
          <w:p w14:paraId="5C919BEB" w14:textId="77777777" w:rsidR="007209F6" w:rsidRPr="007209F6" w:rsidRDefault="007209F6" w:rsidP="007209F6">
            <w:pPr>
              <w:spacing w:after="0"/>
              <w:rPr>
                <w:rFonts w:ascii="Arial" w:hAnsi="Arial" w:cs="Arial"/>
                <w:b/>
                <w:bCs/>
                <w:sz w:val="16"/>
                <w:szCs w:val="16"/>
              </w:rPr>
            </w:pPr>
            <w:r w:rsidRPr="007209F6">
              <w:rPr>
                <w:rFonts w:ascii="Arial" w:hAnsi="Arial" w:cs="Arial"/>
                <w:b/>
                <w:bCs/>
                <w:sz w:val="16"/>
                <w:szCs w:val="16"/>
              </w:rPr>
              <w:t>As at 30 June 2023</w:t>
            </w:r>
          </w:p>
        </w:tc>
        <w:tc>
          <w:tcPr>
            <w:tcW w:w="1060" w:type="dxa"/>
            <w:tcBorders>
              <w:top w:val="nil"/>
              <w:left w:val="nil"/>
              <w:bottom w:val="nil"/>
              <w:right w:val="nil"/>
            </w:tcBorders>
            <w:shd w:val="clear" w:color="auto" w:fill="auto"/>
            <w:noWrap/>
            <w:vAlign w:val="bottom"/>
            <w:hideMark/>
          </w:tcPr>
          <w:p w14:paraId="5917618F" w14:textId="77777777" w:rsidR="007209F6" w:rsidRPr="007209F6" w:rsidRDefault="007209F6" w:rsidP="007209F6">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710686F5"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274674E" w14:textId="77777777" w:rsidR="007209F6" w:rsidRPr="007209F6" w:rsidRDefault="007209F6" w:rsidP="007209F6">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6ABF061" w14:textId="77777777" w:rsidR="007209F6" w:rsidRPr="007209F6" w:rsidRDefault="007209F6" w:rsidP="007209F6">
            <w:pPr>
              <w:spacing w:after="0"/>
              <w:jc w:val="right"/>
              <w:rPr>
                <w:rFonts w:ascii="Times New Roman" w:hAnsi="Times New Roman"/>
                <w:color w:val="auto"/>
              </w:rPr>
            </w:pPr>
          </w:p>
        </w:tc>
      </w:tr>
      <w:tr w:rsidR="007209F6" w:rsidRPr="007209F6" w14:paraId="64ECA942"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22D2CD35"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0C172095"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280</w:t>
            </w:r>
          </w:p>
        </w:tc>
        <w:tc>
          <w:tcPr>
            <w:tcW w:w="1060" w:type="dxa"/>
            <w:tcBorders>
              <w:top w:val="nil"/>
              <w:left w:val="nil"/>
              <w:bottom w:val="nil"/>
              <w:right w:val="nil"/>
            </w:tcBorders>
            <w:shd w:val="clear" w:color="auto" w:fill="auto"/>
            <w:noWrap/>
            <w:vAlign w:val="bottom"/>
            <w:hideMark/>
          </w:tcPr>
          <w:p w14:paraId="6E499BB0"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312</w:t>
            </w:r>
          </w:p>
        </w:tc>
        <w:tc>
          <w:tcPr>
            <w:tcW w:w="1060" w:type="dxa"/>
            <w:tcBorders>
              <w:top w:val="nil"/>
              <w:left w:val="nil"/>
              <w:bottom w:val="nil"/>
              <w:right w:val="nil"/>
            </w:tcBorders>
            <w:shd w:val="clear" w:color="auto" w:fill="auto"/>
            <w:noWrap/>
            <w:vAlign w:val="bottom"/>
            <w:hideMark/>
          </w:tcPr>
          <w:p w14:paraId="18E6AB8C"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3,060</w:t>
            </w:r>
          </w:p>
        </w:tc>
        <w:tc>
          <w:tcPr>
            <w:tcW w:w="1060" w:type="dxa"/>
            <w:tcBorders>
              <w:top w:val="nil"/>
              <w:left w:val="nil"/>
              <w:bottom w:val="nil"/>
              <w:right w:val="nil"/>
            </w:tcBorders>
            <w:shd w:val="clear" w:color="auto" w:fill="auto"/>
            <w:noWrap/>
            <w:vAlign w:val="bottom"/>
            <w:hideMark/>
          </w:tcPr>
          <w:p w14:paraId="644FD008"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3,652</w:t>
            </w:r>
          </w:p>
        </w:tc>
      </w:tr>
      <w:tr w:rsidR="007209F6" w:rsidRPr="007209F6" w14:paraId="3413A082" w14:textId="77777777" w:rsidTr="007209F6">
        <w:trPr>
          <w:trHeight w:val="225"/>
          <w:jc w:val="center"/>
        </w:trPr>
        <w:tc>
          <w:tcPr>
            <w:tcW w:w="3160" w:type="dxa"/>
            <w:tcBorders>
              <w:top w:val="nil"/>
              <w:left w:val="nil"/>
              <w:bottom w:val="nil"/>
              <w:right w:val="nil"/>
            </w:tcBorders>
            <w:shd w:val="clear" w:color="auto" w:fill="auto"/>
            <w:noWrap/>
            <w:vAlign w:val="bottom"/>
            <w:hideMark/>
          </w:tcPr>
          <w:p w14:paraId="66262776"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 xml:space="preserve">Gross book value - </w:t>
            </w:r>
            <w:proofErr w:type="spellStart"/>
            <w:r w:rsidRPr="007209F6">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60C4B594"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1,322</w:t>
            </w:r>
          </w:p>
        </w:tc>
        <w:tc>
          <w:tcPr>
            <w:tcW w:w="1060" w:type="dxa"/>
            <w:tcBorders>
              <w:top w:val="nil"/>
              <w:left w:val="nil"/>
              <w:bottom w:val="nil"/>
              <w:right w:val="nil"/>
            </w:tcBorders>
            <w:shd w:val="clear" w:color="auto" w:fill="auto"/>
            <w:noWrap/>
            <w:vAlign w:val="bottom"/>
            <w:hideMark/>
          </w:tcPr>
          <w:p w14:paraId="7576D531"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ADD9E40"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30CFB5A"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1,322</w:t>
            </w:r>
          </w:p>
        </w:tc>
      </w:tr>
      <w:tr w:rsidR="007209F6" w:rsidRPr="007209F6" w14:paraId="42E1EA6F" w14:textId="77777777" w:rsidTr="00A4403D">
        <w:trPr>
          <w:trHeight w:val="425"/>
          <w:jc w:val="center"/>
        </w:trPr>
        <w:tc>
          <w:tcPr>
            <w:tcW w:w="3160" w:type="dxa"/>
            <w:tcBorders>
              <w:top w:val="nil"/>
              <w:left w:val="nil"/>
              <w:bottom w:val="nil"/>
              <w:right w:val="nil"/>
            </w:tcBorders>
            <w:shd w:val="clear" w:color="auto" w:fill="auto"/>
            <w:vAlign w:val="bottom"/>
            <w:hideMark/>
          </w:tcPr>
          <w:p w14:paraId="70017BE2"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03FA7315"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(204)</w:t>
            </w:r>
          </w:p>
        </w:tc>
        <w:tc>
          <w:tcPr>
            <w:tcW w:w="1060" w:type="dxa"/>
            <w:tcBorders>
              <w:top w:val="nil"/>
              <w:left w:val="nil"/>
              <w:bottom w:val="nil"/>
              <w:right w:val="nil"/>
            </w:tcBorders>
            <w:shd w:val="clear" w:color="auto" w:fill="auto"/>
            <w:noWrap/>
            <w:vAlign w:val="bottom"/>
            <w:hideMark/>
          </w:tcPr>
          <w:p w14:paraId="3A1DA85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(74)</w:t>
            </w:r>
          </w:p>
        </w:tc>
        <w:tc>
          <w:tcPr>
            <w:tcW w:w="1060" w:type="dxa"/>
            <w:tcBorders>
              <w:top w:val="nil"/>
              <w:left w:val="nil"/>
              <w:bottom w:val="nil"/>
              <w:right w:val="nil"/>
            </w:tcBorders>
            <w:shd w:val="clear" w:color="auto" w:fill="auto"/>
            <w:noWrap/>
            <w:vAlign w:val="bottom"/>
            <w:hideMark/>
          </w:tcPr>
          <w:p w14:paraId="1ED02F42"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(2,416)</w:t>
            </w:r>
          </w:p>
        </w:tc>
        <w:tc>
          <w:tcPr>
            <w:tcW w:w="1060" w:type="dxa"/>
            <w:tcBorders>
              <w:top w:val="nil"/>
              <w:left w:val="nil"/>
              <w:bottom w:val="nil"/>
              <w:right w:val="nil"/>
            </w:tcBorders>
            <w:shd w:val="clear" w:color="auto" w:fill="auto"/>
            <w:noWrap/>
            <w:vAlign w:val="bottom"/>
            <w:hideMark/>
          </w:tcPr>
          <w:p w14:paraId="33B1B10C"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(2,694)</w:t>
            </w:r>
          </w:p>
        </w:tc>
      </w:tr>
      <w:tr w:rsidR="007209F6" w:rsidRPr="007209F6" w14:paraId="068625E6" w14:textId="77777777" w:rsidTr="00A4403D">
        <w:trPr>
          <w:trHeight w:val="425"/>
          <w:jc w:val="center"/>
        </w:trPr>
        <w:tc>
          <w:tcPr>
            <w:tcW w:w="3160" w:type="dxa"/>
            <w:tcBorders>
              <w:top w:val="nil"/>
              <w:left w:val="nil"/>
              <w:bottom w:val="nil"/>
              <w:right w:val="nil"/>
            </w:tcBorders>
            <w:shd w:val="clear" w:color="auto" w:fill="auto"/>
            <w:vAlign w:val="bottom"/>
            <w:hideMark/>
          </w:tcPr>
          <w:p w14:paraId="6FEB6C54" w14:textId="77777777" w:rsidR="007209F6" w:rsidRPr="007209F6" w:rsidRDefault="007209F6" w:rsidP="00400843">
            <w:pPr>
              <w:spacing w:after="0"/>
              <w:ind w:leftChars="75" w:left="150"/>
              <w:rPr>
                <w:rFonts w:ascii="Arial" w:hAnsi="Arial" w:cs="Arial"/>
                <w:color w:val="auto"/>
                <w:sz w:val="16"/>
                <w:szCs w:val="16"/>
              </w:rPr>
            </w:pPr>
            <w:r w:rsidRPr="007209F6">
              <w:rPr>
                <w:rFonts w:ascii="Arial" w:hAnsi="Arial" w:cs="Arial"/>
                <w:color w:val="auto"/>
                <w:sz w:val="16"/>
                <w:szCs w:val="16"/>
              </w:rPr>
              <w:t xml:space="preserve">Accumulated depreciation/ amortisation and impairment - </w:t>
            </w:r>
            <w:proofErr w:type="spellStart"/>
            <w:r w:rsidRPr="007209F6">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35A7C1B6"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(1,197)</w:t>
            </w:r>
          </w:p>
        </w:tc>
        <w:tc>
          <w:tcPr>
            <w:tcW w:w="1060" w:type="dxa"/>
            <w:tcBorders>
              <w:top w:val="nil"/>
              <w:left w:val="nil"/>
              <w:bottom w:val="single" w:sz="4" w:space="0" w:color="auto"/>
              <w:right w:val="nil"/>
            </w:tcBorders>
            <w:shd w:val="clear" w:color="auto" w:fill="auto"/>
            <w:noWrap/>
            <w:vAlign w:val="bottom"/>
            <w:hideMark/>
          </w:tcPr>
          <w:p w14:paraId="7FBF2BDE"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6402F229" w14:textId="77777777" w:rsidR="007209F6" w:rsidRPr="007209F6" w:rsidRDefault="007209F6" w:rsidP="007209F6">
            <w:pPr>
              <w:spacing w:after="0"/>
              <w:jc w:val="right"/>
              <w:rPr>
                <w:rFonts w:ascii="Arial" w:hAnsi="Arial" w:cs="Arial"/>
                <w:sz w:val="16"/>
                <w:szCs w:val="16"/>
              </w:rPr>
            </w:pPr>
            <w:r w:rsidRPr="007209F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010FB50"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(1,197)</w:t>
            </w:r>
          </w:p>
        </w:tc>
      </w:tr>
      <w:tr w:rsidR="007209F6" w:rsidRPr="007209F6" w14:paraId="2454CDC2" w14:textId="77777777" w:rsidTr="00400843">
        <w:trPr>
          <w:trHeight w:val="283"/>
          <w:jc w:val="center"/>
        </w:trPr>
        <w:tc>
          <w:tcPr>
            <w:tcW w:w="3160" w:type="dxa"/>
            <w:tcBorders>
              <w:top w:val="nil"/>
              <w:left w:val="nil"/>
              <w:bottom w:val="single" w:sz="4" w:space="0" w:color="auto"/>
              <w:right w:val="nil"/>
            </w:tcBorders>
            <w:shd w:val="clear" w:color="auto" w:fill="auto"/>
            <w:noWrap/>
            <w:vAlign w:val="bottom"/>
            <w:hideMark/>
          </w:tcPr>
          <w:p w14:paraId="6368A95E" w14:textId="77777777" w:rsidR="007209F6" w:rsidRPr="007209F6" w:rsidRDefault="007209F6" w:rsidP="00400843">
            <w:pPr>
              <w:spacing w:after="0"/>
              <w:ind w:leftChars="75" w:left="150"/>
              <w:rPr>
                <w:rFonts w:ascii="Arial" w:hAnsi="Arial" w:cs="Arial"/>
                <w:b/>
                <w:bCs/>
                <w:sz w:val="16"/>
                <w:szCs w:val="16"/>
              </w:rPr>
            </w:pPr>
            <w:r w:rsidRPr="007209F6">
              <w:rPr>
                <w:rFonts w:ascii="Arial" w:hAnsi="Arial" w:cs="Arial"/>
                <w:b/>
                <w:bCs/>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4136598F"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201</w:t>
            </w:r>
          </w:p>
        </w:tc>
        <w:tc>
          <w:tcPr>
            <w:tcW w:w="1060" w:type="dxa"/>
            <w:tcBorders>
              <w:top w:val="nil"/>
              <w:left w:val="nil"/>
              <w:bottom w:val="single" w:sz="4" w:space="0" w:color="auto"/>
              <w:right w:val="nil"/>
            </w:tcBorders>
            <w:shd w:val="clear" w:color="auto" w:fill="auto"/>
            <w:noWrap/>
            <w:vAlign w:val="bottom"/>
            <w:hideMark/>
          </w:tcPr>
          <w:p w14:paraId="5D1697B1"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238</w:t>
            </w:r>
          </w:p>
        </w:tc>
        <w:tc>
          <w:tcPr>
            <w:tcW w:w="1060" w:type="dxa"/>
            <w:tcBorders>
              <w:top w:val="nil"/>
              <w:left w:val="nil"/>
              <w:bottom w:val="single" w:sz="4" w:space="0" w:color="auto"/>
              <w:right w:val="nil"/>
            </w:tcBorders>
            <w:shd w:val="clear" w:color="auto" w:fill="auto"/>
            <w:noWrap/>
            <w:vAlign w:val="bottom"/>
            <w:hideMark/>
          </w:tcPr>
          <w:p w14:paraId="46C64BD9"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644</w:t>
            </w:r>
          </w:p>
        </w:tc>
        <w:tc>
          <w:tcPr>
            <w:tcW w:w="1060" w:type="dxa"/>
            <w:tcBorders>
              <w:top w:val="single" w:sz="4" w:space="0" w:color="auto"/>
              <w:left w:val="nil"/>
              <w:bottom w:val="single" w:sz="4" w:space="0" w:color="auto"/>
              <w:right w:val="nil"/>
            </w:tcBorders>
            <w:shd w:val="clear" w:color="auto" w:fill="auto"/>
            <w:noWrap/>
            <w:vAlign w:val="bottom"/>
            <w:hideMark/>
          </w:tcPr>
          <w:p w14:paraId="4058A8E9" w14:textId="77777777" w:rsidR="007209F6" w:rsidRPr="007209F6" w:rsidRDefault="007209F6" w:rsidP="007209F6">
            <w:pPr>
              <w:spacing w:after="0"/>
              <w:jc w:val="right"/>
              <w:rPr>
                <w:rFonts w:ascii="Arial" w:hAnsi="Arial" w:cs="Arial"/>
                <w:b/>
                <w:bCs/>
                <w:sz w:val="16"/>
                <w:szCs w:val="16"/>
              </w:rPr>
            </w:pPr>
            <w:r w:rsidRPr="007209F6">
              <w:rPr>
                <w:rFonts w:ascii="Arial" w:hAnsi="Arial" w:cs="Arial"/>
                <w:b/>
                <w:bCs/>
                <w:sz w:val="16"/>
                <w:szCs w:val="16"/>
              </w:rPr>
              <w:t>1,083</w:t>
            </w:r>
          </w:p>
        </w:tc>
      </w:tr>
    </w:tbl>
    <w:p w14:paraId="47344B2E" w14:textId="513F81AD" w:rsidR="00400843" w:rsidRPr="00400843" w:rsidRDefault="00400843" w:rsidP="00400843">
      <w:pPr>
        <w:pStyle w:val="FootnoteText"/>
        <w:spacing w:before="120" w:after="40"/>
      </w:pPr>
      <w:proofErr w:type="spellStart"/>
      <w:r>
        <w:t>RoU</w:t>
      </w:r>
      <w:proofErr w:type="spellEnd"/>
      <w:r>
        <w:t xml:space="preserve"> = Right-of-Use asset</w:t>
      </w:r>
    </w:p>
    <w:p w14:paraId="7A33826D" w14:textId="58F5AE81" w:rsidR="00400843" w:rsidRDefault="00400843" w:rsidP="00400843">
      <w:pPr>
        <w:pStyle w:val="FootnoteText"/>
      </w:pPr>
      <w:r w:rsidRPr="00400843">
        <w:rPr>
          <w:vertAlign w:val="superscript"/>
        </w:rPr>
        <w:t>(a)</w:t>
      </w:r>
      <w:r>
        <w:tab/>
      </w:r>
      <w:r w:rsidRPr="00400843">
        <w:t>Net proceeds may be returned t</w:t>
      </w:r>
      <w:r>
        <w:t>o the Official Public Account.</w:t>
      </w:r>
    </w:p>
    <w:p w14:paraId="64346586" w14:textId="77777777" w:rsidR="00400843" w:rsidRDefault="00400843">
      <w:pPr>
        <w:spacing w:after="160" w:line="259" w:lineRule="auto"/>
        <w:rPr>
          <w:rFonts w:ascii="Arial" w:hAnsi="Arial"/>
          <w:sz w:val="15"/>
        </w:rPr>
      </w:pPr>
      <w:r>
        <w:br w:type="page"/>
      </w:r>
    </w:p>
    <w:p w14:paraId="6B4B0EDF" w14:textId="4C307634" w:rsidR="00335A4B" w:rsidRDefault="00335A4B" w:rsidP="00335A4B">
      <w:pPr>
        <w:rPr>
          <w:rFonts w:ascii="Arial" w:hAnsi="Arial" w:cs="Arial"/>
          <w:b/>
          <w:color w:val="000000" w:themeColor="text1"/>
        </w:rPr>
      </w:pPr>
      <w:r w:rsidRPr="00EE76CA">
        <w:rPr>
          <w:rFonts w:ascii="Arial" w:hAnsi="Arial" w:cs="Arial"/>
          <w:b/>
          <w:color w:val="000000" w:themeColor="text1"/>
        </w:rPr>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51B51" w:rsidRPr="00B51B51" w14:paraId="7DFFBB73" w14:textId="77777777" w:rsidTr="00B51B51">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138F35D7" w14:textId="77777777" w:rsidR="00B51B51" w:rsidRPr="00B51B51" w:rsidRDefault="00B51B51" w:rsidP="00B51B51">
            <w:pPr>
              <w:spacing w:before="40" w:after="0"/>
              <w:jc w:val="right"/>
              <w:rPr>
                <w:rFonts w:ascii="Arial" w:hAnsi="Arial" w:cs="Arial"/>
                <w:b/>
                <w:bCs/>
                <w:color w:val="auto"/>
                <w:sz w:val="16"/>
                <w:szCs w:val="16"/>
              </w:rPr>
            </w:pPr>
            <w:r w:rsidRPr="00B51B51">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811362B" w14:textId="77777777" w:rsidR="00B51B51" w:rsidRPr="00B51B51" w:rsidRDefault="00B51B51" w:rsidP="00B51B51">
            <w:pPr>
              <w:spacing w:before="40" w:after="0"/>
              <w:jc w:val="right"/>
              <w:rPr>
                <w:rFonts w:ascii="Arial" w:hAnsi="Arial" w:cs="Arial"/>
                <w:b/>
                <w:bCs/>
                <w:color w:val="auto"/>
                <w:sz w:val="16"/>
                <w:szCs w:val="16"/>
              </w:rPr>
            </w:pPr>
            <w:r w:rsidRPr="00B51B51">
              <w:rPr>
                <w:rFonts w:ascii="Arial" w:hAnsi="Arial" w:cs="Arial"/>
                <w:b/>
                <w:bCs/>
                <w:color w:val="auto"/>
                <w:sz w:val="16"/>
                <w:szCs w:val="16"/>
              </w:rPr>
              <w:t>2021–22 Estimated actual</w:t>
            </w:r>
            <w:r w:rsidRPr="00B51B51">
              <w:rPr>
                <w:rFonts w:ascii="Arial" w:hAnsi="Arial" w:cs="Arial"/>
                <w:b/>
                <w:bCs/>
                <w:color w:val="auto"/>
                <w:sz w:val="16"/>
                <w:szCs w:val="16"/>
              </w:rPr>
              <w:br/>
            </w:r>
            <w:r w:rsidRPr="00B51B5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4758113F" w14:textId="77777777" w:rsidR="00B51B51" w:rsidRPr="00B51B51" w:rsidRDefault="00B51B51" w:rsidP="00B51B51">
            <w:pPr>
              <w:spacing w:before="40" w:after="0"/>
              <w:jc w:val="right"/>
              <w:rPr>
                <w:rFonts w:ascii="Arial" w:hAnsi="Arial" w:cs="Arial"/>
                <w:b/>
                <w:bCs/>
                <w:color w:val="auto"/>
                <w:sz w:val="16"/>
                <w:szCs w:val="16"/>
              </w:rPr>
            </w:pPr>
            <w:r w:rsidRPr="00B51B51">
              <w:rPr>
                <w:rFonts w:ascii="Arial" w:hAnsi="Arial" w:cs="Arial"/>
                <w:b/>
                <w:bCs/>
                <w:color w:val="auto"/>
                <w:sz w:val="16"/>
                <w:szCs w:val="16"/>
              </w:rPr>
              <w:t xml:space="preserve">2022–23 Budget </w:t>
            </w:r>
            <w:r w:rsidRPr="00B51B51">
              <w:rPr>
                <w:rFonts w:ascii="Arial" w:hAnsi="Arial" w:cs="Arial"/>
                <w:b/>
                <w:bCs/>
                <w:color w:val="auto"/>
                <w:sz w:val="16"/>
                <w:szCs w:val="16"/>
              </w:rPr>
              <w:br/>
            </w:r>
            <w:r w:rsidRPr="00B51B51">
              <w:rPr>
                <w:rFonts w:ascii="Arial" w:hAnsi="Arial" w:cs="Arial"/>
                <w:b/>
                <w:bCs/>
                <w:color w:val="auto"/>
                <w:sz w:val="16"/>
                <w:szCs w:val="16"/>
              </w:rPr>
              <w:br/>
            </w:r>
            <w:r w:rsidRPr="00B51B5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89A8105" w14:textId="77777777" w:rsidR="00B51B51" w:rsidRPr="00B51B51" w:rsidRDefault="00B51B51" w:rsidP="00B51B51">
            <w:pPr>
              <w:spacing w:before="40" w:after="0"/>
              <w:jc w:val="right"/>
              <w:rPr>
                <w:rFonts w:ascii="Arial" w:hAnsi="Arial" w:cs="Arial"/>
                <w:b/>
                <w:bCs/>
                <w:color w:val="auto"/>
                <w:sz w:val="16"/>
                <w:szCs w:val="16"/>
              </w:rPr>
            </w:pPr>
            <w:r w:rsidRPr="00B51B51">
              <w:rPr>
                <w:rFonts w:ascii="Arial" w:hAnsi="Arial" w:cs="Arial"/>
                <w:b/>
                <w:bCs/>
                <w:color w:val="auto"/>
                <w:sz w:val="16"/>
                <w:szCs w:val="16"/>
              </w:rPr>
              <w:t>2023–24 Forward estimate</w:t>
            </w:r>
            <w:r w:rsidRPr="00B51B51">
              <w:rPr>
                <w:rFonts w:ascii="Arial" w:hAnsi="Arial" w:cs="Arial"/>
                <w:b/>
                <w:bCs/>
                <w:color w:val="auto"/>
                <w:sz w:val="16"/>
                <w:szCs w:val="16"/>
              </w:rPr>
              <w:br/>
            </w:r>
            <w:r w:rsidRPr="00B51B5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A545C34" w14:textId="77777777" w:rsidR="00B51B51" w:rsidRPr="00B51B51" w:rsidRDefault="00B51B51" w:rsidP="00B51B51">
            <w:pPr>
              <w:spacing w:before="40" w:after="0"/>
              <w:jc w:val="right"/>
              <w:rPr>
                <w:rFonts w:ascii="Arial" w:hAnsi="Arial" w:cs="Arial"/>
                <w:b/>
                <w:bCs/>
                <w:color w:val="auto"/>
                <w:sz w:val="16"/>
                <w:szCs w:val="16"/>
              </w:rPr>
            </w:pPr>
            <w:r w:rsidRPr="00B51B51">
              <w:rPr>
                <w:rFonts w:ascii="Arial" w:hAnsi="Arial" w:cs="Arial"/>
                <w:b/>
                <w:bCs/>
                <w:color w:val="auto"/>
                <w:sz w:val="16"/>
                <w:szCs w:val="16"/>
              </w:rPr>
              <w:t>2024–25 Forward estimate</w:t>
            </w:r>
            <w:r w:rsidRPr="00B51B51">
              <w:rPr>
                <w:rFonts w:ascii="Arial" w:hAnsi="Arial" w:cs="Arial"/>
                <w:b/>
                <w:bCs/>
                <w:color w:val="auto"/>
                <w:sz w:val="16"/>
                <w:szCs w:val="16"/>
              </w:rPr>
              <w:br/>
            </w:r>
            <w:r w:rsidRPr="00B51B5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1622A5C" w14:textId="77777777" w:rsidR="00B51B51" w:rsidRPr="00B51B51" w:rsidRDefault="00B51B51" w:rsidP="00B51B51">
            <w:pPr>
              <w:spacing w:before="40" w:after="0"/>
              <w:jc w:val="right"/>
              <w:rPr>
                <w:rFonts w:ascii="Arial" w:hAnsi="Arial" w:cs="Arial"/>
                <w:b/>
                <w:bCs/>
                <w:color w:val="auto"/>
                <w:sz w:val="16"/>
                <w:szCs w:val="16"/>
              </w:rPr>
            </w:pPr>
            <w:r w:rsidRPr="00B51B51">
              <w:rPr>
                <w:rFonts w:ascii="Arial" w:hAnsi="Arial" w:cs="Arial"/>
                <w:b/>
                <w:bCs/>
                <w:color w:val="auto"/>
                <w:sz w:val="16"/>
                <w:szCs w:val="16"/>
              </w:rPr>
              <w:t>2025–26 Forward estimate</w:t>
            </w:r>
            <w:r w:rsidRPr="00B51B51">
              <w:rPr>
                <w:rFonts w:ascii="Arial" w:hAnsi="Arial" w:cs="Arial"/>
                <w:b/>
                <w:bCs/>
                <w:color w:val="auto"/>
                <w:sz w:val="16"/>
                <w:szCs w:val="16"/>
              </w:rPr>
              <w:br/>
            </w:r>
            <w:r w:rsidRPr="00B51B51">
              <w:rPr>
                <w:rFonts w:ascii="Arial" w:hAnsi="Arial" w:cs="Arial"/>
                <w:color w:val="auto"/>
                <w:sz w:val="16"/>
                <w:szCs w:val="16"/>
              </w:rPr>
              <w:t>$'000</w:t>
            </w:r>
          </w:p>
        </w:tc>
      </w:tr>
      <w:tr w:rsidR="00B51B51" w:rsidRPr="00B51B51" w14:paraId="6802BDE2" w14:textId="77777777" w:rsidTr="00B51B51">
        <w:trPr>
          <w:trHeight w:val="454"/>
          <w:jc w:val="center"/>
        </w:trPr>
        <w:tc>
          <w:tcPr>
            <w:tcW w:w="2860" w:type="dxa"/>
            <w:tcBorders>
              <w:top w:val="nil"/>
              <w:left w:val="nil"/>
              <w:bottom w:val="nil"/>
              <w:right w:val="nil"/>
            </w:tcBorders>
            <w:shd w:val="clear" w:color="auto" w:fill="auto"/>
            <w:vAlign w:val="bottom"/>
            <w:hideMark/>
          </w:tcPr>
          <w:p w14:paraId="56C7152D" w14:textId="77777777" w:rsidR="00B51B51" w:rsidRPr="00B51B51" w:rsidRDefault="00B51B51" w:rsidP="00B51B51">
            <w:pPr>
              <w:spacing w:after="0"/>
              <w:rPr>
                <w:rFonts w:ascii="Arial" w:hAnsi="Arial" w:cs="Arial"/>
                <w:b/>
                <w:bCs/>
                <w:color w:val="auto"/>
                <w:sz w:val="16"/>
                <w:szCs w:val="16"/>
              </w:rPr>
            </w:pPr>
            <w:r w:rsidRPr="00B51B51">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2E84367E" w14:textId="77777777" w:rsidR="00B51B51" w:rsidRPr="00B51B51" w:rsidRDefault="00B51B51" w:rsidP="00B51B5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12B3CC4"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2C6FF80" w14:textId="77777777" w:rsidR="00B51B51" w:rsidRPr="00B51B51" w:rsidRDefault="00B51B51" w:rsidP="00B51B5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744923C" w14:textId="77777777" w:rsidR="00B51B51" w:rsidRPr="00B51B51" w:rsidRDefault="00B51B51" w:rsidP="00B51B5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CAB059B" w14:textId="77777777" w:rsidR="00B51B51" w:rsidRPr="00B51B51" w:rsidRDefault="00B51B51" w:rsidP="00B51B51">
            <w:pPr>
              <w:spacing w:after="0"/>
              <w:jc w:val="right"/>
              <w:rPr>
                <w:rFonts w:ascii="Times New Roman" w:hAnsi="Times New Roman"/>
                <w:color w:val="auto"/>
              </w:rPr>
            </w:pPr>
          </w:p>
        </w:tc>
      </w:tr>
      <w:tr w:rsidR="00B51B51" w:rsidRPr="00B51B51" w14:paraId="4BD37FA2" w14:textId="77777777" w:rsidTr="00B51B51">
        <w:trPr>
          <w:trHeight w:val="300"/>
          <w:jc w:val="center"/>
        </w:trPr>
        <w:tc>
          <w:tcPr>
            <w:tcW w:w="2860" w:type="dxa"/>
            <w:tcBorders>
              <w:top w:val="nil"/>
              <w:left w:val="nil"/>
              <w:bottom w:val="nil"/>
              <w:right w:val="nil"/>
            </w:tcBorders>
            <w:shd w:val="clear" w:color="auto" w:fill="auto"/>
            <w:noWrap/>
            <w:vAlign w:val="bottom"/>
            <w:hideMark/>
          </w:tcPr>
          <w:p w14:paraId="4C3B783E" w14:textId="77777777" w:rsidR="00B51B51" w:rsidRPr="00B51B51" w:rsidRDefault="00B51B51" w:rsidP="00B51B51">
            <w:pPr>
              <w:spacing w:after="0"/>
              <w:ind w:leftChars="75" w:left="150"/>
              <w:rPr>
                <w:rFonts w:ascii="Arial" w:hAnsi="Arial" w:cs="Arial"/>
                <w:color w:val="auto"/>
                <w:sz w:val="16"/>
                <w:szCs w:val="16"/>
              </w:rPr>
            </w:pPr>
            <w:r w:rsidRPr="00B51B51">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2080C701"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43,532</w:t>
            </w:r>
          </w:p>
        </w:tc>
        <w:tc>
          <w:tcPr>
            <w:tcW w:w="900" w:type="dxa"/>
            <w:tcBorders>
              <w:top w:val="nil"/>
              <w:left w:val="nil"/>
              <w:bottom w:val="nil"/>
              <w:right w:val="nil"/>
            </w:tcBorders>
            <w:shd w:val="clear" w:color="000000" w:fill="D9D9D9"/>
            <w:noWrap/>
            <w:vAlign w:val="bottom"/>
            <w:hideMark/>
          </w:tcPr>
          <w:p w14:paraId="075F3B19"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43,882</w:t>
            </w:r>
          </w:p>
        </w:tc>
        <w:tc>
          <w:tcPr>
            <w:tcW w:w="900" w:type="dxa"/>
            <w:tcBorders>
              <w:top w:val="nil"/>
              <w:left w:val="nil"/>
              <w:bottom w:val="nil"/>
              <w:right w:val="nil"/>
            </w:tcBorders>
            <w:shd w:val="clear" w:color="auto" w:fill="auto"/>
            <w:noWrap/>
            <w:vAlign w:val="bottom"/>
            <w:hideMark/>
          </w:tcPr>
          <w:p w14:paraId="6B6AD75D"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44,594</w:t>
            </w:r>
          </w:p>
        </w:tc>
        <w:tc>
          <w:tcPr>
            <w:tcW w:w="900" w:type="dxa"/>
            <w:tcBorders>
              <w:top w:val="nil"/>
              <w:left w:val="nil"/>
              <w:bottom w:val="nil"/>
              <w:right w:val="nil"/>
            </w:tcBorders>
            <w:shd w:val="clear" w:color="auto" w:fill="auto"/>
            <w:noWrap/>
            <w:vAlign w:val="bottom"/>
            <w:hideMark/>
          </w:tcPr>
          <w:p w14:paraId="7CD50E35"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45,744</w:t>
            </w:r>
          </w:p>
        </w:tc>
        <w:tc>
          <w:tcPr>
            <w:tcW w:w="900" w:type="dxa"/>
            <w:tcBorders>
              <w:top w:val="nil"/>
              <w:left w:val="nil"/>
              <w:bottom w:val="nil"/>
              <w:right w:val="nil"/>
            </w:tcBorders>
            <w:shd w:val="clear" w:color="auto" w:fill="auto"/>
            <w:noWrap/>
            <w:vAlign w:val="bottom"/>
            <w:hideMark/>
          </w:tcPr>
          <w:p w14:paraId="148EF82C"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46,538</w:t>
            </w:r>
          </w:p>
        </w:tc>
      </w:tr>
      <w:tr w:rsidR="00B51B51" w:rsidRPr="00B51B51" w14:paraId="2DFEBB2C" w14:textId="77777777" w:rsidTr="008C54CC">
        <w:trPr>
          <w:trHeight w:val="227"/>
          <w:jc w:val="center"/>
        </w:trPr>
        <w:tc>
          <w:tcPr>
            <w:tcW w:w="2860" w:type="dxa"/>
            <w:tcBorders>
              <w:top w:val="nil"/>
              <w:left w:val="nil"/>
              <w:bottom w:val="nil"/>
              <w:right w:val="nil"/>
            </w:tcBorders>
            <w:shd w:val="clear" w:color="auto" w:fill="auto"/>
            <w:noWrap/>
            <w:vAlign w:val="bottom"/>
            <w:hideMark/>
          </w:tcPr>
          <w:p w14:paraId="0BD446EA" w14:textId="77777777" w:rsidR="00B51B51" w:rsidRPr="00B51B51" w:rsidRDefault="00B51B51" w:rsidP="00B51B51">
            <w:pPr>
              <w:spacing w:after="0"/>
              <w:ind w:leftChars="75" w:left="150"/>
              <w:rPr>
                <w:rFonts w:ascii="Arial" w:hAnsi="Arial" w:cs="Arial"/>
                <w:color w:val="auto"/>
                <w:sz w:val="16"/>
                <w:szCs w:val="16"/>
              </w:rPr>
            </w:pPr>
            <w:r w:rsidRPr="00B51B51">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9B14969"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4,749</w:t>
            </w:r>
          </w:p>
        </w:tc>
        <w:tc>
          <w:tcPr>
            <w:tcW w:w="900" w:type="dxa"/>
            <w:tcBorders>
              <w:top w:val="nil"/>
              <w:left w:val="nil"/>
              <w:bottom w:val="nil"/>
              <w:right w:val="nil"/>
            </w:tcBorders>
            <w:shd w:val="clear" w:color="000000" w:fill="D9D9D9"/>
            <w:noWrap/>
            <w:vAlign w:val="bottom"/>
            <w:hideMark/>
          </w:tcPr>
          <w:p w14:paraId="515A2925"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5,249</w:t>
            </w:r>
          </w:p>
        </w:tc>
        <w:tc>
          <w:tcPr>
            <w:tcW w:w="900" w:type="dxa"/>
            <w:tcBorders>
              <w:top w:val="nil"/>
              <w:left w:val="nil"/>
              <w:bottom w:val="nil"/>
              <w:right w:val="nil"/>
            </w:tcBorders>
            <w:shd w:val="clear" w:color="auto" w:fill="auto"/>
            <w:noWrap/>
            <w:vAlign w:val="bottom"/>
            <w:hideMark/>
          </w:tcPr>
          <w:p w14:paraId="0AE94EC8"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5,488</w:t>
            </w:r>
          </w:p>
        </w:tc>
        <w:tc>
          <w:tcPr>
            <w:tcW w:w="900" w:type="dxa"/>
            <w:tcBorders>
              <w:top w:val="nil"/>
              <w:left w:val="nil"/>
              <w:bottom w:val="nil"/>
              <w:right w:val="nil"/>
            </w:tcBorders>
            <w:shd w:val="clear" w:color="auto" w:fill="auto"/>
            <w:noWrap/>
            <w:vAlign w:val="bottom"/>
            <w:hideMark/>
          </w:tcPr>
          <w:p w14:paraId="337FF612"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5,265</w:t>
            </w:r>
          </w:p>
        </w:tc>
        <w:tc>
          <w:tcPr>
            <w:tcW w:w="900" w:type="dxa"/>
            <w:tcBorders>
              <w:top w:val="nil"/>
              <w:left w:val="nil"/>
              <w:bottom w:val="nil"/>
              <w:right w:val="nil"/>
            </w:tcBorders>
            <w:shd w:val="clear" w:color="auto" w:fill="auto"/>
            <w:noWrap/>
            <w:vAlign w:val="bottom"/>
            <w:hideMark/>
          </w:tcPr>
          <w:p w14:paraId="4F0FD8D8" w14:textId="77777777" w:rsidR="00B51B51" w:rsidRPr="00B51B51" w:rsidRDefault="00B51B51" w:rsidP="00B51B51">
            <w:pPr>
              <w:spacing w:after="0"/>
              <w:jc w:val="right"/>
              <w:rPr>
                <w:rFonts w:ascii="Arial" w:hAnsi="Arial" w:cs="Arial"/>
                <w:sz w:val="16"/>
                <w:szCs w:val="16"/>
              </w:rPr>
            </w:pPr>
            <w:r w:rsidRPr="00B51B51">
              <w:rPr>
                <w:rFonts w:ascii="Arial" w:hAnsi="Arial" w:cs="Arial"/>
                <w:sz w:val="16"/>
                <w:szCs w:val="16"/>
              </w:rPr>
              <w:t>5,201</w:t>
            </w:r>
          </w:p>
        </w:tc>
      </w:tr>
      <w:tr w:rsidR="00B51B51" w:rsidRPr="00B51B51" w14:paraId="0A9E0234" w14:textId="77777777" w:rsidTr="00B51B51">
        <w:trPr>
          <w:trHeight w:val="454"/>
          <w:jc w:val="center"/>
        </w:trPr>
        <w:tc>
          <w:tcPr>
            <w:tcW w:w="2860" w:type="dxa"/>
            <w:tcBorders>
              <w:top w:val="nil"/>
              <w:left w:val="nil"/>
              <w:bottom w:val="single" w:sz="4" w:space="0" w:color="auto"/>
              <w:right w:val="nil"/>
            </w:tcBorders>
            <w:shd w:val="clear" w:color="auto" w:fill="auto"/>
            <w:vAlign w:val="bottom"/>
            <w:hideMark/>
          </w:tcPr>
          <w:p w14:paraId="205F659F" w14:textId="77777777" w:rsidR="00B51B51" w:rsidRPr="00B51B51" w:rsidRDefault="00B51B51" w:rsidP="00B51B51">
            <w:pPr>
              <w:spacing w:after="0"/>
              <w:ind w:leftChars="75" w:left="150"/>
              <w:rPr>
                <w:rFonts w:ascii="Arial" w:hAnsi="Arial" w:cs="Arial"/>
                <w:b/>
                <w:bCs/>
                <w:color w:val="auto"/>
                <w:sz w:val="16"/>
                <w:szCs w:val="16"/>
              </w:rPr>
            </w:pPr>
            <w:r w:rsidRPr="00B51B51">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6CA480D" w14:textId="77777777" w:rsidR="00B51B51" w:rsidRPr="00B51B51" w:rsidRDefault="00B51B51" w:rsidP="00B51B51">
            <w:pPr>
              <w:spacing w:after="0"/>
              <w:jc w:val="right"/>
              <w:rPr>
                <w:rFonts w:ascii="Arial" w:hAnsi="Arial" w:cs="Arial"/>
                <w:b/>
                <w:bCs/>
                <w:sz w:val="16"/>
                <w:szCs w:val="16"/>
              </w:rPr>
            </w:pPr>
            <w:r w:rsidRPr="00B51B51">
              <w:rPr>
                <w:rFonts w:ascii="Arial" w:hAnsi="Arial" w:cs="Arial"/>
                <w:b/>
                <w:bCs/>
                <w:sz w:val="16"/>
                <w:szCs w:val="16"/>
              </w:rPr>
              <w:t>48,281</w:t>
            </w:r>
          </w:p>
        </w:tc>
        <w:tc>
          <w:tcPr>
            <w:tcW w:w="900" w:type="dxa"/>
            <w:tcBorders>
              <w:top w:val="nil"/>
              <w:left w:val="nil"/>
              <w:bottom w:val="single" w:sz="4" w:space="0" w:color="auto"/>
              <w:right w:val="nil"/>
            </w:tcBorders>
            <w:shd w:val="clear" w:color="000000" w:fill="D9D9D9"/>
            <w:noWrap/>
            <w:vAlign w:val="bottom"/>
            <w:hideMark/>
          </w:tcPr>
          <w:p w14:paraId="193AD28C" w14:textId="77777777" w:rsidR="00B51B51" w:rsidRPr="00B51B51" w:rsidRDefault="00B51B51" w:rsidP="00B51B51">
            <w:pPr>
              <w:spacing w:after="0"/>
              <w:jc w:val="right"/>
              <w:rPr>
                <w:rFonts w:ascii="Arial" w:hAnsi="Arial" w:cs="Arial"/>
                <w:b/>
                <w:bCs/>
                <w:sz w:val="16"/>
                <w:szCs w:val="16"/>
              </w:rPr>
            </w:pPr>
            <w:r w:rsidRPr="00B51B51">
              <w:rPr>
                <w:rFonts w:ascii="Arial" w:hAnsi="Arial" w:cs="Arial"/>
                <w:b/>
                <w:bCs/>
                <w:sz w:val="16"/>
                <w:szCs w:val="16"/>
              </w:rPr>
              <w:t>49,131</w:t>
            </w:r>
          </w:p>
        </w:tc>
        <w:tc>
          <w:tcPr>
            <w:tcW w:w="900" w:type="dxa"/>
            <w:tcBorders>
              <w:top w:val="nil"/>
              <w:left w:val="nil"/>
              <w:bottom w:val="single" w:sz="4" w:space="0" w:color="auto"/>
              <w:right w:val="nil"/>
            </w:tcBorders>
            <w:shd w:val="clear" w:color="auto" w:fill="auto"/>
            <w:noWrap/>
            <w:vAlign w:val="bottom"/>
            <w:hideMark/>
          </w:tcPr>
          <w:p w14:paraId="00AC04B4" w14:textId="77777777" w:rsidR="00B51B51" w:rsidRPr="00B51B51" w:rsidRDefault="00B51B51" w:rsidP="00B51B51">
            <w:pPr>
              <w:spacing w:after="0"/>
              <w:jc w:val="right"/>
              <w:rPr>
                <w:rFonts w:ascii="Arial" w:hAnsi="Arial" w:cs="Arial"/>
                <w:b/>
                <w:bCs/>
                <w:sz w:val="16"/>
                <w:szCs w:val="16"/>
              </w:rPr>
            </w:pPr>
            <w:r w:rsidRPr="00B51B51">
              <w:rPr>
                <w:rFonts w:ascii="Arial" w:hAnsi="Arial" w:cs="Arial"/>
                <w:b/>
                <w:bCs/>
                <w:sz w:val="16"/>
                <w:szCs w:val="16"/>
              </w:rPr>
              <w:t>50,082</w:t>
            </w:r>
          </w:p>
        </w:tc>
        <w:tc>
          <w:tcPr>
            <w:tcW w:w="900" w:type="dxa"/>
            <w:tcBorders>
              <w:top w:val="nil"/>
              <w:left w:val="nil"/>
              <w:bottom w:val="single" w:sz="4" w:space="0" w:color="auto"/>
              <w:right w:val="nil"/>
            </w:tcBorders>
            <w:shd w:val="clear" w:color="auto" w:fill="auto"/>
            <w:noWrap/>
            <w:vAlign w:val="bottom"/>
            <w:hideMark/>
          </w:tcPr>
          <w:p w14:paraId="623D1793" w14:textId="77777777" w:rsidR="00B51B51" w:rsidRPr="00B51B51" w:rsidRDefault="00B51B51" w:rsidP="00B51B51">
            <w:pPr>
              <w:spacing w:after="0"/>
              <w:jc w:val="right"/>
              <w:rPr>
                <w:rFonts w:ascii="Arial" w:hAnsi="Arial" w:cs="Arial"/>
                <w:b/>
                <w:bCs/>
                <w:sz w:val="16"/>
                <w:szCs w:val="16"/>
              </w:rPr>
            </w:pPr>
            <w:r w:rsidRPr="00B51B51">
              <w:rPr>
                <w:rFonts w:ascii="Arial" w:hAnsi="Arial" w:cs="Arial"/>
                <w:b/>
                <w:bCs/>
                <w:sz w:val="16"/>
                <w:szCs w:val="16"/>
              </w:rPr>
              <w:t>51,009</w:t>
            </w:r>
          </w:p>
        </w:tc>
        <w:tc>
          <w:tcPr>
            <w:tcW w:w="900" w:type="dxa"/>
            <w:tcBorders>
              <w:top w:val="nil"/>
              <w:left w:val="nil"/>
              <w:bottom w:val="single" w:sz="4" w:space="0" w:color="auto"/>
              <w:right w:val="nil"/>
            </w:tcBorders>
            <w:shd w:val="clear" w:color="auto" w:fill="auto"/>
            <w:noWrap/>
            <w:vAlign w:val="bottom"/>
            <w:hideMark/>
          </w:tcPr>
          <w:p w14:paraId="5CBE465B" w14:textId="77777777" w:rsidR="00B51B51" w:rsidRPr="00B51B51" w:rsidRDefault="00B51B51" w:rsidP="00B51B51">
            <w:pPr>
              <w:spacing w:after="0"/>
              <w:jc w:val="right"/>
              <w:rPr>
                <w:rFonts w:ascii="Arial" w:hAnsi="Arial" w:cs="Arial"/>
                <w:b/>
                <w:bCs/>
                <w:sz w:val="16"/>
                <w:szCs w:val="16"/>
              </w:rPr>
            </w:pPr>
            <w:r w:rsidRPr="00B51B51">
              <w:rPr>
                <w:rFonts w:ascii="Arial" w:hAnsi="Arial" w:cs="Arial"/>
                <w:b/>
                <w:bCs/>
                <w:sz w:val="16"/>
                <w:szCs w:val="16"/>
              </w:rPr>
              <w:t>51,739</w:t>
            </w:r>
          </w:p>
        </w:tc>
      </w:tr>
    </w:tbl>
    <w:p w14:paraId="77B07161" w14:textId="741471AA" w:rsidR="00335A4B" w:rsidRDefault="00335A4B" w:rsidP="00AE3800">
      <w:pPr>
        <w:pStyle w:val="Tablenumberandreference"/>
        <w:spacing w:before="240"/>
        <w:rPr>
          <w:color w:val="000000" w:themeColor="text1"/>
        </w:rPr>
      </w:pPr>
      <w:r w:rsidRPr="00EE76CA">
        <w:rPr>
          <w:color w:val="000000" w:themeColor="text1"/>
        </w:rPr>
        <w:t>Table 3.8: Schedule of Budgeted Assets and Liabilities Administered on Behalf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8C745E" w:rsidRPr="008C745E" w14:paraId="584297E3" w14:textId="77777777" w:rsidTr="008C745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34007BF" w14:textId="77777777" w:rsidR="008C745E" w:rsidRPr="008C745E" w:rsidRDefault="008C745E" w:rsidP="008C745E">
            <w:pPr>
              <w:spacing w:before="40" w:after="0"/>
              <w:jc w:val="right"/>
              <w:rPr>
                <w:rFonts w:ascii="Arial" w:hAnsi="Arial" w:cs="Arial"/>
                <w:b/>
                <w:bCs/>
                <w:color w:val="auto"/>
                <w:sz w:val="16"/>
                <w:szCs w:val="16"/>
              </w:rPr>
            </w:pPr>
            <w:r w:rsidRPr="008C745E">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A75FFE2" w14:textId="77777777" w:rsidR="008C745E" w:rsidRPr="008C745E" w:rsidRDefault="008C745E" w:rsidP="008C745E">
            <w:pPr>
              <w:spacing w:before="40" w:after="0"/>
              <w:jc w:val="right"/>
              <w:rPr>
                <w:rFonts w:ascii="Arial" w:hAnsi="Arial" w:cs="Arial"/>
                <w:b/>
                <w:bCs/>
                <w:color w:val="auto"/>
                <w:sz w:val="16"/>
                <w:szCs w:val="16"/>
              </w:rPr>
            </w:pPr>
            <w:r w:rsidRPr="008C745E">
              <w:rPr>
                <w:rFonts w:ascii="Arial" w:hAnsi="Arial" w:cs="Arial"/>
                <w:b/>
                <w:bCs/>
                <w:color w:val="auto"/>
                <w:sz w:val="16"/>
                <w:szCs w:val="16"/>
              </w:rPr>
              <w:t>2021–22 Estimated actual</w:t>
            </w:r>
            <w:r w:rsidRPr="008C745E">
              <w:rPr>
                <w:rFonts w:ascii="Arial" w:hAnsi="Arial" w:cs="Arial"/>
                <w:b/>
                <w:bCs/>
                <w:color w:val="auto"/>
                <w:sz w:val="16"/>
                <w:szCs w:val="16"/>
              </w:rPr>
              <w:br/>
            </w:r>
            <w:r w:rsidRPr="008C74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BE63E3E" w14:textId="77777777" w:rsidR="008C745E" w:rsidRPr="008C745E" w:rsidRDefault="008C745E" w:rsidP="008C745E">
            <w:pPr>
              <w:spacing w:before="40" w:after="0"/>
              <w:jc w:val="right"/>
              <w:rPr>
                <w:rFonts w:ascii="Arial" w:hAnsi="Arial" w:cs="Arial"/>
                <w:b/>
                <w:bCs/>
                <w:color w:val="auto"/>
                <w:sz w:val="16"/>
                <w:szCs w:val="16"/>
              </w:rPr>
            </w:pPr>
            <w:r w:rsidRPr="008C745E">
              <w:rPr>
                <w:rFonts w:ascii="Arial" w:hAnsi="Arial" w:cs="Arial"/>
                <w:b/>
                <w:bCs/>
                <w:color w:val="auto"/>
                <w:sz w:val="16"/>
                <w:szCs w:val="16"/>
              </w:rPr>
              <w:t xml:space="preserve">2022–23 Budget </w:t>
            </w:r>
            <w:r w:rsidRPr="008C745E">
              <w:rPr>
                <w:rFonts w:ascii="Arial" w:hAnsi="Arial" w:cs="Arial"/>
                <w:b/>
                <w:bCs/>
                <w:color w:val="auto"/>
                <w:sz w:val="16"/>
                <w:szCs w:val="16"/>
              </w:rPr>
              <w:br/>
            </w:r>
            <w:r w:rsidRPr="008C745E">
              <w:rPr>
                <w:rFonts w:ascii="Arial" w:hAnsi="Arial" w:cs="Arial"/>
                <w:b/>
                <w:bCs/>
                <w:color w:val="auto"/>
                <w:sz w:val="16"/>
                <w:szCs w:val="16"/>
              </w:rPr>
              <w:br/>
            </w:r>
            <w:r w:rsidRPr="008C74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AEEB2C0" w14:textId="77777777" w:rsidR="008C745E" w:rsidRPr="008C745E" w:rsidRDefault="008C745E" w:rsidP="008C745E">
            <w:pPr>
              <w:spacing w:before="40" w:after="0"/>
              <w:jc w:val="right"/>
              <w:rPr>
                <w:rFonts w:ascii="Arial" w:hAnsi="Arial" w:cs="Arial"/>
                <w:b/>
                <w:bCs/>
                <w:color w:val="auto"/>
                <w:sz w:val="16"/>
                <w:szCs w:val="16"/>
              </w:rPr>
            </w:pPr>
            <w:r w:rsidRPr="008C745E">
              <w:rPr>
                <w:rFonts w:ascii="Arial" w:hAnsi="Arial" w:cs="Arial"/>
                <w:b/>
                <w:bCs/>
                <w:color w:val="auto"/>
                <w:sz w:val="16"/>
                <w:szCs w:val="16"/>
              </w:rPr>
              <w:t>2023–24 Forward estimate</w:t>
            </w:r>
            <w:r w:rsidRPr="008C745E">
              <w:rPr>
                <w:rFonts w:ascii="Arial" w:hAnsi="Arial" w:cs="Arial"/>
                <w:b/>
                <w:bCs/>
                <w:color w:val="auto"/>
                <w:sz w:val="16"/>
                <w:szCs w:val="16"/>
              </w:rPr>
              <w:br/>
            </w:r>
            <w:r w:rsidRPr="008C74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24C750C" w14:textId="77777777" w:rsidR="008C745E" w:rsidRPr="008C745E" w:rsidRDefault="008C745E" w:rsidP="008C745E">
            <w:pPr>
              <w:spacing w:before="40" w:after="0"/>
              <w:jc w:val="right"/>
              <w:rPr>
                <w:rFonts w:ascii="Arial" w:hAnsi="Arial" w:cs="Arial"/>
                <w:b/>
                <w:bCs/>
                <w:color w:val="auto"/>
                <w:sz w:val="16"/>
                <w:szCs w:val="16"/>
              </w:rPr>
            </w:pPr>
            <w:r w:rsidRPr="008C745E">
              <w:rPr>
                <w:rFonts w:ascii="Arial" w:hAnsi="Arial" w:cs="Arial"/>
                <w:b/>
                <w:bCs/>
                <w:color w:val="auto"/>
                <w:sz w:val="16"/>
                <w:szCs w:val="16"/>
              </w:rPr>
              <w:t>2024–25 Forward estimate</w:t>
            </w:r>
            <w:r w:rsidRPr="008C745E">
              <w:rPr>
                <w:rFonts w:ascii="Arial" w:hAnsi="Arial" w:cs="Arial"/>
                <w:b/>
                <w:bCs/>
                <w:color w:val="auto"/>
                <w:sz w:val="16"/>
                <w:szCs w:val="16"/>
              </w:rPr>
              <w:br/>
            </w:r>
            <w:r w:rsidRPr="008C745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A332C98" w14:textId="77777777" w:rsidR="008C745E" w:rsidRPr="008C745E" w:rsidRDefault="008C745E" w:rsidP="008C745E">
            <w:pPr>
              <w:spacing w:before="40" w:after="0"/>
              <w:jc w:val="right"/>
              <w:rPr>
                <w:rFonts w:ascii="Arial" w:hAnsi="Arial" w:cs="Arial"/>
                <w:b/>
                <w:bCs/>
                <w:color w:val="auto"/>
                <w:sz w:val="16"/>
                <w:szCs w:val="16"/>
              </w:rPr>
            </w:pPr>
            <w:r w:rsidRPr="008C745E">
              <w:rPr>
                <w:rFonts w:ascii="Arial" w:hAnsi="Arial" w:cs="Arial"/>
                <w:b/>
                <w:bCs/>
                <w:color w:val="auto"/>
                <w:sz w:val="16"/>
                <w:szCs w:val="16"/>
              </w:rPr>
              <w:t>2025–26 Forward estimate</w:t>
            </w:r>
            <w:r w:rsidRPr="008C745E">
              <w:rPr>
                <w:rFonts w:ascii="Arial" w:hAnsi="Arial" w:cs="Arial"/>
                <w:b/>
                <w:bCs/>
                <w:color w:val="auto"/>
                <w:sz w:val="16"/>
                <w:szCs w:val="16"/>
              </w:rPr>
              <w:br/>
            </w:r>
            <w:r w:rsidRPr="008C745E">
              <w:rPr>
                <w:rFonts w:ascii="Arial" w:hAnsi="Arial" w:cs="Arial"/>
                <w:color w:val="auto"/>
                <w:sz w:val="16"/>
                <w:szCs w:val="16"/>
              </w:rPr>
              <w:t>$'000</w:t>
            </w:r>
          </w:p>
        </w:tc>
      </w:tr>
      <w:tr w:rsidR="008C745E" w:rsidRPr="008C745E" w14:paraId="592514F1" w14:textId="77777777" w:rsidTr="008C745E">
        <w:trPr>
          <w:trHeight w:val="454"/>
          <w:jc w:val="center"/>
        </w:trPr>
        <w:tc>
          <w:tcPr>
            <w:tcW w:w="2860" w:type="dxa"/>
            <w:tcBorders>
              <w:top w:val="nil"/>
              <w:left w:val="nil"/>
              <w:bottom w:val="nil"/>
              <w:right w:val="nil"/>
            </w:tcBorders>
            <w:shd w:val="clear" w:color="auto" w:fill="auto"/>
            <w:vAlign w:val="bottom"/>
            <w:hideMark/>
          </w:tcPr>
          <w:p w14:paraId="0DC9C30C" w14:textId="77777777" w:rsidR="008C745E" w:rsidRPr="008C745E" w:rsidRDefault="008C745E" w:rsidP="008C745E">
            <w:pPr>
              <w:spacing w:after="0"/>
              <w:rPr>
                <w:rFonts w:ascii="Arial" w:hAnsi="Arial" w:cs="Arial"/>
                <w:b/>
                <w:bCs/>
                <w:sz w:val="16"/>
                <w:szCs w:val="16"/>
              </w:rPr>
            </w:pPr>
            <w:r w:rsidRPr="008C745E">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104C6633" w14:textId="77777777" w:rsidR="008C745E" w:rsidRPr="008C745E" w:rsidRDefault="008C745E" w:rsidP="008C745E">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DF966E7"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3ED847C" w14:textId="77777777" w:rsidR="008C745E" w:rsidRPr="008C745E" w:rsidRDefault="008C745E" w:rsidP="008C745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A00575A" w14:textId="77777777" w:rsidR="008C745E" w:rsidRPr="008C745E" w:rsidRDefault="008C745E" w:rsidP="008C74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A23C40D" w14:textId="77777777" w:rsidR="008C745E" w:rsidRPr="008C745E" w:rsidRDefault="008C745E" w:rsidP="008C745E">
            <w:pPr>
              <w:spacing w:after="0"/>
              <w:jc w:val="right"/>
              <w:rPr>
                <w:rFonts w:ascii="Times New Roman" w:hAnsi="Times New Roman"/>
                <w:color w:val="auto"/>
              </w:rPr>
            </w:pPr>
          </w:p>
        </w:tc>
      </w:tr>
      <w:tr w:rsidR="008C745E" w:rsidRPr="008C745E" w14:paraId="346E3BAC" w14:textId="77777777" w:rsidTr="008C745E">
        <w:trPr>
          <w:trHeight w:val="300"/>
          <w:jc w:val="center"/>
        </w:trPr>
        <w:tc>
          <w:tcPr>
            <w:tcW w:w="2860" w:type="dxa"/>
            <w:tcBorders>
              <w:top w:val="nil"/>
              <w:left w:val="nil"/>
              <w:bottom w:val="nil"/>
              <w:right w:val="nil"/>
            </w:tcBorders>
            <w:shd w:val="clear" w:color="auto" w:fill="auto"/>
            <w:noWrap/>
            <w:vAlign w:val="bottom"/>
            <w:hideMark/>
          </w:tcPr>
          <w:p w14:paraId="7EA142CE" w14:textId="77777777" w:rsidR="008C745E" w:rsidRPr="008C745E" w:rsidRDefault="008C745E" w:rsidP="008C745E">
            <w:pPr>
              <w:spacing w:after="0"/>
              <w:ind w:leftChars="75" w:left="150"/>
              <w:rPr>
                <w:rFonts w:ascii="Arial" w:hAnsi="Arial" w:cs="Arial"/>
                <w:b/>
                <w:bCs/>
                <w:sz w:val="16"/>
                <w:szCs w:val="16"/>
              </w:rPr>
            </w:pPr>
            <w:r w:rsidRPr="008C745E">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0B8CD033" w14:textId="77777777" w:rsidR="008C745E" w:rsidRPr="008C745E" w:rsidRDefault="008C745E" w:rsidP="008C745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41BF5A4"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FAB6880" w14:textId="77777777" w:rsidR="008C745E" w:rsidRPr="008C745E" w:rsidRDefault="008C745E" w:rsidP="008C745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DD4BAC2" w14:textId="77777777" w:rsidR="008C745E" w:rsidRPr="008C745E" w:rsidRDefault="008C745E" w:rsidP="008C74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50D9086" w14:textId="77777777" w:rsidR="008C745E" w:rsidRPr="008C745E" w:rsidRDefault="008C745E" w:rsidP="008C745E">
            <w:pPr>
              <w:spacing w:after="0"/>
              <w:jc w:val="right"/>
              <w:rPr>
                <w:rFonts w:ascii="Times New Roman" w:hAnsi="Times New Roman"/>
                <w:color w:val="auto"/>
              </w:rPr>
            </w:pPr>
          </w:p>
        </w:tc>
      </w:tr>
      <w:tr w:rsidR="008C745E" w:rsidRPr="008C745E" w14:paraId="1772AE3E"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03F40AE8" w14:textId="77777777" w:rsidR="008C745E" w:rsidRPr="008C745E" w:rsidRDefault="008C745E" w:rsidP="008C745E">
            <w:pPr>
              <w:spacing w:after="0"/>
              <w:ind w:firstLineChars="200" w:firstLine="320"/>
              <w:rPr>
                <w:rFonts w:ascii="Arial" w:hAnsi="Arial" w:cs="Arial"/>
                <w:color w:val="auto"/>
                <w:sz w:val="16"/>
                <w:szCs w:val="16"/>
              </w:rPr>
            </w:pPr>
            <w:r w:rsidRPr="008C745E">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44531C74"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65</w:t>
            </w:r>
          </w:p>
        </w:tc>
        <w:tc>
          <w:tcPr>
            <w:tcW w:w="900" w:type="dxa"/>
            <w:tcBorders>
              <w:top w:val="nil"/>
              <w:left w:val="nil"/>
              <w:bottom w:val="nil"/>
              <w:right w:val="nil"/>
            </w:tcBorders>
            <w:shd w:val="clear" w:color="000000" w:fill="D9D9D9"/>
            <w:noWrap/>
            <w:vAlign w:val="bottom"/>
            <w:hideMark/>
          </w:tcPr>
          <w:p w14:paraId="4377747E"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65</w:t>
            </w:r>
          </w:p>
        </w:tc>
        <w:tc>
          <w:tcPr>
            <w:tcW w:w="900" w:type="dxa"/>
            <w:tcBorders>
              <w:top w:val="nil"/>
              <w:left w:val="nil"/>
              <w:bottom w:val="nil"/>
              <w:right w:val="nil"/>
            </w:tcBorders>
            <w:shd w:val="clear" w:color="auto" w:fill="auto"/>
            <w:noWrap/>
            <w:vAlign w:val="bottom"/>
            <w:hideMark/>
          </w:tcPr>
          <w:p w14:paraId="58BCE442"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65</w:t>
            </w:r>
          </w:p>
        </w:tc>
        <w:tc>
          <w:tcPr>
            <w:tcW w:w="900" w:type="dxa"/>
            <w:tcBorders>
              <w:top w:val="nil"/>
              <w:left w:val="nil"/>
              <w:bottom w:val="nil"/>
              <w:right w:val="nil"/>
            </w:tcBorders>
            <w:shd w:val="clear" w:color="auto" w:fill="auto"/>
            <w:noWrap/>
            <w:vAlign w:val="bottom"/>
            <w:hideMark/>
          </w:tcPr>
          <w:p w14:paraId="618D93B0"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65</w:t>
            </w:r>
          </w:p>
        </w:tc>
        <w:tc>
          <w:tcPr>
            <w:tcW w:w="900" w:type="dxa"/>
            <w:tcBorders>
              <w:top w:val="nil"/>
              <w:left w:val="nil"/>
              <w:bottom w:val="nil"/>
              <w:right w:val="nil"/>
            </w:tcBorders>
            <w:shd w:val="clear" w:color="auto" w:fill="auto"/>
            <w:noWrap/>
            <w:vAlign w:val="bottom"/>
            <w:hideMark/>
          </w:tcPr>
          <w:p w14:paraId="0F67AD5E"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65</w:t>
            </w:r>
          </w:p>
        </w:tc>
      </w:tr>
      <w:tr w:rsidR="008C745E" w:rsidRPr="008C745E" w14:paraId="0904979E"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259331C1" w14:textId="77777777" w:rsidR="008C745E" w:rsidRPr="008C745E" w:rsidRDefault="008C745E" w:rsidP="008C745E">
            <w:pPr>
              <w:spacing w:after="0"/>
              <w:ind w:firstLineChars="200" w:firstLine="320"/>
              <w:rPr>
                <w:rFonts w:ascii="Arial" w:hAnsi="Arial" w:cs="Arial"/>
                <w:sz w:val="16"/>
                <w:szCs w:val="16"/>
              </w:rPr>
            </w:pPr>
            <w:r w:rsidRPr="008C745E">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1AE8798E"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11,389</w:t>
            </w:r>
          </w:p>
        </w:tc>
        <w:tc>
          <w:tcPr>
            <w:tcW w:w="900" w:type="dxa"/>
            <w:tcBorders>
              <w:top w:val="nil"/>
              <w:left w:val="nil"/>
              <w:bottom w:val="nil"/>
              <w:right w:val="nil"/>
            </w:tcBorders>
            <w:shd w:val="clear" w:color="000000" w:fill="D9D9D9"/>
            <w:noWrap/>
            <w:vAlign w:val="bottom"/>
            <w:hideMark/>
          </w:tcPr>
          <w:p w14:paraId="638BF827"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11,389</w:t>
            </w:r>
          </w:p>
        </w:tc>
        <w:tc>
          <w:tcPr>
            <w:tcW w:w="900" w:type="dxa"/>
            <w:tcBorders>
              <w:top w:val="nil"/>
              <w:left w:val="nil"/>
              <w:bottom w:val="nil"/>
              <w:right w:val="nil"/>
            </w:tcBorders>
            <w:shd w:val="clear" w:color="auto" w:fill="auto"/>
            <w:noWrap/>
            <w:vAlign w:val="bottom"/>
            <w:hideMark/>
          </w:tcPr>
          <w:p w14:paraId="0BBBD985"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11,389</w:t>
            </w:r>
          </w:p>
        </w:tc>
        <w:tc>
          <w:tcPr>
            <w:tcW w:w="900" w:type="dxa"/>
            <w:tcBorders>
              <w:top w:val="nil"/>
              <w:left w:val="nil"/>
              <w:bottom w:val="nil"/>
              <w:right w:val="nil"/>
            </w:tcBorders>
            <w:shd w:val="clear" w:color="auto" w:fill="auto"/>
            <w:noWrap/>
            <w:vAlign w:val="bottom"/>
            <w:hideMark/>
          </w:tcPr>
          <w:p w14:paraId="409485A1"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11,389</w:t>
            </w:r>
          </w:p>
        </w:tc>
        <w:tc>
          <w:tcPr>
            <w:tcW w:w="900" w:type="dxa"/>
            <w:tcBorders>
              <w:top w:val="nil"/>
              <w:left w:val="nil"/>
              <w:bottom w:val="nil"/>
              <w:right w:val="nil"/>
            </w:tcBorders>
            <w:shd w:val="clear" w:color="auto" w:fill="auto"/>
            <w:noWrap/>
            <w:vAlign w:val="bottom"/>
            <w:hideMark/>
          </w:tcPr>
          <w:p w14:paraId="1CD741D0"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11,389</w:t>
            </w:r>
          </w:p>
        </w:tc>
      </w:tr>
      <w:tr w:rsidR="008C745E" w:rsidRPr="008C745E" w14:paraId="6D646DF7"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10392DB7" w14:textId="77777777" w:rsidR="008C745E" w:rsidRPr="008C745E" w:rsidRDefault="008C745E" w:rsidP="008C745E">
            <w:pPr>
              <w:spacing w:after="0"/>
              <w:ind w:firstLineChars="200" w:firstLine="320"/>
              <w:rPr>
                <w:rFonts w:ascii="Arial" w:hAnsi="Arial" w:cs="Arial"/>
                <w:b/>
                <w:bCs/>
                <w:sz w:val="16"/>
                <w:szCs w:val="16"/>
              </w:rPr>
            </w:pPr>
            <w:r w:rsidRPr="008C745E">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7C9B8A7C"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11,454</w:t>
            </w:r>
          </w:p>
        </w:tc>
        <w:tc>
          <w:tcPr>
            <w:tcW w:w="900" w:type="dxa"/>
            <w:tcBorders>
              <w:top w:val="nil"/>
              <w:left w:val="nil"/>
              <w:bottom w:val="single" w:sz="4" w:space="0" w:color="auto"/>
              <w:right w:val="nil"/>
            </w:tcBorders>
            <w:shd w:val="clear" w:color="000000" w:fill="D9D9D9"/>
            <w:noWrap/>
            <w:vAlign w:val="bottom"/>
            <w:hideMark/>
          </w:tcPr>
          <w:p w14:paraId="761CC269"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11,454</w:t>
            </w:r>
          </w:p>
        </w:tc>
        <w:tc>
          <w:tcPr>
            <w:tcW w:w="900" w:type="dxa"/>
            <w:tcBorders>
              <w:top w:val="nil"/>
              <w:left w:val="nil"/>
              <w:bottom w:val="single" w:sz="4" w:space="0" w:color="auto"/>
              <w:right w:val="nil"/>
            </w:tcBorders>
            <w:shd w:val="clear" w:color="auto" w:fill="auto"/>
            <w:noWrap/>
            <w:vAlign w:val="bottom"/>
            <w:hideMark/>
          </w:tcPr>
          <w:p w14:paraId="485B30A7"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11,454</w:t>
            </w:r>
          </w:p>
        </w:tc>
        <w:tc>
          <w:tcPr>
            <w:tcW w:w="900" w:type="dxa"/>
            <w:tcBorders>
              <w:top w:val="nil"/>
              <w:left w:val="nil"/>
              <w:bottom w:val="single" w:sz="4" w:space="0" w:color="auto"/>
              <w:right w:val="nil"/>
            </w:tcBorders>
            <w:shd w:val="clear" w:color="auto" w:fill="auto"/>
            <w:noWrap/>
            <w:vAlign w:val="bottom"/>
            <w:hideMark/>
          </w:tcPr>
          <w:p w14:paraId="6D664FE8"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11,454</w:t>
            </w:r>
          </w:p>
        </w:tc>
        <w:tc>
          <w:tcPr>
            <w:tcW w:w="900" w:type="dxa"/>
            <w:tcBorders>
              <w:top w:val="nil"/>
              <w:left w:val="nil"/>
              <w:bottom w:val="single" w:sz="4" w:space="0" w:color="auto"/>
              <w:right w:val="nil"/>
            </w:tcBorders>
            <w:shd w:val="clear" w:color="auto" w:fill="auto"/>
            <w:noWrap/>
            <w:vAlign w:val="bottom"/>
            <w:hideMark/>
          </w:tcPr>
          <w:p w14:paraId="09145DF0"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11,454</w:t>
            </w:r>
          </w:p>
        </w:tc>
      </w:tr>
      <w:tr w:rsidR="008C745E" w:rsidRPr="008C745E" w14:paraId="2A045003" w14:textId="77777777" w:rsidTr="008C745E">
        <w:trPr>
          <w:trHeight w:val="300"/>
          <w:jc w:val="center"/>
        </w:trPr>
        <w:tc>
          <w:tcPr>
            <w:tcW w:w="2860" w:type="dxa"/>
            <w:tcBorders>
              <w:top w:val="nil"/>
              <w:left w:val="nil"/>
              <w:bottom w:val="nil"/>
              <w:right w:val="nil"/>
            </w:tcBorders>
            <w:shd w:val="clear" w:color="auto" w:fill="auto"/>
            <w:noWrap/>
            <w:vAlign w:val="bottom"/>
            <w:hideMark/>
          </w:tcPr>
          <w:p w14:paraId="40DB9C42" w14:textId="77777777" w:rsidR="008C745E" w:rsidRPr="008C745E" w:rsidRDefault="008C745E" w:rsidP="008C745E">
            <w:pPr>
              <w:spacing w:after="0"/>
              <w:ind w:leftChars="75" w:left="150"/>
              <w:rPr>
                <w:rFonts w:ascii="Arial" w:hAnsi="Arial" w:cs="Arial"/>
                <w:b/>
                <w:bCs/>
                <w:sz w:val="16"/>
                <w:szCs w:val="16"/>
              </w:rPr>
            </w:pPr>
            <w:r w:rsidRPr="008C745E">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14:paraId="44066FCF" w14:textId="77777777" w:rsidR="008C745E" w:rsidRPr="008C745E" w:rsidRDefault="008C745E" w:rsidP="008C745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5FC3E40"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78ED0639" w14:textId="77777777" w:rsidR="008C745E" w:rsidRPr="008C745E" w:rsidRDefault="008C745E" w:rsidP="008C745E">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814A4E7" w14:textId="77777777" w:rsidR="008C745E" w:rsidRPr="008C745E" w:rsidRDefault="008C745E" w:rsidP="008C74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B0716DA" w14:textId="77777777" w:rsidR="008C745E" w:rsidRPr="008C745E" w:rsidRDefault="008C745E" w:rsidP="008C745E">
            <w:pPr>
              <w:spacing w:after="0"/>
              <w:jc w:val="right"/>
              <w:rPr>
                <w:rFonts w:ascii="Times New Roman" w:hAnsi="Times New Roman"/>
                <w:color w:val="auto"/>
              </w:rPr>
            </w:pPr>
          </w:p>
        </w:tc>
      </w:tr>
      <w:tr w:rsidR="008C745E" w:rsidRPr="008C745E" w14:paraId="6E0FE1C2"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027E3A04" w14:textId="77777777" w:rsidR="008C745E" w:rsidRPr="008C745E" w:rsidRDefault="008C745E" w:rsidP="008C745E">
            <w:pPr>
              <w:spacing w:after="0"/>
              <w:ind w:firstLineChars="200" w:firstLine="320"/>
              <w:rPr>
                <w:rFonts w:ascii="Arial" w:hAnsi="Arial" w:cs="Arial"/>
                <w:sz w:val="16"/>
                <w:szCs w:val="16"/>
              </w:rPr>
            </w:pPr>
            <w:r w:rsidRPr="008C745E">
              <w:rPr>
                <w:rFonts w:ascii="Arial" w:hAnsi="Arial" w:cs="Arial"/>
                <w:sz w:val="16"/>
                <w:szCs w:val="16"/>
              </w:rPr>
              <w:t>Prepayments</w:t>
            </w:r>
          </w:p>
        </w:tc>
        <w:tc>
          <w:tcPr>
            <w:tcW w:w="900" w:type="dxa"/>
            <w:tcBorders>
              <w:top w:val="nil"/>
              <w:left w:val="nil"/>
              <w:bottom w:val="nil"/>
              <w:right w:val="nil"/>
            </w:tcBorders>
            <w:shd w:val="clear" w:color="auto" w:fill="auto"/>
            <w:noWrap/>
            <w:vAlign w:val="bottom"/>
            <w:hideMark/>
          </w:tcPr>
          <w:p w14:paraId="3F846466"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474</w:t>
            </w:r>
          </w:p>
        </w:tc>
        <w:tc>
          <w:tcPr>
            <w:tcW w:w="900" w:type="dxa"/>
            <w:tcBorders>
              <w:top w:val="nil"/>
              <w:left w:val="nil"/>
              <w:bottom w:val="nil"/>
              <w:right w:val="nil"/>
            </w:tcBorders>
            <w:shd w:val="clear" w:color="000000" w:fill="D9D9D9"/>
            <w:noWrap/>
            <w:vAlign w:val="bottom"/>
            <w:hideMark/>
          </w:tcPr>
          <w:p w14:paraId="550C78B2"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474</w:t>
            </w:r>
          </w:p>
        </w:tc>
        <w:tc>
          <w:tcPr>
            <w:tcW w:w="900" w:type="dxa"/>
            <w:tcBorders>
              <w:top w:val="nil"/>
              <w:left w:val="nil"/>
              <w:bottom w:val="nil"/>
              <w:right w:val="nil"/>
            </w:tcBorders>
            <w:shd w:val="clear" w:color="auto" w:fill="auto"/>
            <w:noWrap/>
            <w:vAlign w:val="bottom"/>
            <w:hideMark/>
          </w:tcPr>
          <w:p w14:paraId="5A7F14C3"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474</w:t>
            </w:r>
          </w:p>
        </w:tc>
        <w:tc>
          <w:tcPr>
            <w:tcW w:w="900" w:type="dxa"/>
            <w:tcBorders>
              <w:top w:val="nil"/>
              <w:left w:val="nil"/>
              <w:bottom w:val="nil"/>
              <w:right w:val="nil"/>
            </w:tcBorders>
            <w:shd w:val="clear" w:color="auto" w:fill="auto"/>
            <w:noWrap/>
            <w:vAlign w:val="bottom"/>
            <w:hideMark/>
          </w:tcPr>
          <w:p w14:paraId="584C5D59"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474</w:t>
            </w:r>
          </w:p>
        </w:tc>
        <w:tc>
          <w:tcPr>
            <w:tcW w:w="900" w:type="dxa"/>
            <w:tcBorders>
              <w:top w:val="nil"/>
              <w:left w:val="nil"/>
              <w:bottom w:val="nil"/>
              <w:right w:val="nil"/>
            </w:tcBorders>
            <w:shd w:val="clear" w:color="auto" w:fill="auto"/>
            <w:noWrap/>
            <w:vAlign w:val="bottom"/>
            <w:hideMark/>
          </w:tcPr>
          <w:p w14:paraId="04A5F760" w14:textId="77777777" w:rsidR="008C745E" w:rsidRPr="008C745E" w:rsidRDefault="008C745E" w:rsidP="008C745E">
            <w:pPr>
              <w:spacing w:after="0"/>
              <w:jc w:val="right"/>
              <w:rPr>
                <w:rFonts w:ascii="Arial" w:hAnsi="Arial" w:cs="Arial"/>
                <w:color w:val="auto"/>
                <w:sz w:val="16"/>
                <w:szCs w:val="16"/>
              </w:rPr>
            </w:pPr>
            <w:r w:rsidRPr="008C745E">
              <w:rPr>
                <w:rFonts w:ascii="Arial" w:hAnsi="Arial" w:cs="Arial"/>
                <w:color w:val="auto"/>
                <w:sz w:val="16"/>
                <w:szCs w:val="16"/>
              </w:rPr>
              <w:t>474</w:t>
            </w:r>
          </w:p>
        </w:tc>
      </w:tr>
      <w:tr w:rsidR="008C745E" w:rsidRPr="008C745E" w14:paraId="5F472839"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7254BF0B" w14:textId="77777777" w:rsidR="008C745E" w:rsidRPr="008C745E" w:rsidRDefault="008C745E" w:rsidP="008C745E">
            <w:pPr>
              <w:spacing w:after="0"/>
              <w:ind w:firstLineChars="200" w:firstLine="320"/>
              <w:rPr>
                <w:rFonts w:ascii="Arial" w:hAnsi="Arial" w:cs="Arial"/>
                <w:b/>
                <w:bCs/>
                <w:sz w:val="16"/>
                <w:szCs w:val="16"/>
              </w:rPr>
            </w:pPr>
            <w:r w:rsidRPr="008C745E">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3831F4AB"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474</w:t>
            </w:r>
          </w:p>
        </w:tc>
        <w:tc>
          <w:tcPr>
            <w:tcW w:w="900" w:type="dxa"/>
            <w:tcBorders>
              <w:top w:val="nil"/>
              <w:left w:val="nil"/>
              <w:bottom w:val="single" w:sz="4" w:space="0" w:color="auto"/>
              <w:right w:val="nil"/>
            </w:tcBorders>
            <w:shd w:val="clear" w:color="000000" w:fill="D9D9D9"/>
            <w:noWrap/>
            <w:vAlign w:val="bottom"/>
            <w:hideMark/>
          </w:tcPr>
          <w:p w14:paraId="6F841EB5"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474</w:t>
            </w:r>
          </w:p>
        </w:tc>
        <w:tc>
          <w:tcPr>
            <w:tcW w:w="900" w:type="dxa"/>
            <w:tcBorders>
              <w:top w:val="nil"/>
              <w:left w:val="nil"/>
              <w:bottom w:val="single" w:sz="4" w:space="0" w:color="auto"/>
              <w:right w:val="nil"/>
            </w:tcBorders>
            <w:shd w:val="clear" w:color="auto" w:fill="auto"/>
            <w:noWrap/>
            <w:vAlign w:val="bottom"/>
            <w:hideMark/>
          </w:tcPr>
          <w:p w14:paraId="3A9AF6BF"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474</w:t>
            </w:r>
          </w:p>
        </w:tc>
        <w:tc>
          <w:tcPr>
            <w:tcW w:w="900" w:type="dxa"/>
            <w:tcBorders>
              <w:top w:val="nil"/>
              <w:left w:val="nil"/>
              <w:bottom w:val="single" w:sz="4" w:space="0" w:color="auto"/>
              <w:right w:val="nil"/>
            </w:tcBorders>
            <w:shd w:val="clear" w:color="auto" w:fill="auto"/>
            <w:noWrap/>
            <w:vAlign w:val="bottom"/>
            <w:hideMark/>
          </w:tcPr>
          <w:p w14:paraId="65F8D3ED"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474</w:t>
            </w:r>
          </w:p>
        </w:tc>
        <w:tc>
          <w:tcPr>
            <w:tcW w:w="900" w:type="dxa"/>
            <w:tcBorders>
              <w:top w:val="nil"/>
              <w:left w:val="nil"/>
              <w:bottom w:val="single" w:sz="4" w:space="0" w:color="auto"/>
              <w:right w:val="nil"/>
            </w:tcBorders>
            <w:shd w:val="clear" w:color="auto" w:fill="auto"/>
            <w:noWrap/>
            <w:vAlign w:val="bottom"/>
            <w:hideMark/>
          </w:tcPr>
          <w:p w14:paraId="15E7236F"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474</w:t>
            </w:r>
          </w:p>
        </w:tc>
      </w:tr>
      <w:tr w:rsidR="008C745E" w:rsidRPr="008C745E" w14:paraId="23A0B715" w14:textId="77777777" w:rsidTr="00A4403D">
        <w:trPr>
          <w:trHeight w:val="425"/>
          <w:jc w:val="center"/>
        </w:trPr>
        <w:tc>
          <w:tcPr>
            <w:tcW w:w="2860" w:type="dxa"/>
            <w:tcBorders>
              <w:top w:val="nil"/>
              <w:left w:val="nil"/>
              <w:bottom w:val="nil"/>
              <w:right w:val="nil"/>
            </w:tcBorders>
            <w:shd w:val="clear" w:color="auto" w:fill="auto"/>
            <w:vAlign w:val="bottom"/>
            <w:hideMark/>
          </w:tcPr>
          <w:p w14:paraId="47DEF6D0" w14:textId="77777777" w:rsidR="008C745E" w:rsidRPr="008C745E" w:rsidRDefault="008C745E" w:rsidP="008C745E">
            <w:pPr>
              <w:spacing w:after="0"/>
              <w:ind w:leftChars="75" w:left="150"/>
              <w:rPr>
                <w:rFonts w:ascii="Arial" w:hAnsi="Arial" w:cs="Arial"/>
                <w:b/>
                <w:bCs/>
                <w:sz w:val="16"/>
                <w:szCs w:val="16"/>
              </w:rPr>
            </w:pPr>
            <w:r w:rsidRPr="008C745E">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FAF56D0"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11,928</w:t>
            </w:r>
          </w:p>
        </w:tc>
        <w:tc>
          <w:tcPr>
            <w:tcW w:w="900" w:type="dxa"/>
            <w:tcBorders>
              <w:top w:val="nil"/>
              <w:left w:val="nil"/>
              <w:bottom w:val="single" w:sz="4" w:space="0" w:color="auto"/>
              <w:right w:val="nil"/>
            </w:tcBorders>
            <w:shd w:val="clear" w:color="000000" w:fill="D9D9D9"/>
            <w:noWrap/>
            <w:vAlign w:val="bottom"/>
            <w:hideMark/>
          </w:tcPr>
          <w:p w14:paraId="14A24DD2" w14:textId="77777777" w:rsidR="008C745E" w:rsidRPr="008C745E" w:rsidRDefault="008C745E" w:rsidP="008C745E">
            <w:pPr>
              <w:spacing w:after="0"/>
              <w:jc w:val="right"/>
              <w:rPr>
                <w:rFonts w:ascii="Arial" w:hAnsi="Arial" w:cs="Arial"/>
                <w:b/>
                <w:bCs/>
                <w:color w:val="auto"/>
                <w:sz w:val="16"/>
                <w:szCs w:val="16"/>
              </w:rPr>
            </w:pPr>
            <w:r w:rsidRPr="008C745E">
              <w:rPr>
                <w:rFonts w:ascii="Arial" w:hAnsi="Arial" w:cs="Arial"/>
                <w:b/>
                <w:bCs/>
                <w:color w:val="auto"/>
                <w:sz w:val="16"/>
                <w:szCs w:val="16"/>
              </w:rPr>
              <w:t>11,928</w:t>
            </w:r>
          </w:p>
        </w:tc>
        <w:tc>
          <w:tcPr>
            <w:tcW w:w="900" w:type="dxa"/>
            <w:tcBorders>
              <w:top w:val="nil"/>
              <w:left w:val="nil"/>
              <w:bottom w:val="single" w:sz="4" w:space="0" w:color="auto"/>
              <w:right w:val="nil"/>
            </w:tcBorders>
            <w:shd w:val="clear" w:color="auto" w:fill="auto"/>
            <w:noWrap/>
            <w:vAlign w:val="bottom"/>
            <w:hideMark/>
          </w:tcPr>
          <w:p w14:paraId="3190261D"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11,928</w:t>
            </w:r>
          </w:p>
        </w:tc>
        <w:tc>
          <w:tcPr>
            <w:tcW w:w="900" w:type="dxa"/>
            <w:tcBorders>
              <w:top w:val="nil"/>
              <w:left w:val="nil"/>
              <w:bottom w:val="single" w:sz="4" w:space="0" w:color="auto"/>
              <w:right w:val="nil"/>
            </w:tcBorders>
            <w:shd w:val="clear" w:color="auto" w:fill="auto"/>
            <w:noWrap/>
            <w:vAlign w:val="bottom"/>
            <w:hideMark/>
          </w:tcPr>
          <w:p w14:paraId="0213028D"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11,928</w:t>
            </w:r>
          </w:p>
        </w:tc>
        <w:tc>
          <w:tcPr>
            <w:tcW w:w="900" w:type="dxa"/>
            <w:tcBorders>
              <w:top w:val="nil"/>
              <w:left w:val="nil"/>
              <w:bottom w:val="single" w:sz="4" w:space="0" w:color="auto"/>
              <w:right w:val="nil"/>
            </w:tcBorders>
            <w:shd w:val="clear" w:color="auto" w:fill="auto"/>
            <w:noWrap/>
            <w:vAlign w:val="bottom"/>
            <w:hideMark/>
          </w:tcPr>
          <w:p w14:paraId="2E5590CC"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11,928</w:t>
            </w:r>
          </w:p>
        </w:tc>
      </w:tr>
      <w:tr w:rsidR="008C745E" w:rsidRPr="008C745E" w14:paraId="561FBD29" w14:textId="77777777" w:rsidTr="00A4403D">
        <w:trPr>
          <w:trHeight w:val="510"/>
          <w:jc w:val="center"/>
        </w:trPr>
        <w:tc>
          <w:tcPr>
            <w:tcW w:w="2860" w:type="dxa"/>
            <w:tcBorders>
              <w:top w:val="nil"/>
              <w:left w:val="nil"/>
              <w:bottom w:val="nil"/>
              <w:right w:val="nil"/>
            </w:tcBorders>
            <w:shd w:val="clear" w:color="auto" w:fill="auto"/>
            <w:vAlign w:val="bottom"/>
            <w:hideMark/>
          </w:tcPr>
          <w:p w14:paraId="679C6A5B" w14:textId="77777777" w:rsidR="008C745E" w:rsidRPr="008C745E" w:rsidRDefault="008C745E" w:rsidP="008C745E">
            <w:pPr>
              <w:spacing w:after="0"/>
              <w:rPr>
                <w:rFonts w:ascii="Arial" w:hAnsi="Arial" w:cs="Arial"/>
                <w:b/>
                <w:bCs/>
                <w:sz w:val="16"/>
                <w:szCs w:val="16"/>
              </w:rPr>
            </w:pPr>
            <w:r w:rsidRPr="008C745E">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76A91B11" w14:textId="77777777" w:rsidR="008C745E" w:rsidRPr="008C745E" w:rsidRDefault="008C745E" w:rsidP="008C745E">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0805E99"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7BA047F" w14:textId="77777777" w:rsidR="008C745E" w:rsidRPr="008C745E" w:rsidRDefault="008C745E" w:rsidP="008C745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64B7212" w14:textId="77777777" w:rsidR="008C745E" w:rsidRPr="008C745E" w:rsidRDefault="008C745E" w:rsidP="008C74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76418FE" w14:textId="77777777" w:rsidR="008C745E" w:rsidRPr="008C745E" w:rsidRDefault="008C745E" w:rsidP="008C745E">
            <w:pPr>
              <w:spacing w:after="0"/>
              <w:jc w:val="right"/>
              <w:rPr>
                <w:rFonts w:ascii="Times New Roman" w:hAnsi="Times New Roman"/>
                <w:color w:val="auto"/>
              </w:rPr>
            </w:pPr>
          </w:p>
        </w:tc>
      </w:tr>
      <w:tr w:rsidR="008C745E" w:rsidRPr="008C745E" w14:paraId="3A2A462D" w14:textId="77777777" w:rsidTr="008C745E">
        <w:trPr>
          <w:trHeight w:val="300"/>
          <w:jc w:val="center"/>
        </w:trPr>
        <w:tc>
          <w:tcPr>
            <w:tcW w:w="2860" w:type="dxa"/>
            <w:tcBorders>
              <w:top w:val="nil"/>
              <w:left w:val="nil"/>
              <w:bottom w:val="nil"/>
              <w:right w:val="nil"/>
            </w:tcBorders>
            <w:shd w:val="clear" w:color="auto" w:fill="auto"/>
            <w:noWrap/>
            <w:vAlign w:val="bottom"/>
            <w:hideMark/>
          </w:tcPr>
          <w:p w14:paraId="1AA8B586" w14:textId="77777777" w:rsidR="008C745E" w:rsidRPr="008C745E" w:rsidRDefault="008C745E" w:rsidP="008C745E">
            <w:pPr>
              <w:spacing w:after="0"/>
              <w:ind w:leftChars="75" w:left="150"/>
              <w:rPr>
                <w:rFonts w:ascii="Arial" w:hAnsi="Arial" w:cs="Arial"/>
                <w:b/>
                <w:bCs/>
                <w:sz w:val="16"/>
                <w:szCs w:val="16"/>
              </w:rPr>
            </w:pPr>
            <w:r w:rsidRPr="008C745E">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5548912C" w14:textId="77777777" w:rsidR="008C745E" w:rsidRPr="008C745E" w:rsidRDefault="008C745E" w:rsidP="008C745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BF6275D"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D510796" w14:textId="77777777" w:rsidR="008C745E" w:rsidRPr="008C745E" w:rsidRDefault="008C745E" w:rsidP="008C745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89CAF13" w14:textId="77777777" w:rsidR="008C745E" w:rsidRPr="008C745E" w:rsidRDefault="008C745E" w:rsidP="008C745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DF564D7" w14:textId="77777777" w:rsidR="008C745E" w:rsidRPr="008C745E" w:rsidRDefault="008C745E" w:rsidP="008C745E">
            <w:pPr>
              <w:spacing w:after="0"/>
              <w:jc w:val="right"/>
              <w:rPr>
                <w:rFonts w:ascii="Times New Roman" w:hAnsi="Times New Roman"/>
                <w:color w:val="auto"/>
              </w:rPr>
            </w:pPr>
          </w:p>
        </w:tc>
      </w:tr>
      <w:tr w:rsidR="008C745E" w:rsidRPr="008C745E" w14:paraId="17738B77"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02D2FD6D" w14:textId="77777777" w:rsidR="008C745E" w:rsidRPr="008C745E" w:rsidRDefault="008C745E" w:rsidP="008C745E">
            <w:pPr>
              <w:spacing w:after="0"/>
              <w:ind w:firstLineChars="200" w:firstLine="320"/>
              <w:rPr>
                <w:rFonts w:ascii="Arial" w:hAnsi="Arial" w:cs="Arial"/>
                <w:color w:val="auto"/>
                <w:sz w:val="16"/>
                <w:szCs w:val="16"/>
              </w:rPr>
            </w:pPr>
            <w:r w:rsidRPr="008C745E">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7350E03D"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11,241</w:t>
            </w:r>
          </w:p>
        </w:tc>
        <w:tc>
          <w:tcPr>
            <w:tcW w:w="900" w:type="dxa"/>
            <w:tcBorders>
              <w:top w:val="nil"/>
              <w:left w:val="nil"/>
              <w:bottom w:val="nil"/>
              <w:right w:val="nil"/>
            </w:tcBorders>
            <w:shd w:val="clear" w:color="000000" w:fill="D9D9D9"/>
            <w:noWrap/>
            <w:vAlign w:val="bottom"/>
            <w:hideMark/>
          </w:tcPr>
          <w:p w14:paraId="00B7735C"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11,241</w:t>
            </w:r>
          </w:p>
        </w:tc>
        <w:tc>
          <w:tcPr>
            <w:tcW w:w="900" w:type="dxa"/>
            <w:tcBorders>
              <w:top w:val="nil"/>
              <w:left w:val="nil"/>
              <w:bottom w:val="nil"/>
              <w:right w:val="nil"/>
            </w:tcBorders>
            <w:shd w:val="clear" w:color="auto" w:fill="auto"/>
            <w:noWrap/>
            <w:vAlign w:val="bottom"/>
            <w:hideMark/>
          </w:tcPr>
          <w:p w14:paraId="18D149E5"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11,241</w:t>
            </w:r>
          </w:p>
        </w:tc>
        <w:tc>
          <w:tcPr>
            <w:tcW w:w="900" w:type="dxa"/>
            <w:tcBorders>
              <w:top w:val="nil"/>
              <w:left w:val="nil"/>
              <w:bottom w:val="nil"/>
              <w:right w:val="nil"/>
            </w:tcBorders>
            <w:shd w:val="clear" w:color="auto" w:fill="auto"/>
            <w:noWrap/>
            <w:vAlign w:val="bottom"/>
            <w:hideMark/>
          </w:tcPr>
          <w:p w14:paraId="300C95E2"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11,241</w:t>
            </w:r>
          </w:p>
        </w:tc>
        <w:tc>
          <w:tcPr>
            <w:tcW w:w="900" w:type="dxa"/>
            <w:tcBorders>
              <w:top w:val="nil"/>
              <w:left w:val="nil"/>
              <w:bottom w:val="nil"/>
              <w:right w:val="nil"/>
            </w:tcBorders>
            <w:shd w:val="clear" w:color="auto" w:fill="auto"/>
            <w:noWrap/>
            <w:vAlign w:val="bottom"/>
            <w:hideMark/>
          </w:tcPr>
          <w:p w14:paraId="6DDECD36"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11,241</w:t>
            </w:r>
          </w:p>
        </w:tc>
      </w:tr>
      <w:tr w:rsidR="008C745E" w:rsidRPr="008C745E" w14:paraId="0511C0FD"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46BA133F" w14:textId="77777777" w:rsidR="008C745E" w:rsidRPr="008C745E" w:rsidRDefault="008C745E" w:rsidP="008C745E">
            <w:pPr>
              <w:spacing w:after="0"/>
              <w:ind w:firstLineChars="200" w:firstLine="320"/>
              <w:rPr>
                <w:rFonts w:ascii="Arial" w:hAnsi="Arial" w:cs="Arial"/>
                <w:sz w:val="16"/>
                <w:szCs w:val="16"/>
              </w:rPr>
            </w:pPr>
            <w:r w:rsidRPr="008C745E">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6B812882"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240</w:t>
            </w:r>
          </w:p>
        </w:tc>
        <w:tc>
          <w:tcPr>
            <w:tcW w:w="900" w:type="dxa"/>
            <w:tcBorders>
              <w:top w:val="nil"/>
              <w:left w:val="nil"/>
              <w:bottom w:val="nil"/>
              <w:right w:val="nil"/>
            </w:tcBorders>
            <w:shd w:val="clear" w:color="000000" w:fill="D9D9D9"/>
            <w:noWrap/>
            <w:vAlign w:val="bottom"/>
            <w:hideMark/>
          </w:tcPr>
          <w:p w14:paraId="54FBEE26"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240</w:t>
            </w:r>
          </w:p>
        </w:tc>
        <w:tc>
          <w:tcPr>
            <w:tcW w:w="900" w:type="dxa"/>
            <w:tcBorders>
              <w:top w:val="nil"/>
              <w:left w:val="nil"/>
              <w:bottom w:val="nil"/>
              <w:right w:val="nil"/>
            </w:tcBorders>
            <w:shd w:val="clear" w:color="auto" w:fill="auto"/>
            <w:noWrap/>
            <w:vAlign w:val="bottom"/>
            <w:hideMark/>
          </w:tcPr>
          <w:p w14:paraId="5FEC096F"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240</w:t>
            </w:r>
          </w:p>
        </w:tc>
        <w:tc>
          <w:tcPr>
            <w:tcW w:w="900" w:type="dxa"/>
            <w:tcBorders>
              <w:top w:val="nil"/>
              <w:left w:val="nil"/>
              <w:bottom w:val="nil"/>
              <w:right w:val="nil"/>
            </w:tcBorders>
            <w:shd w:val="clear" w:color="auto" w:fill="auto"/>
            <w:noWrap/>
            <w:vAlign w:val="bottom"/>
            <w:hideMark/>
          </w:tcPr>
          <w:p w14:paraId="7D32DB29"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240</w:t>
            </w:r>
          </w:p>
        </w:tc>
        <w:tc>
          <w:tcPr>
            <w:tcW w:w="900" w:type="dxa"/>
            <w:tcBorders>
              <w:top w:val="nil"/>
              <w:left w:val="nil"/>
              <w:bottom w:val="nil"/>
              <w:right w:val="nil"/>
            </w:tcBorders>
            <w:shd w:val="clear" w:color="auto" w:fill="auto"/>
            <w:noWrap/>
            <w:vAlign w:val="bottom"/>
            <w:hideMark/>
          </w:tcPr>
          <w:p w14:paraId="230EAD0E" w14:textId="77777777" w:rsidR="008C745E" w:rsidRPr="008C745E" w:rsidRDefault="008C745E" w:rsidP="008C745E">
            <w:pPr>
              <w:spacing w:after="0"/>
              <w:jc w:val="right"/>
              <w:rPr>
                <w:rFonts w:ascii="Arial" w:hAnsi="Arial" w:cs="Arial"/>
                <w:sz w:val="16"/>
                <w:szCs w:val="16"/>
              </w:rPr>
            </w:pPr>
            <w:r w:rsidRPr="008C745E">
              <w:rPr>
                <w:rFonts w:ascii="Arial" w:hAnsi="Arial" w:cs="Arial"/>
                <w:sz w:val="16"/>
                <w:szCs w:val="16"/>
              </w:rPr>
              <w:t>240</w:t>
            </w:r>
          </w:p>
        </w:tc>
      </w:tr>
      <w:tr w:rsidR="008C745E" w:rsidRPr="008C745E" w14:paraId="5EE36C13" w14:textId="77777777" w:rsidTr="008C745E">
        <w:trPr>
          <w:trHeight w:val="225"/>
          <w:jc w:val="center"/>
        </w:trPr>
        <w:tc>
          <w:tcPr>
            <w:tcW w:w="2860" w:type="dxa"/>
            <w:tcBorders>
              <w:top w:val="nil"/>
              <w:left w:val="nil"/>
              <w:bottom w:val="nil"/>
              <w:right w:val="nil"/>
            </w:tcBorders>
            <w:shd w:val="clear" w:color="auto" w:fill="auto"/>
            <w:noWrap/>
            <w:vAlign w:val="bottom"/>
            <w:hideMark/>
          </w:tcPr>
          <w:p w14:paraId="152567A7" w14:textId="77777777" w:rsidR="008C745E" w:rsidRPr="008C745E" w:rsidRDefault="008C745E" w:rsidP="008C745E">
            <w:pPr>
              <w:spacing w:after="0"/>
              <w:ind w:firstLineChars="200" w:firstLine="320"/>
              <w:rPr>
                <w:rFonts w:ascii="Arial" w:hAnsi="Arial" w:cs="Arial"/>
                <w:b/>
                <w:bCs/>
                <w:sz w:val="16"/>
                <w:szCs w:val="16"/>
              </w:rPr>
            </w:pPr>
            <w:r w:rsidRPr="008C745E">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57063EEB"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000000" w:fill="D9D9D9"/>
            <w:noWrap/>
            <w:vAlign w:val="bottom"/>
            <w:hideMark/>
          </w:tcPr>
          <w:p w14:paraId="25A8A1A1"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auto" w:fill="auto"/>
            <w:noWrap/>
            <w:vAlign w:val="bottom"/>
            <w:hideMark/>
          </w:tcPr>
          <w:p w14:paraId="514D5250"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auto" w:fill="auto"/>
            <w:noWrap/>
            <w:vAlign w:val="bottom"/>
            <w:hideMark/>
          </w:tcPr>
          <w:p w14:paraId="1E5BA314"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auto" w:fill="auto"/>
            <w:noWrap/>
            <w:vAlign w:val="bottom"/>
            <w:hideMark/>
          </w:tcPr>
          <w:p w14:paraId="3C8BEBD7"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r>
      <w:tr w:rsidR="008C745E" w:rsidRPr="008C745E" w14:paraId="5B050B09" w14:textId="77777777" w:rsidTr="008C745E">
        <w:trPr>
          <w:trHeight w:val="454"/>
          <w:jc w:val="center"/>
        </w:trPr>
        <w:tc>
          <w:tcPr>
            <w:tcW w:w="2860" w:type="dxa"/>
            <w:tcBorders>
              <w:top w:val="nil"/>
              <w:left w:val="nil"/>
              <w:bottom w:val="single" w:sz="4" w:space="0" w:color="auto"/>
              <w:right w:val="nil"/>
            </w:tcBorders>
            <w:shd w:val="clear" w:color="auto" w:fill="auto"/>
            <w:vAlign w:val="bottom"/>
            <w:hideMark/>
          </w:tcPr>
          <w:p w14:paraId="55B5EDFE" w14:textId="77777777" w:rsidR="008C745E" w:rsidRPr="008C745E" w:rsidRDefault="008C745E" w:rsidP="008C745E">
            <w:pPr>
              <w:spacing w:after="0"/>
              <w:ind w:leftChars="75" w:left="150"/>
              <w:rPr>
                <w:rFonts w:ascii="Arial" w:hAnsi="Arial" w:cs="Arial"/>
                <w:b/>
                <w:bCs/>
                <w:sz w:val="16"/>
                <w:szCs w:val="16"/>
              </w:rPr>
            </w:pPr>
            <w:r w:rsidRPr="008C745E">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F7801FD"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000000" w:fill="D9D9D9"/>
            <w:noWrap/>
            <w:vAlign w:val="bottom"/>
            <w:hideMark/>
          </w:tcPr>
          <w:p w14:paraId="79F12325"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auto" w:fill="auto"/>
            <w:noWrap/>
            <w:vAlign w:val="bottom"/>
            <w:hideMark/>
          </w:tcPr>
          <w:p w14:paraId="32DE3349"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auto" w:fill="auto"/>
            <w:noWrap/>
            <w:vAlign w:val="bottom"/>
            <w:hideMark/>
          </w:tcPr>
          <w:p w14:paraId="11624047"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c>
          <w:tcPr>
            <w:tcW w:w="900" w:type="dxa"/>
            <w:tcBorders>
              <w:top w:val="nil"/>
              <w:left w:val="nil"/>
              <w:bottom w:val="single" w:sz="4" w:space="0" w:color="auto"/>
              <w:right w:val="nil"/>
            </w:tcBorders>
            <w:shd w:val="clear" w:color="auto" w:fill="auto"/>
            <w:noWrap/>
            <w:vAlign w:val="bottom"/>
            <w:hideMark/>
          </w:tcPr>
          <w:p w14:paraId="0148A596" w14:textId="77777777" w:rsidR="008C745E" w:rsidRPr="008C745E" w:rsidRDefault="008C745E" w:rsidP="008C745E">
            <w:pPr>
              <w:spacing w:after="0"/>
              <w:jc w:val="right"/>
              <w:rPr>
                <w:rFonts w:ascii="Arial" w:hAnsi="Arial" w:cs="Arial"/>
                <w:b/>
                <w:bCs/>
                <w:sz w:val="16"/>
                <w:szCs w:val="16"/>
              </w:rPr>
            </w:pPr>
            <w:r w:rsidRPr="008C745E">
              <w:rPr>
                <w:rFonts w:ascii="Arial" w:hAnsi="Arial" w:cs="Arial"/>
                <w:b/>
                <w:bCs/>
                <w:sz w:val="16"/>
                <w:szCs w:val="16"/>
              </w:rPr>
              <w:t>11,481</w:t>
            </w:r>
          </w:p>
        </w:tc>
      </w:tr>
    </w:tbl>
    <w:p w14:paraId="19EABA80" w14:textId="77777777" w:rsidR="008C745E" w:rsidRDefault="008C745E">
      <w:pPr>
        <w:spacing w:after="160" w:line="259" w:lineRule="auto"/>
        <w:rPr>
          <w:rFonts w:ascii="Arial" w:hAnsi="Arial" w:cs="Arial"/>
          <w:b/>
          <w:color w:val="000000" w:themeColor="text1"/>
          <w:szCs w:val="18"/>
          <w:lang w:eastAsia="en-US"/>
        </w:rPr>
      </w:pPr>
      <w:r>
        <w:rPr>
          <w:color w:val="000000" w:themeColor="text1"/>
        </w:rPr>
        <w:br w:type="page"/>
      </w:r>
    </w:p>
    <w:p w14:paraId="16A0DC6B" w14:textId="4887B9AB" w:rsidR="00335A4B" w:rsidRDefault="00335A4B" w:rsidP="00335A4B">
      <w:pPr>
        <w:pStyle w:val="Tablenumberandreference"/>
        <w:rPr>
          <w:color w:val="000000" w:themeColor="text1"/>
        </w:rPr>
      </w:pPr>
      <w:r w:rsidRPr="00EE76CA">
        <w:rPr>
          <w:color w:val="000000" w:themeColor="text1"/>
        </w:rPr>
        <w:lastRenderedPageBreak/>
        <w:t>Table 3.9: Schedule of Budgeted Administered Cash Flows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461397" w:rsidRPr="00461397" w14:paraId="4293948E" w14:textId="77777777" w:rsidTr="00461397">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60BB0D1" w14:textId="77777777" w:rsidR="00461397" w:rsidRPr="00461397" w:rsidRDefault="00461397" w:rsidP="00461397">
            <w:pPr>
              <w:spacing w:before="40" w:after="0"/>
              <w:jc w:val="right"/>
              <w:rPr>
                <w:rFonts w:ascii="Arial" w:hAnsi="Arial" w:cs="Arial"/>
                <w:b/>
                <w:bCs/>
                <w:color w:val="auto"/>
                <w:sz w:val="16"/>
                <w:szCs w:val="16"/>
              </w:rPr>
            </w:pPr>
            <w:r w:rsidRPr="0046139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98B22CF" w14:textId="77777777" w:rsidR="00461397" w:rsidRPr="00461397" w:rsidRDefault="00461397" w:rsidP="00461397">
            <w:pPr>
              <w:spacing w:before="40" w:after="0"/>
              <w:jc w:val="right"/>
              <w:rPr>
                <w:rFonts w:ascii="Arial" w:hAnsi="Arial" w:cs="Arial"/>
                <w:b/>
                <w:bCs/>
                <w:color w:val="auto"/>
                <w:sz w:val="16"/>
                <w:szCs w:val="16"/>
              </w:rPr>
            </w:pPr>
            <w:r w:rsidRPr="00461397">
              <w:rPr>
                <w:rFonts w:ascii="Arial" w:hAnsi="Arial" w:cs="Arial"/>
                <w:b/>
                <w:bCs/>
                <w:color w:val="auto"/>
                <w:sz w:val="16"/>
                <w:szCs w:val="16"/>
              </w:rPr>
              <w:t>2021–22 Estimated actual</w:t>
            </w:r>
            <w:r w:rsidRPr="00461397">
              <w:rPr>
                <w:rFonts w:ascii="Arial" w:hAnsi="Arial" w:cs="Arial"/>
                <w:b/>
                <w:bCs/>
                <w:color w:val="auto"/>
                <w:sz w:val="16"/>
                <w:szCs w:val="16"/>
              </w:rPr>
              <w:br/>
            </w:r>
            <w:r w:rsidRPr="0046139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9C333B7" w14:textId="77777777" w:rsidR="00461397" w:rsidRPr="00461397" w:rsidRDefault="00461397" w:rsidP="00461397">
            <w:pPr>
              <w:spacing w:before="40" w:after="0"/>
              <w:jc w:val="right"/>
              <w:rPr>
                <w:rFonts w:ascii="Arial" w:hAnsi="Arial" w:cs="Arial"/>
                <w:b/>
                <w:bCs/>
                <w:color w:val="auto"/>
                <w:sz w:val="16"/>
                <w:szCs w:val="16"/>
              </w:rPr>
            </w:pPr>
            <w:r w:rsidRPr="00461397">
              <w:rPr>
                <w:rFonts w:ascii="Arial" w:hAnsi="Arial" w:cs="Arial"/>
                <w:b/>
                <w:bCs/>
                <w:color w:val="auto"/>
                <w:sz w:val="16"/>
                <w:szCs w:val="16"/>
              </w:rPr>
              <w:t xml:space="preserve">2022–23 Budget </w:t>
            </w:r>
            <w:r w:rsidRPr="00461397">
              <w:rPr>
                <w:rFonts w:ascii="Arial" w:hAnsi="Arial" w:cs="Arial"/>
                <w:b/>
                <w:bCs/>
                <w:color w:val="auto"/>
                <w:sz w:val="16"/>
                <w:szCs w:val="16"/>
              </w:rPr>
              <w:br/>
            </w:r>
            <w:r w:rsidRPr="00461397">
              <w:rPr>
                <w:rFonts w:ascii="Arial" w:hAnsi="Arial" w:cs="Arial"/>
                <w:b/>
                <w:bCs/>
                <w:color w:val="auto"/>
                <w:sz w:val="16"/>
                <w:szCs w:val="16"/>
              </w:rPr>
              <w:br/>
            </w:r>
            <w:r w:rsidRPr="0046139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0A3EF7C" w14:textId="77777777" w:rsidR="00461397" w:rsidRPr="00461397" w:rsidRDefault="00461397" w:rsidP="00461397">
            <w:pPr>
              <w:spacing w:before="40" w:after="0"/>
              <w:jc w:val="right"/>
              <w:rPr>
                <w:rFonts w:ascii="Arial" w:hAnsi="Arial" w:cs="Arial"/>
                <w:b/>
                <w:bCs/>
                <w:color w:val="auto"/>
                <w:sz w:val="16"/>
                <w:szCs w:val="16"/>
              </w:rPr>
            </w:pPr>
            <w:r w:rsidRPr="00461397">
              <w:rPr>
                <w:rFonts w:ascii="Arial" w:hAnsi="Arial" w:cs="Arial"/>
                <w:b/>
                <w:bCs/>
                <w:color w:val="auto"/>
                <w:sz w:val="16"/>
                <w:szCs w:val="16"/>
              </w:rPr>
              <w:t>2023–24 Forward estimate</w:t>
            </w:r>
            <w:r w:rsidRPr="00461397">
              <w:rPr>
                <w:rFonts w:ascii="Arial" w:hAnsi="Arial" w:cs="Arial"/>
                <w:b/>
                <w:bCs/>
                <w:color w:val="auto"/>
                <w:sz w:val="16"/>
                <w:szCs w:val="16"/>
              </w:rPr>
              <w:br/>
            </w:r>
            <w:r w:rsidRPr="0046139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C275990" w14:textId="77777777" w:rsidR="00461397" w:rsidRPr="00461397" w:rsidRDefault="00461397" w:rsidP="00461397">
            <w:pPr>
              <w:spacing w:before="40" w:after="0"/>
              <w:jc w:val="right"/>
              <w:rPr>
                <w:rFonts w:ascii="Arial" w:hAnsi="Arial" w:cs="Arial"/>
                <w:b/>
                <w:bCs/>
                <w:color w:val="auto"/>
                <w:sz w:val="16"/>
                <w:szCs w:val="16"/>
              </w:rPr>
            </w:pPr>
            <w:r w:rsidRPr="00461397">
              <w:rPr>
                <w:rFonts w:ascii="Arial" w:hAnsi="Arial" w:cs="Arial"/>
                <w:b/>
                <w:bCs/>
                <w:color w:val="auto"/>
                <w:sz w:val="16"/>
                <w:szCs w:val="16"/>
              </w:rPr>
              <w:t>2024–25 Forward estimate</w:t>
            </w:r>
            <w:r w:rsidRPr="00461397">
              <w:rPr>
                <w:rFonts w:ascii="Arial" w:hAnsi="Arial" w:cs="Arial"/>
                <w:b/>
                <w:bCs/>
                <w:color w:val="auto"/>
                <w:sz w:val="16"/>
                <w:szCs w:val="16"/>
              </w:rPr>
              <w:br/>
            </w:r>
            <w:r w:rsidRPr="0046139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CA3CA45" w14:textId="77777777" w:rsidR="00461397" w:rsidRPr="00461397" w:rsidRDefault="00461397" w:rsidP="00461397">
            <w:pPr>
              <w:spacing w:before="40" w:after="0"/>
              <w:jc w:val="right"/>
              <w:rPr>
                <w:rFonts w:ascii="Arial" w:hAnsi="Arial" w:cs="Arial"/>
                <w:b/>
                <w:bCs/>
                <w:color w:val="auto"/>
                <w:sz w:val="16"/>
                <w:szCs w:val="16"/>
              </w:rPr>
            </w:pPr>
            <w:r w:rsidRPr="00461397">
              <w:rPr>
                <w:rFonts w:ascii="Arial" w:hAnsi="Arial" w:cs="Arial"/>
                <w:b/>
                <w:bCs/>
                <w:color w:val="auto"/>
                <w:sz w:val="16"/>
                <w:szCs w:val="16"/>
              </w:rPr>
              <w:t>2025–26 Forward estimate</w:t>
            </w:r>
            <w:r w:rsidRPr="00461397">
              <w:rPr>
                <w:rFonts w:ascii="Arial" w:hAnsi="Arial" w:cs="Arial"/>
                <w:b/>
                <w:bCs/>
                <w:color w:val="auto"/>
                <w:sz w:val="16"/>
                <w:szCs w:val="16"/>
              </w:rPr>
              <w:br/>
            </w:r>
            <w:r w:rsidRPr="00461397">
              <w:rPr>
                <w:rFonts w:ascii="Arial" w:hAnsi="Arial" w:cs="Arial"/>
                <w:color w:val="auto"/>
                <w:sz w:val="16"/>
                <w:szCs w:val="16"/>
              </w:rPr>
              <w:t>$'000</w:t>
            </w:r>
          </w:p>
        </w:tc>
      </w:tr>
      <w:tr w:rsidR="00461397" w:rsidRPr="00461397" w14:paraId="69B9AEBE"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32B6DD1C" w14:textId="77777777" w:rsidR="00461397" w:rsidRPr="00461397" w:rsidRDefault="00461397" w:rsidP="00461397">
            <w:pPr>
              <w:spacing w:after="0"/>
              <w:rPr>
                <w:rFonts w:ascii="Arial" w:hAnsi="Arial" w:cs="Arial"/>
                <w:b/>
                <w:bCs/>
                <w:sz w:val="16"/>
                <w:szCs w:val="16"/>
              </w:rPr>
            </w:pPr>
            <w:r w:rsidRPr="00461397">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2C4D46A0"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2B9B3E98"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DBD1838"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A5715BA"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9E9644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r>
      <w:tr w:rsidR="00461397" w:rsidRPr="00461397" w14:paraId="137CB5C7"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1371A7E3" w14:textId="77777777" w:rsidR="00461397" w:rsidRPr="00461397" w:rsidRDefault="00461397" w:rsidP="00461397">
            <w:pPr>
              <w:spacing w:after="0"/>
              <w:ind w:leftChars="75" w:left="150"/>
              <w:rPr>
                <w:rFonts w:ascii="Arial" w:hAnsi="Arial" w:cs="Arial"/>
                <w:b/>
                <w:bCs/>
                <w:sz w:val="16"/>
                <w:szCs w:val="16"/>
              </w:rPr>
            </w:pPr>
            <w:r w:rsidRPr="00461397">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0A42626B" w14:textId="77777777" w:rsidR="00461397" w:rsidRPr="00461397" w:rsidRDefault="00461397" w:rsidP="0046139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FC66A21"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9E243DC" w14:textId="77777777" w:rsidR="00461397" w:rsidRPr="00461397" w:rsidRDefault="00461397" w:rsidP="004613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85240E4" w14:textId="77777777" w:rsidR="00461397" w:rsidRPr="00461397" w:rsidRDefault="00461397" w:rsidP="0046139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69028DE" w14:textId="77777777" w:rsidR="00461397" w:rsidRPr="00461397" w:rsidRDefault="00461397" w:rsidP="00461397">
            <w:pPr>
              <w:spacing w:after="0"/>
              <w:jc w:val="right"/>
              <w:rPr>
                <w:rFonts w:ascii="Times New Roman" w:hAnsi="Times New Roman"/>
                <w:color w:val="auto"/>
              </w:rPr>
            </w:pPr>
          </w:p>
        </w:tc>
      </w:tr>
      <w:tr w:rsidR="00461397" w:rsidRPr="00461397" w14:paraId="799CF520"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325640C7" w14:textId="77777777" w:rsidR="00461397" w:rsidRPr="00461397" w:rsidRDefault="00461397" w:rsidP="00461397">
            <w:pPr>
              <w:spacing w:after="0"/>
              <w:ind w:firstLineChars="200" w:firstLine="320"/>
              <w:rPr>
                <w:rFonts w:ascii="Arial" w:hAnsi="Arial" w:cs="Arial"/>
                <w:color w:val="auto"/>
                <w:sz w:val="16"/>
                <w:szCs w:val="16"/>
              </w:rPr>
            </w:pPr>
            <w:r w:rsidRPr="00461397">
              <w:rPr>
                <w:rFonts w:ascii="Arial" w:hAnsi="Arial" w:cs="Arial"/>
                <w:color w:val="auto"/>
                <w:sz w:val="16"/>
                <w:szCs w:val="16"/>
              </w:rPr>
              <w:t>GST received</w:t>
            </w:r>
          </w:p>
        </w:tc>
        <w:tc>
          <w:tcPr>
            <w:tcW w:w="900" w:type="dxa"/>
            <w:tcBorders>
              <w:top w:val="nil"/>
              <w:left w:val="nil"/>
              <w:bottom w:val="nil"/>
              <w:right w:val="nil"/>
            </w:tcBorders>
            <w:shd w:val="clear" w:color="auto" w:fill="auto"/>
            <w:noWrap/>
            <w:vAlign w:val="bottom"/>
            <w:hideMark/>
          </w:tcPr>
          <w:p w14:paraId="31FFCF96"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752</w:t>
            </w:r>
          </w:p>
        </w:tc>
        <w:tc>
          <w:tcPr>
            <w:tcW w:w="900" w:type="dxa"/>
            <w:tcBorders>
              <w:top w:val="nil"/>
              <w:left w:val="nil"/>
              <w:bottom w:val="nil"/>
              <w:right w:val="nil"/>
            </w:tcBorders>
            <w:shd w:val="clear" w:color="000000" w:fill="D9D9D9"/>
            <w:noWrap/>
            <w:vAlign w:val="bottom"/>
            <w:hideMark/>
          </w:tcPr>
          <w:p w14:paraId="3DCB774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41AC753A"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101A0B03"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52253CDE"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r>
      <w:tr w:rsidR="00461397" w:rsidRPr="00461397" w14:paraId="265DE7D1"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1574BCB8" w14:textId="77777777" w:rsidR="00461397" w:rsidRPr="00461397" w:rsidRDefault="00461397" w:rsidP="00461397">
            <w:pPr>
              <w:spacing w:after="0"/>
              <w:ind w:firstLineChars="200" w:firstLine="320"/>
              <w:rPr>
                <w:rFonts w:ascii="Arial" w:hAnsi="Arial" w:cs="Arial"/>
                <w:color w:val="auto"/>
                <w:sz w:val="16"/>
                <w:szCs w:val="16"/>
              </w:rPr>
            </w:pPr>
            <w:r w:rsidRPr="00461397">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3A78AE7E"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42CAF4D6"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F1F8024"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683F370"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F1F1463"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w:t>
            </w:r>
          </w:p>
        </w:tc>
      </w:tr>
      <w:tr w:rsidR="00461397" w:rsidRPr="00461397" w14:paraId="7FB682F9"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7B930C32" w14:textId="77777777" w:rsidR="00461397" w:rsidRPr="00461397" w:rsidRDefault="00461397" w:rsidP="00461397">
            <w:pPr>
              <w:spacing w:after="0"/>
              <w:ind w:firstLineChars="200" w:firstLine="320"/>
              <w:rPr>
                <w:rFonts w:ascii="Arial" w:hAnsi="Arial" w:cs="Arial"/>
                <w:b/>
                <w:bCs/>
                <w:sz w:val="16"/>
                <w:szCs w:val="16"/>
              </w:rPr>
            </w:pPr>
            <w:r w:rsidRPr="00461397">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5347E11C"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752</w:t>
            </w:r>
          </w:p>
        </w:tc>
        <w:tc>
          <w:tcPr>
            <w:tcW w:w="900" w:type="dxa"/>
            <w:tcBorders>
              <w:top w:val="nil"/>
              <w:left w:val="nil"/>
              <w:bottom w:val="single" w:sz="4" w:space="0" w:color="auto"/>
              <w:right w:val="nil"/>
            </w:tcBorders>
            <w:shd w:val="clear" w:color="000000" w:fill="D9D9D9"/>
            <w:noWrap/>
            <w:vAlign w:val="bottom"/>
            <w:hideMark/>
          </w:tcPr>
          <w:p w14:paraId="0793CE42"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4C5C80B5"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13C28B94"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29716EDB"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750</w:t>
            </w:r>
          </w:p>
        </w:tc>
      </w:tr>
      <w:tr w:rsidR="00461397" w:rsidRPr="00461397" w14:paraId="34764679" w14:textId="77777777" w:rsidTr="00461397">
        <w:trPr>
          <w:trHeight w:val="300"/>
          <w:jc w:val="center"/>
        </w:trPr>
        <w:tc>
          <w:tcPr>
            <w:tcW w:w="2860" w:type="dxa"/>
            <w:tcBorders>
              <w:top w:val="nil"/>
              <w:left w:val="nil"/>
              <w:bottom w:val="nil"/>
              <w:right w:val="nil"/>
            </w:tcBorders>
            <w:shd w:val="clear" w:color="auto" w:fill="auto"/>
            <w:noWrap/>
            <w:vAlign w:val="bottom"/>
            <w:hideMark/>
          </w:tcPr>
          <w:p w14:paraId="17CB8C3C" w14:textId="77777777" w:rsidR="00461397" w:rsidRPr="00461397" w:rsidRDefault="00461397" w:rsidP="00461397">
            <w:pPr>
              <w:spacing w:after="0"/>
              <w:ind w:leftChars="75" w:left="150"/>
              <w:rPr>
                <w:rFonts w:ascii="Arial" w:hAnsi="Arial" w:cs="Arial"/>
                <w:b/>
                <w:bCs/>
                <w:sz w:val="16"/>
                <w:szCs w:val="16"/>
              </w:rPr>
            </w:pPr>
            <w:r w:rsidRPr="00461397">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76CFA459" w14:textId="77777777" w:rsidR="00461397" w:rsidRPr="00461397" w:rsidRDefault="00461397" w:rsidP="0046139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6E0E046"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C088D4F" w14:textId="77777777" w:rsidR="00461397" w:rsidRPr="00461397" w:rsidRDefault="00461397" w:rsidP="004613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F21EC28" w14:textId="77777777" w:rsidR="00461397" w:rsidRPr="00461397" w:rsidRDefault="00461397" w:rsidP="0046139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36DC047" w14:textId="77777777" w:rsidR="00461397" w:rsidRPr="00461397" w:rsidRDefault="00461397" w:rsidP="00461397">
            <w:pPr>
              <w:spacing w:after="0"/>
              <w:jc w:val="right"/>
              <w:rPr>
                <w:rFonts w:ascii="Times New Roman" w:hAnsi="Times New Roman"/>
                <w:color w:val="auto"/>
              </w:rPr>
            </w:pPr>
          </w:p>
        </w:tc>
      </w:tr>
      <w:tr w:rsidR="00461397" w:rsidRPr="00461397" w14:paraId="00E1EEA0"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387A7244" w14:textId="77777777" w:rsidR="00461397" w:rsidRPr="00461397" w:rsidRDefault="00461397" w:rsidP="00461397">
            <w:pPr>
              <w:spacing w:after="0"/>
              <w:ind w:firstLineChars="200" w:firstLine="320"/>
              <w:rPr>
                <w:rFonts w:ascii="Arial" w:hAnsi="Arial" w:cs="Arial"/>
                <w:color w:val="auto"/>
                <w:sz w:val="16"/>
                <w:szCs w:val="16"/>
              </w:rPr>
            </w:pPr>
            <w:r w:rsidRPr="00461397">
              <w:rPr>
                <w:rFonts w:ascii="Arial" w:hAnsi="Arial" w:cs="Arial"/>
                <w:color w:val="auto"/>
                <w:sz w:val="16"/>
                <w:szCs w:val="16"/>
              </w:rPr>
              <w:t>Grant payments</w:t>
            </w:r>
          </w:p>
        </w:tc>
        <w:tc>
          <w:tcPr>
            <w:tcW w:w="900" w:type="dxa"/>
            <w:tcBorders>
              <w:top w:val="nil"/>
              <w:left w:val="nil"/>
              <w:bottom w:val="nil"/>
              <w:right w:val="nil"/>
            </w:tcBorders>
            <w:shd w:val="clear" w:color="auto" w:fill="auto"/>
            <w:noWrap/>
            <w:vAlign w:val="bottom"/>
            <w:hideMark/>
          </w:tcPr>
          <w:p w14:paraId="4C7E5A2B"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43,532</w:t>
            </w:r>
          </w:p>
        </w:tc>
        <w:tc>
          <w:tcPr>
            <w:tcW w:w="900" w:type="dxa"/>
            <w:tcBorders>
              <w:top w:val="nil"/>
              <w:left w:val="nil"/>
              <w:bottom w:val="nil"/>
              <w:right w:val="nil"/>
            </w:tcBorders>
            <w:shd w:val="clear" w:color="000000" w:fill="D9D9D9"/>
            <w:noWrap/>
            <w:vAlign w:val="bottom"/>
            <w:hideMark/>
          </w:tcPr>
          <w:p w14:paraId="2655F7B1"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43,882</w:t>
            </w:r>
          </w:p>
        </w:tc>
        <w:tc>
          <w:tcPr>
            <w:tcW w:w="900" w:type="dxa"/>
            <w:tcBorders>
              <w:top w:val="nil"/>
              <w:left w:val="nil"/>
              <w:bottom w:val="nil"/>
              <w:right w:val="nil"/>
            </w:tcBorders>
            <w:shd w:val="clear" w:color="auto" w:fill="auto"/>
            <w:noWrap/>
            <w:vAlign w:val="bottom"/>
            <w:hideMark/>
          </w:tcPr>
          <w:p w14:paraId="4B0C137F"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44,594</w:t>
            </w:r>
          </w:p>
        </w:tc>
        <w:tc>
          <w:tcPr>
            <w:tcW w:w="900" w:type="dxa"/>
            <w:tcBorders>
              <w:top w:val="nil"/>
              <w:left w:val="nil"/>
              <w:bottom w:val="nil"/>
              <w:right w:val="nil"/>
            </w:tcBorders>
            <w:shd w:val="clear" w:color="auto" w:fill="auto"/>
            <w:noWrap/>
            <w:vAlign w:val="bottom"/>
            <w:hideMark/>
          </w:tcPr>
          <w:p w14:paraId="2954D2F1"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45,744</w:t>
            </w:r>
          </w:p>
        </w:tc>
        <w:tc>
          <w:tcPr>
            <w:tcW w:w="900" w:type="dxa"/>
            <w:tcBorders>
              <w:top w:val="nil"/>
              <w:left w:val="nil"/>
              <w:bottom w:val="nil"/>
              <w:right w:val="nil"/>
            </w:tcBorders>
            <w:shd w:val="clear" w:color="auto" w:fill="auto"/>
            <w:noWrap/>
            <w:vAlign w:val="bottom"/>
            <w:hideMark/>
          </w:tcPr>
          <w:p w14:paraId="362D3F4B"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46,538</w:t>
            </w:r>
          </w:p>
        </w:tc>
      </w:tr>
      <w:tr w:rsidR="00461397" w:rsidRPr="00461397" w14:paraId="5D560101"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768C2373" w14:textId="77777777" w:rsidR="00461397" w:rsidRPr="00461397" w:rsidRDefault="00461397" w:rsidP="00461397">
            <w:pPr>
              <w:spacing w:after="0"/>
              <w:ind w:firstLineChars="200" w:firstLine="320"/>
              <w:rPr>
                <w:rFonts w:ascii="Arial" w:hAnsi="Arial" w:cs="Arial"/>
                <w:color w:val="auto"/>
                <w:sz w:val="16"/>
                <w:szCs w:val="16"/>
              </w:rPr>
            </w:pPr>
            <w:r w:rsidRPr="00461397">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7938DCE0"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4,749</w:t>
            </w:r>
          </w:p>
        </w:tc>
        <w:tc>
          <w:tcPr>
            <w:tcW w:w="900" w:type="dxa"/>
            <w:tcBorders>
              <w:top w:val="nil"/>
              <w:left w:val="nil"/>
              <w:bottom w:val="nil"/>
              <w:right w:val="nil"/>
            </w:tcBorders>
            <w:shd w:val="clear" w:color="000000" w:fill="D9D9D9"/>
            <w:noWrap/>
            <w:vAlign w:val="bottom"/>
            <w:hideMark/>
          </w:tcPr>
          <w:p w14:paraId="157E6A8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5,249</w:t>
            </w:r>
          </w:p>
        </w:tc>
        <w:tc>
          <w:tcPr>
            <w:tcW w:w="900" w:type="dxa"/>
            <w:tcBorders>
              <w:top w:val="nil"/>
              <w:left w:val="nil"/>
              <w:bottom w:val="nil"/>
              <w:right w:val="nil"/>
            </w:tcBorders>
            <w:shd w:val="clear" w:color="auto" w:fill="auto"/>
            <w:noWrap/>
            <w:vAlign w:val="bottom"/>
            <w:hideMark/>
          </w:tcPr>
          <w:p w14:paraId="2DCA495D"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5,488</w:t>
            </w:r>
          </w:p>
        </w:tc>
        <w:tc>
          <w:tcPr>
            <w:tcW w:w="900" w:type="dxa"/>
            <w:tcBorders>
              <w:top w:val="nil"/>
              <w:left w:val="nil"/>
              <w:bottom w:val="nil"/>
              <w:right w:val="nil"/>
            </w:tcBorders>
            <w:shd w:val="clear" w:color="auto" w:fill="auto"/>
            <w:noWrap/>
            <w:vAlign w:val="bottom"/>
            <w:hideMark/>
          </w:tcPr>
          <w:p w14:paraId="446D39B8"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5,265</w:t>
            </w:r>
          </w:p>
        </w:tc>
        <w:tc>
          <w:tcPr>
            <w:tcW w:w="900" w:type="dxa"/>
            <w:tcBorders>
              <w:top w:val="nil"/>
              <w:left w:val="nil"/>
              <w:bottom w:val="nil"/>
              <w:right w:val="nil"/>
            </w:tcBorders>
            <w:shd w:val="clear" w:color="auto" w:fill="auto"/>
            <w:noWrap/>
            <w:vAlign w:val="bottom"/>
            <w:hideMark/>
          </w:tcPr>
          <w:p w14:paraId="2D4C25E1"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5,201</w:t>
            </w:r>
          </w:p>
        </w:tc>
      </w:tr>
      <w:tr w:rsidR="00461397" w:rsidRPr="00461397" w14:paraId="6280E029"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47715C27" w14:textId="77777777" w:rsidR="00461397" w:rsidRPr="00461397" w:rsidRDefault="00461397" w:rsidP="00461397">
            <w:pPr>
              <w:spacing w:after="0"/>
              <w:ind w:firstLineChars="200" w:firstLine="320"/>
              <w:rPr>
                <w:rFonts w:ascii="Arial" w:hAnsi="Arial" w:cs="Arial"/>
                <w:color w:val="auto"/>
                <w:sz w:val="16"/>
                <w:szCs w:val="16"/>
              </w:rPr>
            </w:pPr>
            <w:r w:rsidRPr="00461397">
              <w:rPr>
                <w:rFonts w:ascii="Arial" w:hAnsi="Arial" w:cs="Arial"/>
                <w:color w:val="auto"/>
                <w:sz w:val="16"/>
                <w:szCs w:val="16"/>
              </w:rPr>
              <w:t>GST paid</w:t>
            </w:r>
          </w:p>
        </w:tc>
        <w:tc>
          <w:tcPr>
            <w:tcW w:w="900" w:type="dxa"/>
            <w:tcBorders>
              <w:top w:val="nil"/>
              <w:left w:val="nil"/>
              <w:bottom w:val="nil"/>
              <w:right w:val="nil"/>
            </w:tcBorders>
            <w:shd w:val="clear" w:color="auto" w:fill="auto"/>
            <w:noWrap/>
            <w:vAlign w:val="bottom"/>
            <w:hideMark/>
          </w:tcPr>
          <w:p w14:paraId="62E9275F"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752</w:t>
            </w:r>
          </w:p>
        </w:tc>
        <w:tc>
          <w:tcPr>
            <w:tcW w:w="900" w:type="dxa"/>
            <w:tcBorders>
              <w:top w:val="nil"/>
              <w:left w:val="nil"/>
              <w:bottom w:val="nil"/>
              <w:right w:val="nil"/>
            </w:tcBorders>
            <w:shd w:val="clear" w:color="000000" w:fill="D9D9D9"/>
            <w:noWrap/>
            <w:vAlign w:val="bottom"/>
            <w:hideMark/>
          </w:tcPr>
          <w:p w14:paraId="2598543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5FE44AC7"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54158AF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5981C574"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r>
      <w:tr w:rsidR="00461397" w:rsidRPr="00461397" w14:paraId="6DEF5F4F"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052469C0" w14:textId="77777777" w:rsidR="00461397" w:rsidRPr="00461397" w:rsidRDefault="00461397" w:rsidP="00461397">
            <w:pPr>
              <w:spacing w:after="0"/>
              <w:ind w:firstLineChars="200" w:firstLine="320"/>
              <w:rPr>
                <w:rFonts w:ascii="Arial" w:hAnsi="Arial" w:cs="Arial"/>
                <w:b/>
                <w:bCs/>
                <w:sz w:val="16"/>
                <w:szCs w:val="16"/>
              </w:rPr>
            </w:pPr>
            <w:r w:rsidRPr="00461397">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60F9B0F5"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49,033</w:t>
            </w:r>
          </w:p>
        </w:tc>
        <w:tc>
          <w:tcPr>
            <w:tcW w:w="900" w:type="dxa"/>
            <w:tcBorders>
              <w:top w:val="nil"/>
              <w:left w:val="nil"/>
              <w:bottom w:val="single" w:sz="4" w:space="0" w:color="auto"/>
              <w:right w:val="nil"/>
            </w:tcBorders>
            <w:shd w:val="clear" w:color="000000" w:fill="D9D9D9"/>
            <w:noWrap/>
            <w:vAlign w:val="bottom"/>
            <w:hideMark/>
          </w:tcPr>
          <w:p w14:paraId="66068869"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49,881</w:t>
            </w:r>
          </w:p>
        </w:tc>
        <w:tc>
          <w:tcPr>
            <w:tcW w:w="900" w:type="dxa"/>
            <w:tcBorders>
              <w:top w:val="nil"/>
              <w:left w:val="nil"/>
              <w:bottom w:val="single" w:sz="4" w:space="0" w:color="auto"/>
              <w:right w:val="nil"/>
            </w:tcBorders>
            <w:shd w:val="clear" w:color="auto" w:fill="auto"/>
            <w:noWrap/>
            <w:vAlign w:val="bottom"/>
            <w:hideMark/>
          </w:tcPr>
          <w:p w14:paraId="23AC0315"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50,832</w:t>
            </w:r>
          </w:p>
        </w:tc>
        <w:tc>
          <w:tcPr>
            <w:tcW w:w="900" w:type="dxa"/>
            <w:tcBorders>
              <w:top w:val="nil"/>
              <w:left w:val="nil"/>
              <w:bottom w:val="single" w:sz="4" w:space="0" w:color="auto"/>
              <w:right w:val="nil"/>
            </w:tcBorders>
            <w:shd w:val="clear" w:color="auto" w:fill="auto"/>
            <w:noWrap/>
            <w:vAlign w:val="bottom"/>
            <w:hideMark/>
          </w:tcPr>
          <w:p w14:paraId="18FEF56D"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51,759</w:t>
            </w:r>
          </w:p>
        </w:tc>
        <w:tc>
          <w:tcPr>
            <w:tcW w:w="900" w:type="dxa"/>
            <w:tcBorders>
              <w:top w:val="nil"/>
              <w:left w:val="nil"/>
              <w:bottom w:val="single" w:sz="4" w:space="0" w:color="auto"/>
              <w:right w:val="nil"/>
            </w:tcBorders>
            <w:shd w:val="clear" w:color="auto" w:fill="auto"/>
            <w:noWrap/>
            <w:vAlign w:val="bottom"/>
            <w:hideMark/>
          </w:tcPr>
          <w:p w14:paraId="081A244D"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52,489</w:t>
            </w:r>
          </w:p>
        </w:tc>
      </w:tr>
      <w:tr w:rsidR="00461397" w:rsidRPr="00461397" w14:paraId="63EE9285" w14:textId="77777777" w:rsidTr="00445052">
        <w:trPr>
          <w:trHeight w:val="454"/>
          <w:jc w:val="center"/>
        </w:trPr>
        <w:tc>
          <w:tcPr>
            <w:tcW w:w="2860" w:type="dxa"/>
            <w:tcBorders>
              <w:top w:val="nil"/>
              <w:left w:val="nil"/>
              <w:bottom w:val="nil"/>
              <w:right w:val="nil"/>
            </w:tcBorders>
            <w:shd w:val="clear" w:color="auto" w:fill="auto"/>
            <w:vAlign w:val="bottom"/>
            <w:hideMark/>
          </w:tcPr>
          <w:p w14:paraId="13284287" w14:textId="77777777" w:rsidR="00461397" w:rsidRPr="00461397" w:rsidRDefault="00461397" w:rsidP="00461397">
            <w:pPr>
              <w:spacing w:after="0"/>
              <w:rPr>
                <w:rFonts w:ascii="Arial" w:hAnsi="Arial" w:cs="Arial"/>
                <w:b/>
                <w:bCs/>
                <w:sz w:val="16"/>
                <w:szCs w:val="16"/>
              </w:rPr>
            </w:pPr>
            <w:r w:rsidRPr="00461397">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0A8CED05"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(48,281)</w:t>
            </w:r>
          </w:p>
        </w:tc>
        <w:tc>
          <w:tcPr>
            <w:tcW w:w="900" w:type="dxa"/>
            <w:tcBorders>
              <w:top w:val="nil"/>
              <w:left w:val="nil"/>
              <w:bottom w:val="single" w:sz="4" w:space="0" w:color="auto"/>
              <w:right w:val="nil"/>
            </w:tcBorders>
            <w:shd w:val="clear" w:color="000000" w:fill="D9D9D9"/>
            <w:noWrap/>
            <w:vAlign w:val="bottom"/>
            <w:hideMark/>
          </w:tcPr>
          <w:p w14:paraId="5B6D803A"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(49,131)</w:t>
            </w:r>
          </w:p>
        </w:tc>
        <w:tc>
          <w:tcPr>
            <w:tcW w:w="900" w:type="dxa"/>
            <w:tcBorders>
              <w:top w:val="nil"/>
              <w:left w:val="nil"/>
              <w:bottom w:val="single" w:sz="4" w:space="0" w:color="auto"/>
              <w:right w:val="nil"/>
            </w:tcBorders>
            <w:shd w:val="clear" w:color="auto" w:fill="auto"/>
            <w:noWrap/>
            <w:vAlign w:val="bottom"/>
            <w:hideMark/>
          </w:tcPr>
          <w:p w14:paraId="12DD1FBE"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(50,082)</w:t>
            </w:r>
          </w:p>
        </w:tc>
        <w:tc>
          <w:tcPr>
            <w:tcW w:w="900" w:type="dxa"/>
            <w:tcBorders>
              <w:top w:val="nil"/>
              <w:left w:val="nil"/>
              <w:bottom w:val="single" w:sz="4" w:space="0" w:color="auto"/>
              <w:right w:val="nil"/>
            </w:tcBorders>
            <w:shd w:val="clear" w:color="auto" w:fill="auto"/>
            <w:noWrap/>
            <w:vAlign w:val="bottom"/>
            <w:hideMark/>
          </w:tcPr>
          <w:p w14:paraId="48177A5D"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(51,009)</w:t>
            </w:r>
          </w:p>
        </w:tc>
        <w:tc>
          <w:tcPr>
            <w:tcW w:w="900" w:type="dxa"/>
            <w:tcBorders>
              <w:top w:val="nil"/>
              <w:left w:val="nil"/>
              <w:bottom w:val="single" w:sz="4" w:space="0" w:color="auto"/>
              <w:right w:val="nil"/>
            </w:tcBorders>
            <w:shd w:val="clear" w:color="auto" w:fill="auto"/>
            <w:noWrap/>
            <w:vAlign w:val="bottom"/>
            <w:hideMark/>
          </w:tcPr>
          <w:p w14:paraId="47BE206B"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(51,739)</w:t>
            </w:r>
          </w:p>
        </w:tc>
      </w:tr>
      <w:tr w:rsidR="00461397" w:rsidRPr="00461397" w14:paraId="05C2971D" w14:textId="77777777" w:rsidTr="00445052">
        <w:trPr>
          <w:trHeight w:val="454"/>
          <w:jc w:val="center"/>
        </w:trPr>
        <w:tc>
          <w:tcPr>
            <w:tcW w:w="2860" w:type="dxa"/>
            <w:tcBorders>
              <w:top w:val="nil"/>
              <w:left w:val="nil"/>
              <w:bottom w:val="nil"/>
              <w:right w:val="nil"/>
            </w:tcBorders>
            <w:shd w:val="clear" w:color="auto" w:fill="auto"/>
            <w:vAlign w:val="bottom"/>
            <w:hideMark/>
          </w:tcPr>
          <w:p w14:paraId="5277D680" w14:textId="77777777" w:rsidR="00461397" w:rsidRPr="00461397" w:rsidRDefault="00461397" w:rsidP="00461397">
            <w:pPr>
              <w:spacing w:after="0"/>
              <w:rPr>
                <w:rFonts w:ascii="Arial" w:hAnsi="Arial" w:cs="Arial"/>
                <w:b/>
                <w:bCs/>
                <w:sz w:val="16"/>
                <w:szCs w:val="16"/>
              </w:rPr>
            </w:pPr>
            <w:r w:rsidRPr="00461397">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5A6CD2B3"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(48,281)</w:t>
            </w:r>
          </w:p>
        </w:tc>
        <w:tc>
          <w:tcPr>
            <w:tcW w:w="900" w:type="dxa"/>
            <w:tcBorders>
              <w:top w:val="nil"/>
              <w:left w:val="nil"/>
              <w:bottom w:val="single" w:sz="4" w:space="0" w:color="auto"/>
              <w:right w:val="nil"/>
            </w:tcBorders>
            <w:shd w:val="clear" w:color="000000" w:fill="D9D9D9"/>
            <w:noWrap/>
            <w:vAlign w:val="bottom"/>
            <w:hideMark/>
          </w:tcPr>
          <w:p w14:paraId="1BDC13F1"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(49,131)</w:t>
            </w:r>
          </w:p>
        </w:tc>
        <w:tc>
          <w:tcPr>
            <w:tcW w:w="900" w:type="dxa"/>
            <w:tcBorders>
              <w:top w:val="nil"/>
              <w:left w:val="nil"/>
              <w:bottom w:val="single" w:sz="4" w:space="0" w:color="auto"/>
              <w:right w:val="nil"/>
            </w:tcBorders>
            <w:shd w:val="clear" w:color="auto" w:fill="auto"/>
            <w:noWrap/>
            <w:vAlign w:val="bottom"/>
            <w:hideMark/>
          </w:tcPr>
          <w:p w14:paraId="64F5C224"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(50,082)</w:t>
            </w:r>
          </w:p>
        </w:tc>
        <w:tc>
          <w:tcPr>
            <w:tcW w:w="900" w:type="dxa"/>
            <w:tcBorders>
              <w:top w:val="nil"/>
              <w:left w:val="nil"/>
              <w:bottom w:val="single" w:sz="4" w:space="0" w:color="auto"/>
              <w:right w:val="nil"/>
            </w:tcBorders>
            <w:shd w:val="clear" w:color="auto" w:fill="auto"/>
            <w:noWrap/>
            <w:vAlign w:val="bottom"/>
            <w:hideMark/>
          </w:tcPr>
          <w:p w14:paraId="4325C4C2"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(51,009)</w:t>
            </w:r>
          </w:p>
        </w:tc>
        <w:tc>
          <w:tcPr>
            <w:tcW w:w="900" w:type="dxa"/>
            <w:tcBorders>
              <w:top w:val="nil"/>
              <w:left w:val="nil"/>
              <w:bottom w:val="single" w:sz="4" w:space="0" w:color="auto"/>
              <w:right w:val="nil"/>
            </w:tcBorders>
            <w:shd w:val="clear" w:color="auto" w:fill="auto"/>
            <w:noWrap/>
            <w:vAlign w:val="bottom"/>
            <w:hideMark/>
          </w:tcPr>
          <w:p w14:paraId="1AFA0C9D"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(51,739)</w:t>
            </w:r>
          </w:p>
        </w:tc>
      </w:tr>
      <w:tr w:rsidR="00461397" w:rsidRPr="00461397" w14:paraId="74565A9C" w14:textId="77777777" w:rsidTr="00445052">
        <w:trPr>
          <w:trHeight w:val="425"/>
          <w:jc w:val="center"/>
        </w:trPr>
        <w:tc>
          <w:tcPr>
            <w:tcW w:w="2860" w:type="dxa"/>
            <w:tcBorders>
              <w:top w:val="nil"/>
              <w:left w:val="nil"/>
              <w:bottom w:val="nil"/>
              <w:right w:val="nil"/>
            </w:tcBorders>
            <w:shd w:val="clear" w:color="auto" w:fill="auto"/>
            <w:vAlign w:val="bottom"/>
            <w:hideMark/>
          </w:tcPr>
          <w:p w14:paraId="152BF03B" w14:textId="77777777" w:rsidR="00461397" w:rsidRPr="00461397" w:rsidRDefault="00461397" w:rsidP="00461397">
            <w:pPr>
              <w:spacing w:after="0"/>
              <w:ind w:leftChars="75" w:left="150"/>
              <w:rPr>
                <w:rFonts w:ascii="Arial" w:hAnsi="Arial" w:cs="Arial"/>
                <w:sz w:val="16"/>
                <w:szCs w:val="16"/>
              </w:rPr>
            </w:pPr>
            <w:r w:rsidRPr="00461397">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51ABBFDB"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65</w:t>
            </w:r>
          </w:p>
        </w:tc>
        <w:tc>
          <w:tcPr>
            <w:tcW w:w="900" w:type="dxa"/>
            <w:tcBorders>
              <w:top w:val="nil"/>
              <w:left w:val="nil"/>
              <w:bottom w:val="nil"/>
              <w:right w:val="nil"/>
            </w:tcBorders>
            <w:shd w:val="clear" w:color="000000" w:fill="D9D9D9"/>
            <w:noWrap/>
            <w:vAlign w:val="bottom"/>
            <w:hideMark/>
          </w:tcPr>
          <w:p w14:paraId="44EC05C8"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65</w:t>
            </w:r>
          </w:p>
        </w:tc>
        <w:tc>
          <w:tcPr>
            <w:tcW w:w="900" w:type="dxa"/>
            <w:tcBorders>
              <w:top w:val="nil"/>
              <w:left w:val="nil"/>
              <w:bottom w:val="nil"/>
              <w:right w:val="nil"/>
            </w:tcBorders>
            <w:shd w:val="clear" w:color="auto" w:fill="auto"/>
            <w:noWrap/>
            <w:vAlign w:val="bottom"/>
            <w:hideMark/>
          </w:tcPr>
          <w:p w14:paraId="2DA69F9A"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65</w:t>
            </w:r>
          </w:p>
        </w:tc>
        <w:tc>
          <w:tcPr>
            <w:tcW w:w="900" w:type="dxa"/>
            <w:tcBorders>
              <w:top w:val="nil"/>
              <w:left w:val="nil"/>
              <w:bottom w:val="nil"/>
              <w:right w:val="nil"/>
            </w:tcBorders>
            <w:shd w:val="clear" w:color="auto" w:fill="auto"/>
            <w:noWrap/>
            <w:vAlign w:val="bottom"/>
            <w:hideMark/>
          </w:tcPr>
          <w:p w14:paraId="6C459788"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65</w:t>
            </w:r>
          </w:p>
        </w:tc>
        <w:tc>
          <w:tcPr>
            <w:tcW w:w="900" w:type="dxa"/>
            <w:tcBorders>
              <w:top w:val="nil"/>
              <w:left w:val="nil"/>
              <w:bottom w:val="nil"/>
              <w:right w:val="nil"/>
            </w:tcBorders>
            <w:shd w:val="clear" w:color="auto" w:fill="auto"/>
            <w:noWrap/>
            <w:vAlign w:val="bottom"/>
            <w:hideMark/>
          </w:tcPr>
          <w:p w14:paraId="44D32C46"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65</w:t>
            </w:r>
          </w:p>
        </w:tc>
      </w:tr>
      <w:tr w:rsidR="00461397" w:rsidRPr="00461397" w14:paraId="74377F87" w14:textId="77777777" w:rsidTr="00A4403D">
        <w:trPr>
          <w:trHeight w:val="283"/>
          <w:jc w:val="center"/>
        </w:trPr>
        <w:tc>
          <w:tcPr>
            <w:tcW w:w="2860" w:type="dxa"/>
            <w:tcBorders>
              <w:top w:val="nil"/>
              <w:left w:val="nil"/>
              <w:bottom w:val="nil"/>
              <w:right w:val="nil"/>
            </w:tcBorders>
            <w:shd w:val="clear" w:color="auto" w:fill="auto"/>
            <w:vAlign w:val="bottom"/>
            <w:hideMark/>
          </w:tcPr>
          <w:p w14:paraId="2FDF0311" w14:textId="77777777" w:rsidR="00461397" w:rsidRPr="00461397" w:rsidRDefault="00461397" w:rsidP="00461397">
            <w:pPr>
              <w:spacing w:after="0"/>
              <w:ind w:leftChars="75" w:left="150"/>
              <w:rPr>
                <w:rFonts w:ascii="Arial" w:hAnsi="Arial" w:cs="Arial"/>
                <w:sz w:val="16"/>
                <w:szCs w:val="16"/>
              </w:rPr>
            </w:pPr>
            <w:r w:rsidRPr="00461397">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19856856" w14:textId="77777777" w:rsidR="00461397" w:rsidRPr="00461397" w:rsidRDefault="00461397" w:rsidP="00461397">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2E0077D2"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3017F31" w14:textId="77777777" w:rsidR="00461397" w:rsidRPr="00461397" w:rsidRDefault="00461397" w:rsidP="0046139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B7954B7" w14:textId="77777777" w:rsidR="00461397" w:rsidRPr="00461397" w:rsidRDefault="00461397" w:rsidP="0046139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8B3C920" w14:textId="77777777" w:rsidR="00461397" w:rsidRPr="00461397" w:rsidRDefault="00461397" w:rsidP="00461397">
            <w:pPr>
              <w:spacing w:after="0"/>
              <w:jc w:val="right"/>
              <w:rPr>
                <w:rFonts w:ascii="Times New Roman" w:hAnsi="Times New Roman"/>
                <w:color w:val="auto"/>
              </w:rPr>
            </w:pPr>
          </w:p>
        </w:tc>
      </w:tr>
      <w:tr w:rsidR="00461397" w:rsidRPr="00461397" w14:paraId="20EC1823" w14:textId="77777777" w:rsidTr="00461397">
        <w:trPr>
          <w:trHeight w:val="225"/>
          <w:jc w:val="center"/>
        </w:trPr>
        <w:tc>
          <w:tcPr>
            <w:tcW w:w="2860" w:type="dxa"/>
            <w:tcBorders>
              <w:top w:val="nil"/>
              <w:left w:val="nil"/>
              <w:bottom w:val="nil"/>
              <w:right w:val="nil"/>
            </w:tcBorders>
            <w:shd w:val="clear" w:color="auto" w:fill="auto"/>
            <w:noWrap/>
            <w:vAlign w:val="bottom"/>
            <w:hideMark/>
          </w:tcPr>
          <w:p w14:paraId="10245302" w14:textId="77777777" w:rsidR="00461397" w:rsidRPr="00461397" w:rsidRDefault="00461397" w:rsidP="00461397">
            <w:pPr>
              <w:spacing w:after="0"/>
              <w:ind w:firstLineChars="200" w:firstLine="320"/>
              <w:rPr>
                <w:rFonts w:ascii="Arial" w:hAnsi="Arial" w:cs="Arial"/>
                <w:sz w:val="16"/>
                <w:szCs w:val="16"/>
              </w:rPr>
            </w:pPr>
            <w:r w:rsidRPr="00461397">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5C913C08"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49,033</w:t>
            </w:r>
          </w:p>
        </w:tc>
        <w:tc>
          <w:tcPr>
            <w:tcW w:w="900" w:type="dxa"/>
            <w:tcBorders>
              <w:top w:val="nil"/>
              <w:left w:val="nil"/>
              <w:bottom w:val="nil"/>
              <w:right w:val="nil"/>
            </w:tcBorders>
            <w:shd w:val="clear" w:color="000000" w:fill="D9D9D9"/>
            <w:noWrap/>
            <w:vAlign w:val="bottom"/>
            <w:hideMark/>
          </w:tcPr>
          <w:p w14:paraId="4AB8E39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49,881</w:t>
            </w:r>
          </w:p>
        </w:tc>
        <w:tc>
          <w:tcPr>
            <w:tcW w:w="900" w:type="dxa"/>
            <w:tcBorders>
              <w:top w:val="nil"/>
              <w:left w:val="nil"/>
              <w:bottom w:val="nil"/>
              <w:right w:val="nil"/>
            </w:tcBorders>
            <w:shd w:val="clear" w:color="auto" w:fill="auto"/>
            <w:noWrap/>
            <w:vAlign w:val="bottom"/>
            <w:hideMark/>
          </w:tcPr>
          <w:p w14:paraId="3200B64F"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50,832</w:t>
            </w:r>
          </w:p>
        </w:tc>
        <w:tc>
          <w:tcPr>
            <w:tcW w:w="900" w:type="dxa"/>
            <w:tcBorders>
              <w:top w:val="nil"/>
              <w:left w:val="nil"/>
              <w:bottom w:val="nil"/>
              <w:right w:val="nil"/>
            </w:tcBorders>
            <w:shd w:val="clear" w:color="auto" w:fill="auto"/>
            <w:noWrap/>
            <w:vAlign w:val="bottom"/>
            <w:hideMark/>
          </w:tcPr>
          <w:p w14:paraId="605EB7F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51,759</w:t>
            </w:r>
          </w:p>
        </w:tc>
        <w:tc>
          <w:tcPr>
            <w:tcW w:w="900" w:type="dxa"/>
            <w:tcBorders>
              <w:top w:val="nil"/>
              <w:left w:val="nil"/>
              <w:bottom w:val="nil"/>
              <w:right w:val="nil"/>
            </w:tcBorders>
            <w:shd w:val="clear" w:color="000000" w:fill="FFFFFF"/>
            <w:noWrap/>
            <w:vAlign w:val="bottom"/>
            <w:hideMark/>
          </w:tcPr>
          <w:p w14:paraId="2CC51CB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52,489</w:t>
            </w:r>
          </w:p>
        </w:tc>
      </w:tr>
      <w:tr w:rsidR="00461397" w:rsidRPr="00461397" w14:paraId="61319A21" w14:textId="77777777" w:rsidTr="00A4403D">
        <w:trPr>
          <w:trHeight w:val="283"/>
          <w:jc w:val="center"/>
        </w:trPr>
        <w:tc>
          <w:tcPr>
            <w:tcW w:w="2860" w:type="dxa"/>
            <w:tcBorders>
              <w:top w:val="nil"/>
              <w:left w:val="nil"/>
              <w:bottom w:val="nil"/>
              <w:right w:val="nil"/>
            </w:tcBorders>
            <w:shd w:val="clear" w:color="auto" w:fill="auto"/>
            <w:vAlign w:val="bottom"/>
            <w:hideMark/>
          </w:tcPr>
          <w:p w14:paraId="1C66C744" w14:textId="77777777" w:rsidR="00461397" w:rsidRPr="00461397" w:rsidRDefault="00461397" w:rsidP="00461397">
            <w:pPr>
              <w:spacing w:after="0"/>
              <w:ind w:leftChars="75" w:left="150"/>
              <w:rPr>
                <w:rFonts w:ascii="Arial" w:hAnsi="Arial" w:cs="Arial"/>
                <w:sz w:val="16"/>
                <w:szCs w:val="16"/>
              </w:rPr>
            </w:pPr>
            <w:r w:rsidRPr="00461397">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2DF7394C"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(752)</w:t>
            </w:r>
          </w:p>
        </w:tc>
        <w:tc>
          <w:tcPr>
            <w:tcW w:w="900" w:type="dxa"/>
            <w:tcBorders>
              <w:top w:val="nil"/>
              <w:left w:val="nil"/>
              <w:bottom w:val="nil"/>
              <w:right w:val="nil"/>
            </w:tcBorders>
            <w:shd w:val="clear" w:color="000000" w:fill="D9D9D9"/>
            <w:noWrap/>
            <w:vAlign w:val="bottom"/>
            <w:hideMark/>
          </w:tcPr>
          <w:p w14:paraId="005DD7EE"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2B31653B"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210562E0"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66AEF673" w14:textId="77777777" w:rsidR="00461397" w:rsidRPr="00461397" w:rsidRDefault="00461397" w:rsidP="00461397">
            <w:pPr>
              <w:spacing w:after="0"/>
              <w:jc w:val="right"/>
              <w:rPr>
                <w:rFonts w:ascii="Arial" w:hAnsi="Arial" w:cs="Arial"/>
                <w:sz w:val="16"/>
                <w:szCs w:val="16"/>
              </w:rPr>
            </w:pPr>
            <w:r w:rsidRPr="00461397">
              <w:rPr>
                <w:rFonts w:ascii="Arial" w:hAnsi="Arial" w:cs="Arial"/>
                <w:sz w:val="16"/>
                <w:szCs w:val="16"/>
              </w:rPr>
              <w:t>(750)</w:t>
            </w:r>
          </w:p>
        </w:tc>
      </w:tr>
      <w:tr w:rsidR="00461397" w:rsidRPr="00461397" w14:paraId="68259DD7" w14:textId="77777777" w:rsidTr="00A4403D">
        <w:trPr>
          <w:trHeight w:val="283"/>
          <w:jc w:val="center"/>
        </w:trPr>
        <w:tc>
          <w:tcPr>
            <w:tcW w:w="2860" w:type="dxa"/>
            <w:tcBorders>
              <w:top w:val="nil"/>
              <w:left w:val="nil"/>
              <w:bottom w:val="single" w:sz="4" w:space="0" w:color="auto"/>
              <w:right w:val="nil"/>
            </w:tcBorders>
            <w:shd w:val="clear" w:color="auto" w:fill="auto"/>
            <w:vAlign w:val="bottom"/>
            <w:hideMark/>
          </w:tcPr>
          <w:p w14:paraId="46F2C399" w14:textId="77777777" w:rsidR="00461397" w:rsidRPr="00461397" w:rsidRDefault="00461397" w:rsidP="00461397">
            <w:pPr>
              <w:spacing w:after="0"/>
              <w:rPr>
                <w:rFonts w:ascii="Arial" w:hAnsi="Arial" w:cs="Arial"/>
                <w:b/>
                <w:bCs/>
                <w:sz w:val="16"/>
                <w:szCs w:val="16"/>
              </w:rPr>
            </w:pPr>
            <w:r w:rsidRPr="00461397">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6A4695BA"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65</w:t>
            </w:r>
          </w:p>
        </w:tc>
        <w:tc>
          <w:tcPr>
            <w:tcW w:w="900" w:type="dxa"/>
            <w:tcBorders>
              <w:top w:val="nil"/>
              <w:left w:val="nil"/>
              <w:bottom w:val="single" w:sz="4" w:space="0" w:color="auto"/>
              <w:right w:val="nil"/>
            </w:tcBorders>
            <w:shd w:val="clear" w:color="000000" w:fill="D9D9D9"/>
            <w:noWrap/>
            <w:vAlign w:val="bottom"/>
            <w:hideMark/>
          </w:tcPr>
          <w:p w14:paraId="30EAF5E9"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65</w:t>
            </w:r>
          </w:p>
        </w:tc>
        <w:tc>
          <w:tcPr>
            <w:tcW w:w="900" w:type="dxa"/>
            <w:tcBorders>
              <w:top w:val="nil"/>
              <w:left w:val="nil"/>
              <w:bottom w:val="single" w:sz="4" w:space="0" w:color="auto"/>
              <w:right w:val="nil"/>
            </w:tcBorders>
            <w:shd w:val="clear" w:color="auto" w:fill="auto"/>
            <w:noWrap/>
            <w:vAlign w:val="bottom"/>
            <w:hideMark/>
          </w:tcPr>
          <w:p w14:paraId="40E8B05B"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65</w:t>
            </w:r>
          </w:p>
        </w:tc>
        <w:tc>
          <w:tcPr>
            <w:tcW w:w="900" w:type="dxa"/>
            <w:tcBorders>
              <w:top w:val="nil"/>
              <w:left w:val="nil"/>
              <w:bottom w:val="single" w:sz="4" w:space="0" w:color="auto"/>
              <w:right w:val="nil"/>
            </w:tcBorders>
            <w:shd w:val="clear" w:color="auto" w:fill="auto"/>
            <w:noWrap/>
            <w:vAlign w:val="bottom"/>
            <w:hideMark/>
          </w:tcPr>
          <w:p w14:paraId="39C25C30"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65</w:t>
            </w:r>
          </w:p>
        </w:tc>
        <w:tc>
          <w:tcPr>
            <w:tcW w:w="900" w:type="dxa"/>
            <w:tcBorders>
              <w:top w:val="nil"/>
              <w:left w:val="nil"/>
              <w:bottom w:val="single" w:sz="4" w:space="0" w:color="auto"/>
              <w:right w:val="nil"/>
            </w:tcBorders>
            <w:shd w:val="clear" w:color="auto" w:fill="auto"/>
            <w:noWrap/>
            <w:vAlign w:val="bottom"/>
            <w:hideMark/>
          </w:tcPr>
          <w:p w14:paraId="70578210" w14:textId="77777777" w:rsidR="00461397" w:rsidRPr="00461397" w:rsidRDefault="00461397" w:rsidP="00461397">
            <w:pPr>
              <w:spacing w:after="0"/>
              <w:jc w:val="right"/>
              <w:rPr>
                <w:rFonts w:ascii="Arial" w:hAnsi="Arial" w:cs="Arial"/>
                <w:b/>
                <w:bCs/>
                <w:sz w:val="16"/>
                <w:szCs w:val="16"/>
              </w:rPr>
            </w:pPr>
            <w:r w:rsidRPr="00461397">
              <w:rPr>
                <w:rFonts w:ascii="Arial" w:hAnsi="Arial" w:cs="Arial"/>
                <w:b/>
                <w:bCs/>
                <w:sz w:val="16"/>
                <w:szCs w:val="16"/>
              </w:rPr>
              <w:t>65</w:t>
            </w:r>
          </w:p>
        </w:tc>
      </w:tr>
    </w:tbl>
    <w:p w14:paraId="3D96A01B" w14:textId="3772316E" w:rsidR="00210F0B" w:rsidRDefault="004B67F9" w:rsidP="00461397">
      <w:pPr>
        <w:pStyle w:val="FootnoteText"/>
        <w:spacing w:before="120"/>
      </w:pPr>
      <w:r>
        <w:t>OPA = Official Public Account</w:t>
      </w:r>
    </w:p>
    <w:p w14:paraId="6457ACC5" w14:textId="77777777" w:rsidR="003F67B4" w:rsidRDefault="003F67B4" w:rsidP="007E75EA">
      <w:pPr>
        <w:pStyle w:val="FootnoteText"/>
        <w:spacing w:before="120"/>
        <w:ind w:left="0" w:firstLine="0"/>
        <w:rPr>
          <w:color w:val="000000" w:themeColor="text1"/>
        </w:rPr>
        <w:sectPr w:rsidR="003F67B4" w:rsidSect="00357948">
          <w:headerReference w:type="even" r:id="rId25"/>
          <w:headerReference w:type="default" r:id="rId26"/>
          <w:headerReference w:type="first" r:id="rId27"/>
          <w:pgSz w:w="11906" w:h="16838"/>
          <w:pgMar w:top="2466" w:right="2268" w:bottom="2126" w:left="2268" w:header="1899" w:footer="1899" w:gutter="0"/>
          <w:cols w:space="708"/>
          <w:docGrid w:linePitch="360"/>
        </w:sectPr>
      </w:pPr>
    </w:p>
    <w:p w14:paraId="69C4EB11" w14:textId="24FEF708" w:rsidR="00335A4B" w:rsidRPr="00EE76CA" w:rsidRDefault="00335A4B" w:rsidP="007E75EA">
      <w:pPr>
        <w:pStyle w:val="FootnoteText"/>
        <w:spacing w:before="120"/>
        <w:ind w:left="0" w:firstLine="0"/>
        <w:rPr>
          <w:color w:val="000000" w:themeColor="text1"/>
        </w:rPr>
      </w:pPr>
    </w:p>
    <w:sectPr w:rsidR="00335A4B" w:rsidRPr="00EE76CA" w:rsidSect="00357948">
      <w:headerReference w:type="even" r:id="rId28"/>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AB8A" w14:textId="77777777" w:rsidR="00400843" w:rsidRDefault="00400843" w:rsidP="00913388">
      <w:pPr>
        <w:spacing w:after="0"/>
      </w:pPr>
      <w:r>
        <w:separator/>
      </w:r>
    </w:p>
  </w:endnote>
  <w:endnote w:type="continuationSeparator" w:id="0">
    <w:p w14:paraId="429C9254" w14:textId="77777777" w:rsidR="00400843" w:rsidRDefault="00400843"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4F3D3B23" w14:textId="092645A3" w:rsidR="00400843" w:rsidRPr="00913388" w:rsidRDefault="00400843"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4F7FD0">
          <w:rPr>
            <w:rFonts w:ascii="Arial" w:hAnsi="Arial" w:cs="Arial"/>
            <w:noProof/>
            <w:sz w:val="18"/>
            <w:szCs w:val="18"/>
          </w:rPr>
          <w:t>408</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1409202E" w14:textId="6DB00DCA" w:rsidR="00400843" w:rsidRDefault="00400843"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4F7FD0">
          <w:rPr>
            <w:rFonts w:ascii="Arial" w:hAnsi="Arial" w:cs="Arial"/>
            <w:noProof/>
            <w:sz w:val="18"/>
            <w:szCs w:val="18"/>
          </w:rPr>
          <w:t>389</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5A93" w14:textId="77777777" w:rsidR="00400843" w:rsidRPr="005D4F1D" w:rsidRDefault="00400843" w:rsidP="008710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sdt>
    <w:sdtPr>
      <w:id w:val="1006628458"/>
      <w:docPartObj>
        <w:docPartGallery w:val="Page Numbers (Bottom of Page)"/>
        <w:docPartUnique/>
      </w:docPartObj>
    </w:sdtPr>
    <w:sdtEndPr>
      <w:rPr>
        <w:noProof/>
      </w:rPr>
    </w:sdtEndPr>
    <w:sdtContent>
      <w:p w14:paraId="3D8B9497" w14:textId="13933C9A" w:rsidR="00400843" w:rsidRDefault="00400843"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4F7FD0">
          <w:rPr>
            <w:rFonts w:ascii="Arial" w:hAnsi="Arial" w:cs="Arial"/>
            <w:noProof/>
            <w:sz w:val="18"/>
            <w:szCs w:val="18"/>
          </w:rPr>
          <w:t>407</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E2CA" w14:textId="77777777" w:rsidR="00400843" w:rsidRDefault="00400843" w:rsidP="00913388">
      <w:pPr>
        <w:spacing w:after="0"/>
      </w:pPr>
      <w:r>
        <w:separator/>
      </w:r>
    </w:p>
  </w:footnote>
  <w:footnote w:type="continuationSeparator" w:id="0">
    <w:p w14:paraId="7E4B7816" w14:textId="77777777" w:rsidR="00400843" w:rsidRDefault="00400843" w:rsidP="00913388">
      <w:pPr>
        <w:spacing w:after="0"/>
      </w:pPr>
      <w:r>
        <w:continuationSeparator/>
      </w:r>
    </w:p>
  </w:footnote>
  <w:footnote w:id="1">
    <w:p w14:paraId="200DD5F5" w14:textId="036A4C58" w:rsidR="00400843" w:rsidRPr="007D7165" w:rsidRDefault="00400843" w:rsidP="00F42D55">
      <w:pPr>
        <w:pStyle w:val="FootnoteText"/>
        <w:rPr>
          <w:color w:val="auto"/>
        </w:rPr>
      </w:pPr>
      <w:r>
        <w:rPr>
          <w:rStyle w:val="FootnoteReference"/>
        </w:rPr>
        <w:footnoteRef/>
      </w:r>
      <w:r>
        <w:tab/>
      </w:r>
      <w:r w:rsidRPr="00AE0682">
        <w:t xml:space="preserve">For more information about the strategic direction of the </w:t>
      </w:r>
      <w:r>
        <w:t>OTA</w:t>
      </w:r>
      <w:r w:rsidRPr="00AE0682">
        <w:t xml:space="preserve">, refer to the current Corporate Plan, available at: </w:t>
      </w:r>
      <w:r w:rsidRPr="00BD5549">
        <w:rPr>
          <w:color w:val="auto"/>
        </w:rPr>
        <w:t>www.donatelife.gov.au/about-us/strategy-and-performance/corporate-plan</w:t>
      </w:r>
      <w:r w:rsidRPr="00295539">
        <w:rPr>
          <w:rFonts w:cs="Arial"/>
          <w:color w:val="FF0000"/>
        </w:rPr>
        <w:t xml:space="preserve"> </w:t>
      </w:r>
    </w:p>
  </w:footnote>
  <w:footnote w:id="2">
    <w:p w14:paraId="4DD5E4E1" w14:textId="5D50B588" w:rsidR="00400843" w:rsidRDefault="00400843" w:rsidP="00F42D55">
      <w:pPr>
        <w:pStyle w:val="FootnoteText"/>
      </w:pPr>
      <w:r>
        <w:rPr>
          <w:rStyle w:val="FootnoteReference"/>
        </w:rPr>
        <w:footnoteRef/>
      </w:r>
      <w:r>
        <w:t xml:space="preserve"> </w:t>
      </w:r>
      <w:r>
        <w:tab/>
        <w:t xml:space="preserve">Performance measures are reported by calendar year to align with Australian and international donation and performance reporting practice. Annual data reports can be accessed at: </w:t>
      </w:r>
      <w:r w:rsidRPr="001940BD">
        <w:t>www.donatelife.gov.au/about-us/</w:t>
      </w:r>
      <w:r>
        <w:t>data-and-research/data-reports</w:t>
      </w:r>
    </w:p>
  </w:footnote>
  <w:footnote w:id="3">
    <w:p w14:paraId="4786693C" w14:textId="4CA3CF30" w:rsidR="00060542" w:rsidRDefault="0080219A">
      <w:pPr>
        <w:pStyle w:val="FootnoteText"/>
      </w:pPr>
      <w:r>
        <w:rPr>
          <w:rStyle w:val="FootnoteReference"/>
        </w:rPr>
        <w:footnoteRef/>
      </w:r>
      <w:r w:rsidR="00060542">
        <w:t xml:space="preserve"> </w:t>
      </w:r>
      <w:r w:rsidR="00060542">
        <w:tab/>
        <w:t>The COVID-19 pandemic has directly impacted the national program through</w:t>
      </w:r>
      <w:r w:rsidR="00F9194F">
        <w:t xml:space="preserve"> increased patient risks from the virus, impact on hospitals and</w:t>
      </w:r>
      <w:r w:rsidR="00060542">
        <w:t xml:space="preserve"> pandemic restrictions, reduction in commercial flights, and border closures, resulting in a decrease in donation and transplantation activity.</w:t>
      </w:r>
    </w:p>
  </w:footnote>
  <w:footnote w:id="4">
    <w:p w14:paraId="30738053" w14:textId="09D046CC" w:rsidR="0080219A" w:rsidRDefault="0080219A">
      <w:pPr>
        <w:pStyle w:val="FootnoteText"/>
      </w:pPr>
      <w:r>
        <w:rPr>
          <w:rStyle w:val="FootnoteReference"/>
        </w:rPr>
        <w:footnoteRef/>
      </w:r>
      <w:r>
        <w:t xml:space="preserve"> </w:t>
      </w:r>
      <w:r>
        <w:tab/>
        <w:t xml:space="preserve">The COVID-19 pandemic has directly impacted the national program through </w:t>
      </w:r>
      <w:r w:rsidR="00F9194F">
        <w:t xml:space="preserve">increased patient risks from the virus, impact on hospitals and </w:t>
      </w:r>
      <w:r>
        <w:t xml:space="preserve">pandemic restrictions, reduction in commercial flights, and border closures, resulting in a decrease in donation and transplantation activity. Hospital restrictions requiring </w:t>
      </w:r>
      <w:r w:rsidR="00F9194F">
        <w:t xml:space="preserve">donation </w:t>
      </w:r>
      <w:r>
        <w:t>consent discussions</w:t>
      </w:r>
      <w:r w:rsidR="00F9194F">
        <w:t xml:space="preserve"> with families</w:t>
      </w:r>
      <w:r>
        <w:t xml:space="preserve"> to happen via tele- or videoconferencing rather than </w:t>
      </w:r>
      <w:r w:rsidR="00CF1BD8">
        <w:br/>
      </w:r>
      <w:r>
        <w:t>face-to-face have contr</w:t>
      </w:r>
      <w:r w:rsidR="0016061B">
        <w:t>ibuted to the result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5053" w14:textId="563CF96D" w:rsidR="00400843" w:rsidRPr="003A526F" w:rsidRDefault="00400843" w:rsidP="00E724F7">
    <w:pPr>
      <w:pStyle w:val="Header"/>
      <w:tabs>
        <w:tab w:val="clear" w:pos="4513"/>
        <w:tab w:val="clear" w:pos="9026"/>
        <w:tab w:val="left" w:pos="1851"/>
      </w:tabs>
      <w:jc w:val="center"/>
      <w:rPr>
        <w:rFonts w:ascii="Arial" w:hAnsi="Arial" w:cs="Arial"/>
        <w:b/>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CB61" w14:textId="08833487" w:rsidR="00400843" w:rsidRDefault="00400843" w:rsidP="00E22BFA">
    <w:pPr>
      <w:pStyle w:val="Header1-Right"/>
      <w:spacing w:after="40"/>
    </w:pPr>
    <w:r>
      <w:t>OTA – Section 2 – Outcomes and Planned Performance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862D" w14:textId="73BE541B" w:rsidR="00400843" w:rsidRDefault="004008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A853" w14:textId="77777777" w:rsidR="00400843" w:rsidRDefault="00400843" w:rsidP="00E22BFA">
    <w:pPr>
      <w:pStyle w:val="Header1-Right-Odd"/>
      <w:spacing w:after="40"/>
      <w:jc w:val="center"/>
      <w:rPr>
        <w:b/>
        <w:color w:val="FF0000"/>
        <w:sz w:val="24"/>
        <w:szCs w:val="24"/>
      </w:rPr>
    </w:pPr>
    <w:r>
      <w:rPr>
        <w:b/>
        <w:color w:val="FF0000"/>
        <w:sz w:val="24"/>
        <w:szCs w:val="24"/>
      </w:rPr>
      <w:t>PROTECTED</w:t>
    </w:r>
  </w:p>
  <w:p w14:paraId="06CEAC69" w14:textId="31FE280D" w:rsidR="00400843" w:rsidRDefault="00400843" w:rsidP="00E22BFA">
    <w:pPr>
      <w:pStyle w:val="Header2-Left"/>
      <w:spacing w:after="40"/>
    </w:pPr>
    <w:r>
      <w:t xml:space="preserve">2022–23 Portfolio Budget Statements – </w:t>
    </w:r>
    <w:r w:rsidRPr="00BD5549">
      <w:t>OTA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94A8" w14:textId="7E533CA8" w:rsidR="00400843" w:rsidRDefault="00400843" w:rsidP="007C5E49">
    <w:pPr>
      <w:pStyle w:val="Header1-Right"/>
    </w:pPr>
    <w:r>
      <w:t>OTA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29D5" w14:textId="2C82D3A5" w:rsidR="00400843" w:rsidRDefault="004008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2C83" w14:textId="4259291A" w:rsidR="00400843" w:rsidRPr="00DA2B8D" w:rsidRDefault="00400843" w:rsidP="00755B7F">
    <w:pPr>
      <w:pStyle w:val="Header2-Left"/>
      <w:spacing w:after="0"/>
    </w:pPr>
    <w:r>
      <w:t xml:space="preserve">2022–23 Portfolio Budget Statements – </w:t>
    </w:r>
    <w:r w:rsidRPr="00BD5549">
      <w:t>OTA</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6B85" w14:textId="7F240F06" w:rsidR="00400843" w:rsidRDefault="00400843" w:rsidP="00E22BFA">
    <w:pPr>
      <w:pStyle w:val="Header1-Right"/>
      <w:spacing w:after="40"/>
    </w:pPr>
    <w:r>
      <w:t>OTA – Section 3 – Budgeted Financial Statements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BAB3" w14:textId="5A4AF33D" w:rsidR="00400843" w:rsidRDefault="004008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1466" w14:textId="2564E729" w:rsidR="003F67B4" w:rsidRPr="003F67B4" w:rsidRDefault="003F67B4" w:rsidP="003F6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B8E2" w14:textId="27EA25DC" w:rsidR="00400843" w:rsidRPr="005D4F1D" w:rsidRDefault="00400843" w:rsidP="00F853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p w14:paraId="03B3F41E" w14:textId="7C39C002" w:rsidR="00400843" w:rsidRPr="003A526F" w:rsidRDefault="00400843" w:rsidP="003A526F">
    <w:pPr>
      <w:pStyle w:val="Header"/>
      <w:tabs>
        <w:tab w:val="clear" w:pos="4513"/>
        <w:tab w:val="clear" w:pos="9026"/>
        <w:tab w:val="left" w:pos="1140"/>
      </w:tabs>
      <w:rPr>
        <w:rFonts w:ascii="Arial" w:hAnsi="Arial" w:cs="Arial"/>
        <w:b/>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F692" w14:textId="524590B9" w:rsidR="00400843" w:rsidRDefault="00400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4982" w14:textId="3E9BA04C" w:rsidR="00400843" w:rsidRPr="00A614F8" w:rsidRDefault="00400843" w:rsidP="00A614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6097" w14:textId="4E87FEC4" w:rsidR="00400843" w:rsidRDefault="004008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9AF5" w14:textId="01343EAC" w:rsidR="00400843" w:rsidRDefault="00400843" w:rsidP="00E22BFA">
    <w:pPr>
      <w:pStyle w:val="Header2-Left"/>
      <w:spacing w:after="40"/>
    </w:pPr>
    <w:r>
      <w:t xml:space="preserve">2022–23 Portfolio Budget Statements – </w:t>
    </w:r>
    <w:r w:rsidRPr="00BD5549">
      <w:t>OTA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4C15" w14:textId="4C54FEC3" w:rsidR="00400843" w:rsidRDefault="00400843" w:rsidP="00E22BFA">
    <w:pPr>
      <w:pStyle w:val="Header1-Right"/>
      <w:spacing w:after="40"/>
    </w:pPr>
    <w:r>
      <w:t>OTA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D6C7" w14:textId="664F09B4" w:rsidR="00400843" w:rsidRDefault="004008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AB51" w14:textId="67AD903C" w:rsidR="00400843" w:rsidRDefault="00400843" w:rsidP="00E22BFA">
    <w:pPr>
      <w:pStyle w:val="Header2-Left"/>
      <w:spacing w:after="40"/>
    </w:pPr>
    <w:r>
      <w:t xml:space="preserve">2022–23 Portfolio Budget Statements – </w:t>
    </w:r>
    <w:r w:rsidRPr="00BD5549">
      <w:t>OTA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BB4"/>
    <w:multiLevelType w:val="hybridMultilevel"/>
    <w:tmpl w:val="353C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C246C15"/>
    <w:multiLevelType w:val="hybridMultilevel"/>
    <w:tmpl w:val="775E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947060"/>
    <w:multiLevelType w:val="hybridMultilevel"/>
    <w:tmpl w:val="5C662B3E"/>
    <w:lvl w:ilvl="0" w:tplc="F50217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5E3065"/>
    <w:multiLevelType w:val="hybridMultilevel"/>
    <w:tmpl w:val="5FF82336"/>
    <w:lvl w:ilvl="0" w:tplc="76ECD804">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48244A5B"/>
    <w:multiLevelType w:val="hybridMultilevel"/>
    <w:tmpl w:val="F3FEE24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6A7B5F"/>
    <w:multiLevelType w:val="hybridMultilevel"/>
    <w:tmpl w:val="3C8073FA"/>
    <w:lvl w:ilvl="0" w:tplc="76ECD804">
      <w:start w:val="1"/>
      <w:numFmt w:val="bullet"/>
      <w:lvlText w:val="­"/>
      <w:lvlJc w:val="left"/>
      <w:pPr>
        <w:ind w:left="720" w:hanging="360"/>
      </w:pPr>
      <w:rPr>
        <w:rFonts w:ascii="Courier New" w:hAnsi="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E21D41"/>
    <w:multiLevelType w:val="hybridMultilevel"/>
    <w:tmpl w:val="98BCD84C"/>
    <w:lvl w:ilvl="0" w:tplc="76ECD804">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ED5E35"/>
    <w:multiLevelType w:val="hybridMultilevel"/>
    <w:tmpl w:val="4FA4B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F203D5"/>
    <w:multiLevelType w:val="hybridMultilevel"/>
    <w:tmpl w:val="D6B2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99126D"/>
    <w:multiLevelType w:val="hybridMultilevel"/>
    <w:tmpl w:val="24147104"/>
    <w:lvl w:ilvl="0" w:tplc="F50217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7"/>
  </w:num>
  <w:num w:numId="5">
    <w:abstractNumId w:val="11"/>
  </w:num>
  <w:num w:numId="6">
    <w:abstractNumId w:val="1"/>
  </w:num>
  <w:num w:numId="7">
    <w:abstractNumId w:val="14"/>
  </w:num>
  <w:num w:numId="8">
    <w:abstractNumId w:val="3"/>
  </w:num>
  <w:num w:numId="9">
    <w:abstractNumId w:val="4"/>
  </w:num>
  <w:num w:numId="10">
    <w:abstractNumId w:val="0"/>
  </w:num>
  <w:num w:numId="11">
    <w:abstractNumId w:val="10"/>
  </w:num>
  <w:num w:numId="12">
    <w:abstractNumId w:val="8"/>
  </w:num>
  <w:num w:numId="13">
    <w:abstractNumId w:val="15"/>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B12"/>
    <w:rsid w:val="00005E03"/>
    <w:rsid w:val="000136DC"/>
    <w:rsid w:val="000139C3"/>
    <w:rsid w:val="0002065B"/>
    <w:rsid w:val="00020D19"/>
    <w:rsid w:val="00043127"/>
    <w:rsid w:val="000459A6"/>
    <w:rsid w:val="00060542"/>
    <w:rsid w:val="00063C30"/>
    <w:rsid w:val="000975A2"/>
    <w:rsid w:val="00097814"/>
    <w:rsid w:val="000A3011"/>
    <w:rsid w:val="000B033D"/>
    <w:rsid w:val="000B23C9"/>
    <w:rsid w:val="000C027D"/>
    <w:rsid w:val="000D51A6"/>
    <w:rsid w:val="000E3678"/>
    <w:rsid w:val="00104D31"/>
    <w:rsid w:val="00113191"/>
    <w:rsid w:val="00117748"/>
    <w:rsid w:val="00132254"/>
    <w:rsid w:val="0013391B"/>
    <w:rsid w:val="00134DD1"/>
    <w:rsid w:val="00135BFB"/>
    <w:rsid w:val="001479BF"/>
    <w:rsid w:val="00160029"/>
    <w:rsid w:val="0016061B"/>
    <w:rsid w:val="0017078A"/>
    <w:rsid w:val="0017305E"/>
    <w:rsid w:val="00181F2E"/>
    <w:rsid w:val="001940BD"/>
    <w:rsid w:val="001A1FCB"/>
    <w:rsid w:val="001A279B"/>
    <w:rsid w:val="001C2799"/>
    <w:rsid w:val="001C78E9"/>
    <w:rsid w:val="001E2F27"/>
    <w:rsid w:val="001E31BC"/>
    <w:rsid w:val="00206A99"/>
    <w:rsid w:val="00210F0B"/>
    <w:rsid w:val="00211BC8"/>
    <w:rsid w:val="00230BB0"/>
    <w:rsid w:val="00244905"/>
    <w:rsid w:val="0024539A"/>
    <w:rsid w:val="00254C4C"/>
    <w:rsid w:val="002616CA"/>
    <w:rsid w:val="00280050"/>
    <w:rsid w:val="0028412E"/>
    <w:rsid w:val="00295539"/>
    <w:rsid w:val="002958C8"/>
    <w:rsid w:val="002B0585"/>
    <w:rsid w:val="002B0F4E"/>
    <w:rsid w:val="002D3D25"/>
    <w:rsid w:val="002D6C1C"/>
    <w:rsid w:val="002E0591"/>
    <w:rsid w:val="002F5B08"/>
    <w:rsid w:val="003163D1"/>
    <w:rsid w:val="003221D0"/>
    <w:rsid w:val="0032224D"/>
    <w:rsid w:val="00334111"/>
    <w:rsid w:val="00335A4B"/>
    <w:rsid w:val="00337788"/>
    <w:rsid w:val="0035220E"/>
    <w:rsid w:val="00357948"/>
    <w:rsid w:val="0037037F"/>
    <w:rsid w:val="00394EE3"/>
    <w:rsid w:val="003967EF"/>
    <w:rsid w:val="003A526F"/>
    <w:rsid w:val="003B0A03"/>
    <w:rsid w:val="003B4AA6"/>
    <w:rsid w:val="003B65F2"/>
    <w:rsid w:val="003B737E"/>
    <w:rsid w:val="003D3EB0"/>
    <w:rsid w:val="003E2F0D"/>
    <w:rsid w:val="003E4B82"/>
    <w:rsid w:val="003E6028"/>
    <w:rsid w:val="003F2264"/>
    <w:rsid w:val="003F67B4"/>
    <w:rsid w:val="00400843"/>
    <w:rsid w:val="00407741"/>
    <w:rsid w:val="004200AA"/>
    <w:rsid w:val="00441B38"/>
    <w:rsid w:val="00445052"/>
    <w:rsid w:val="00461397"/>
    <w:rsid w:val="004679D7"/>
    <w:rsid w:val="004756DF"/>
    <w:rsid w:val="004A449A"/>
    <w:rsid w:val="004A6975"/>
    <w:rsid w:val="004B0050"/>
    <w:rsid w:val="004B67F9"/>
    <w:rsid w:val="004C3217"/>
    <w:rsid w:val="004C4B05"/>
    <w:rsid w:val="004D2314"/>
    <w:rsid w:val="004E19FF"/>
    <w:rsid w:val="004F7FD0"/>
    <w:rsid w:val="005016B9"/>
    <w:rsid w:val="00503B33"/>
    <w:rsid w:val="00514917"/>
    <w:rsid w:val="00515E92"/>
    <w:rsid w:val="0052128F"/>
    <w:rsid w:val="0052180A"/>
    <w:rsid w:val="00527466"/>
    <w:rsid w:val="00545690"/>
    <w:rsid w:val="005550CB"/>
    <w:rsid w:val="00561668"/>
    <w:rsid w:val="005831DD"/>
    <w:rsid w:val="00584912"/>
    <w:rsid w:val="005B4917"/>
    <w:rsid w:val="005C0161"/>
    <w:rsid w:val="005C0FEB"/>
    <w:rsid w:val="005D52B5"/>
    <w:rsid w:val="005E24D0"/>
    <w:rsid w:val="005F301F"/>
    <w:rsid w:val="005F482A"/>
    <w:rsid w:val="005F54C8"/>
    <w:rsid w:val="0060433F"/>
    <w:rsid w:val="00631903"/>
    <w:rsid w:val="00642488"/>
    <w:rsid w:val="0065561D"/>
    <w:rsid w:val="006604A5"/>
    <w:rsid w:val="006666D4"/>
    <w:rsid w:val="0067564F"/>
    <w:rsid w:val="006972EC"/>
    <w:rsid w:val="006A12E7"/>
    <w:rsid w:val="006B03E9"/>
    <w:rsid w:val="006B0F59"/>
    <w:rsid w:val="006B262B"/>
    <w:rsid w:val="006C41E1"/>
    <w:rsid w:val="006D160A"/>
    <w:rsid w:val="006D51F6"/>
    <w:rsid w:val="006D6502"/>
    <w:rsid w:val="006D7974"/>
    <w:rsid w:val="006E633E"/>
    <w:rsid w:val="006F7BFE"/>
    <w:rsid w:val="007027D7"/>
    <w:rsid w:val="00710586"/>
    <w:rsid w:val="007209F6"/>
    <w:rsid w:val="00755B7F"/>
    <w:rsid w:val="00756BE7"/>
    <w:rsid w:val="00773FAE"/>
    <w:rsid w:val="00786AC2"/>
    <w:rsid w:val="007A0E6D"/>
    <w:rsid w:val="007A47C2"/>
    <w:rsid w:val="007A788C"/>
    <w:rsid w:val="007C17A5"/>
    <w:rsid w:val="007C5E49"/>
    <w:rsid w:val="007E5B8B"/>
    <w:rsid w:val="007E6988"/>
    <w:rsid w:val="007E75EA"/>
    <w:rsid w:val="00801BB7"/>
    <w:rsid w:val="0080219A"/>
    <w:rsid w:val="00806B50"/>
    <w:rsid w:val="008250BA"/>
    <w:rsid w:val="00840561"/>
    <w:rsid w:val="00841D0B"/>
    <w:rsid w:val="00851DCD"/>
    <w:rsid w:val="00857D61"/>
    <w:rsid w:val="00871062"/>
    <w:rsid w:val="00890C4C"/>
    <w:rsid w:val="008A3C7F"/>
    <w:rsid w:val="008B5237"/>
    <w:rsid w:val="008C54CC"/>
    <w:rsid w:val="008C5D8B"/>
    <w:rsid w:val="008C745E"/>
    <w:rsid w:val="008C7AF2"/>
    <w:rsid w:val="008E0AA0"/>
    <w:rsid w:val="008E25E8"/>
    <w:rsid w:val="008F4B8B"/>
    <w:rsid w:val="009002B3"/>
    <w:rsid w:val="0090170F"/>
    <w:rsid w:val="009022A8"/>
    <w:rsid w:val="00913388"/>
    <w:rsid w:val="009144D3"/>
    <w:rsid w:val="009346EA"/>
    <w:rsid w:val="00935922"/>
    <w:rsid w:val="009420B6"/>
    <w:rsid w:val="00954A5F"/>
    <w:rsid w:val="00971A60"/>
    <w:rsid w:val="00982B46"/>
    <w:rsid w:val="00982EA4"/>
    <w:rsid w:val="009A1747"/>
    <w:rsid w:val="009A2450"/>
    <w:rsid w:val="009A3D76"/>
    <w:rsid w:val="009B3BEB"/>
    <w:rsid w:val="00A0354B"/>
    <w:rsid w:val="00A063DA"/>
    <w:rsid w:val="00A12C21"/>
    <w:rsid w:val="00A15739"/>
    <w:rsid w:val="00A163DA"/>
    <w:rsid w:val="00A4403D"/>
    <w:rsid w:val="00A54836"/>
    <w:rsid w:val="00A614F8"/>
    <w:rsid w:val="00A668BF"/>
    <w:rsid w:val="00A830AC"/>
    <w:rsid w:val="00A86EE3"/>
    <w:rsid w:val="00A956F7"/>
    <w:rsid w:val="00AA44F1"/>
    <w:rsid w:val="00AA6323"/>
    <w:rsid w:val="00AC1122"/>
    <w:rsid w:val="00AC2CD2"/>
    <w:rsid w:val="00AC46FA"/>
    <w:rsid w:val="00AE0897"/>
    <w:rsid w:val="00AE3800"/>
    <w:rsid w:val="00AF2FE6"/>
    <w:rsid w:val="00B02F8B"/>
    <w:rsid w:val="00B32726"/>
    <w:rsid w:val="00B34C79"/>
    <w:rsid w:val="00B51A75"/>
    <w:rsid w:val="00B51B51"/>
    <w:rsid w:val="00B6469B"/>
    <w:rsid w:val="00B87B5E"/>
    <w:rsid w:val="00BB788E"/>
    <w:rsid w:val="00BC0659"/>
    <w:rsid w:val="00BC51CC"/>
    <w:rsid w:val="00BD5549"/>
    <w:rsid w:val="00BD7B5E"/>
    <w:rsid w:val="00BE1B5E"/>
    <w:rsid w:val="00C04C5C"/>
    <w:rsid w:val="00C259E6"/>
    <w:rsid w:val="00C35267"/>
    <w:rsid w:val="00C51804"/>
    <w:rsid w:val="00C55C09"/>
    <w:rsid w:val="00C97294"/>
    <w:rsid w:val="00CA7C44"/>
    <w:rsid w:val="00CB22F4"/>
    <w:rsid w:val="00CB71D0"/>
    <w:rsid w:val="00CD7EDE"/>
    <w:rsid w:val="00CE1C72"/>
    <w:rsid w:val="00CE2D18"/>
    <w:rsid w:val="00CE2F67"/>
    <w:rsid w:val="00CF1BD8"/>
    <w:rsid w:val="00CF2E99"/>
    <w:rsid w:val="00CF3C53"/>
    <w:rsid w:val="00CF40C3"/>
    <w:rsid w:val="00CF515F"/>
    <w:rsid w:val="00D317BD"/>
    <w:rsid w:val="00D44A98"/>
    <w:rsid w:val="00D7664B"/>
    <w:rsid w:val="00D80DF5"/>
    <w:rsid w:val="00D81F4F"/>
    <w:rsid w:val="00D916F3"/>
    <w:rsid w:val="00D921B7"/>
    <w:rsid w:val="00DA2B8D"/>
    <w:rsid w:val="00DC4CA3"/>
    <w:rsid w:val="00DC4E90"/>
    <w:rsid w:val="00DC5CC6"/>
    <w:rsid w:val="00DF40C5"/>
    <w:rsid w:val="00E025A1"/>
    <w:rsid w:val="00E10372"/>
    <w:rsid w:val="00E1572A"/>
    <w:rsid w:val="00E22BFA"/>
    <w:rsid w:val="00E26AB1"/>
    <w:rsid w:val="00E4289F"/>
    <w:rsid w:val="00E50F0D"/>
    <w:rsid w:val="00E66CC7"/>
    <w:rsid w:val="00E724F7"/>
    <w:rsid w:val="00E9560E"/>
    <w:rsid w:val="00EB0910"/>
    <w:rsid w:val="00EB5EDE"/>
    <w:rsid w:val="00EC7006"/>
    <w:rsid w:val="00ED6F54"/>
    <w:rsid w:val="00EE76CA"/>
    <w:rsid w:val="00EF5690"/>
    <w:rsid w:val="00EF7595"/>
    <w:rsid w:val="00F0722E"/>
    <w:rsid w:val="00F14D6C"/>
    <w:rsid w:val="00F35E28"/>
    <w:rsid w:val="00F35E34"/>
    <w:rsid w:val="00F374AF"/>
    <w:rsid w:val="00F4035F"/>
    <w:rsid w:val="00F4156D"/>
    <w:rsid w:val="00F42D55"/>
    <w:rsid w:val="00F441BB"/>
    <w:rsid w:val="00F446D2"/>
    <w:rsid w:val="00F44AB7"/>
    <w:rsid w:val="00F46E5E"/>
    <w:rsid w:val="00F72131"/>
    <w:rsid w:val="00F74A90"/>
    <w:rsid w:val="00F820ED"/>
    <w:rsid w:val="00F85362"/>
    <w:rsid w:val="00F915C4"/>
    <w:rsid w:val="00F9192D"/>
    <w:rsid w:val="00F9194F"/>
    <w:rsid w:val="00F94B67"/>
    <w:rsid w:val="00FA06C5"/>
    <w:rsid w:val="00FA2DBB"/>
    <w:rsid w:val="00FA3D67"/>
    <w:rsid w:val="00FC4239"/>
    <w:rsid w:val="00FC5A1B"/>
    <w:rsid w:val="00FC671C"/>
    <w:rsid w:val="00FF0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5BC4328"/>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DepartmentalResources">
    <w:name w:val="Departmental Resources"/>
    <w:basedOn w:val="Normal"/>
    <w:link w:val="DepartmentalResourcesChar"/>
    <w:qFormat/>
    <w:rsid w:val="00CF2E99"/>
    <w:pPr>
      <w:keepNext/>
      <w:spacing w:before="120"/>
    </w:pPr>
    <w:rPr>
      <w:rFonts w:cs="Arial"/>
      <w:b/>
      <w:sz w:val="18"/>
      <w:szCs w:val="18"/>
    </w:rPr>
  </w:style>
  <w:style w:type="character" w:customStyle="1" w:styleId="DepartmentalResourcesChar">
    <w:name w:val="Departmental Resources Char"/>
    <w:basedOn w:val="DefaultParagraphFont"/>
    <w:link w:val="DepartmentalResources"/>
    <w:rsid w:val="00CF2E99"/>
    <w:rPr>
      <w:rFonts w:ascii="Book Antiqua" w:eastAsia="Times New Roman" w:hAnsi="Book Antiqua" w:cs="Arial"/>
      <w:b/>
      <w:color w:val="000000"/>
      <w:sz w:val="18"/>
      <w:szCs w:val="18"/>
      <w:lang w:eastAsia="en-AU"/>
    </w:rPr>
  </w:style>
  <w:style w:type="paragraph" w:styleId="BalloonText">
    <w:name w:val="Balloon Text"/>
    <w:basedOn w:val="Normal"/>
    <w:link w:val="BalloonTextChar"/>
    <w:uiPriority w:val="99"/>
    <w:semiHidden/>
    <w:unhideWhenUsed/>
    <w:rsid w:val="002616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6CA"/>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F35E28"/>
    <w:rPr>
      <w:sz w:val="16"/>
      <w:szCs w:val="16"/>
    </w:rPr>
  </w:style>
  <w:style w:type="paragraph" w:styleId="CommentText">
    <w:name w:val="annotation text"/>
    <w:basedOn w:val="Normal"/>
    <w:link w:val="CommentTextChar"/>
    <w:uiPriority w:val="99"/>
    <w:semiHidden/>
    <w:unhideWhenUsed/>
    <w:rsid w:val="00F35E28"/>
  </w:style>
  <w:style w:type="character" w:customStyle="1" w:styleId="CommentTextChar">
    <w:name w:val="Comment Text Char"/>
    <w:basedOn w:val="DefaultParagraphFont"/>
    <w:link w:val="CommentText"/>
    <w:uiPriority w:val="99"/>
    <w:semiHidden/>
    <w:rsid w:val="00F35E28"/>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F35E28"/>
    <w:rPr>
      <w:b/>
      <w:bCs/>
    </w:rPr>
  </w:style>
  <w:style w:type="character" w:customStyle="1" w:styleId="CommentSubjectChar">
    <w:name w:val="Comment Subject Char"/>
    <w:basedOn w:val="CommentTextChar"/>
    <w:link w:val="CommentSubject"/>
    <w:uiPriority w:val="99"/>
    <w:semiHidden/>
    <w:rsid w:val="00F35E28"/>
    <w:rPr>
      <w:rFonts w:ascii="Book Antiqua" w:eastAsia="Times New Roman" w:hAnsi="Book Antiqua"/>
      <w:b/>
      <w:bCs/>
      <w:color w:val="000000"/>
      <w:sz w:val="20"/>
      <w:szCs w:val="20"/>
      <w:lang w:eastAsia="en-AU"/>
    </w:rPr>
  </w:style>
  <w:style w:type="paragraph" w:styleId="EndnoteText">
    <w:name w:val="endnote text"/>
    <w:basedOn w:val="Normal"/>
    <w:link w:val="EndnoteTextChar"/>
    <w:uiPriority w:val="99"/>
    <w:semiHidden/>
    <w:unhideWhenUsed/>
    <w:rsid w:val="006F7BFE"/>
    <w:pPr>
      <w:spacing w:after="0"/>
    </w:pPr>
  </w:style>
  <w:style w:type="character" w:customStyle="1" w:styleId="EndnoteTextChar">
    <w:name w:val="Endnote Text Char"/>
    <w:basedOn w:val="DefaultParagraphFont"/>
    <w:link w:val="EndnoteText"/>
    <w:uiPriority w:val="99"/>
    <w:semiHidden/>
    <w:rsid w:val="006F7BFE"/>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6F7BFE"/>
    <w:rPr>
      <w:vertAlign w:val="superscript"/>
    </w:rPr>
  </w:style>
  <w:style w:type="paragraph" w:styleId="Revision">
    <w:name w:val="Revision"/>
    <w:hidden/>
    <w:uiPriority w:val="99"/>
    <w:semiHidden/>
    <w:rsid w:val="005E24D0"/>
    <w:pPr>
      <w:spacing w:after="0" w:line="240" w:lineRule="auto"/>
    </w:pPr>
    <w:rPr>
      <w:rFonts w:ascii="Book Antiqua" w:eastAsia="Times New Roman" w:hAnsi="Book Antiqua"/>
      <w:color w:val="000000"/>
      <w:sz w:val="20"/>
      <w:szCs w:val="20"/>
      <w:lang w:eastAsia="en-AU"/>
    </w:rPr>
  </w:style>
  <w:style w:type="character" w:customStyle="1" w:styleId="Header1-Right-OddChar">
    <w:name w:val="Header 1 - Right - Odd Char"/>
    <w:basedOn w:val="DefaultParagraphFont"/>
    <w:link w:val="Header1-Right-Odd"/>
    <w:locked/>
    <w:rsid w:val="002B0585"/>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B0585"/>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9812">
      <w:bodyDiv w:val="1"/>
      <w:marLeft w:val="0"/>
      <w:marRight w:val="0"/>
      <w:marTop w:val="0"/>
      <w:marBottom w:val="0"/>
      <w:divBdr>
        <w:top w:val="none" w:sz="0" w:space="0" w:color="auto"/>
        <w:left w:val="none" w:sz="0" w:space="0" w:color="auto"/>
        <w:bottom w:val="none" w:sz="0" w:space="0" w:color="auto"/>
        <w:right w:val="none" w:sz="0" w:space="0" w:color="auto"/>
      </w:divBdr>
    </w:div>
    <w:div w:id="131558616">
      <w:bodyDiv w:val="1"/>
      <w:marLeft w:val="0"/>
      <w:marRight w:val="0"/>
      <w:marTop w:val="0"/>
      <w:marBottom w:val="0"/>
      <w:divBdr>
        <w:top w:val="none" w:sz="0" w:space="0" w:color="auto"/>
        <w:left w:val="none" w:sz="0" w:space="0" w:color="auto"/>
        <w:bottom w:val="none" w:sz="0" w:space="0" w:color="auto"/>
        <w:right w:val="none" w:sz="0" w:space="0" w:color="auto"/>
      </w:divBdr>
    </w:div>
    <w:div w:id="216550738">
      <w:bodyDiv w:val="1"/>
      <w:marLeft w:val="0"/>
      <w:marRight w:val="0"/>
      <w:marTop w:val="0"/>
      <w:marBottom w:val="0"/>
      <w:divBdr>
        <w:top w:val="none" w:sz="0" w:space="0" w:color="auto"/>
        <w:left w:val="none" w:sz="0" w:space="0" w:color="auto"/>
        <w:bottom w:val="none" w:sz="0" w:space="0" w:color="auto"/>
        <w:right w:val="none" w:sz="0" w:space="0" w:color="auto"/>
      </w:divBdr>
    </w:div>
    <w:div w:id="277876709">
      <w:bodyDiv w:val="1"/>
      <w:marLeft w:val="0"/>
      <w:marRight w:val="0"/>
      <w:marTop w:val="0"/>
      <w:marBottom w:val="0"/>
      <w:divBdr>
        <w:top w:val="none" w:sz="0" w:space="0" w:color="auto"/>
        <w:left w:val="none" w:sz="0" w:space="0" w:color="auto"/>
        <w:bottom w:val="none" w:sz="0" w:space="0" w:color="auto"/>
        <w:right w:val="none" w:sz="0" w:space="0" w:color="auto"/>
      </w:divBdr>
    </w:div>
    <w:div w:id="282620241">
      <w:bodyDiv w:val="1"/>
      <w:marLeft w:val="0"/>
      <w:marRight w:val="0"/>
      <w:marTop w:val="0"/>
      <w:marBottom w:val="0"/>
      <w:divBdr>
        <w:top w:val="none" w:sz="0" w:space="0" w:color="auto"/>
        <w:left w:val="none" w:sz="0" w:space="0" w:color="auto"/>
        <w:bottom w:val="none" w:sz="0" w:space="0" w:color="auto"/>
        <w:right w:val="none" w:sz="0" w:space="0" w:color="auto"/>
      </w:divBdr>
    </w:div>
    <w:div w:id="305209983">
      <w:bodyDiv w:val="1"/>
      <w:marLeft w:val="0"/>
      <w:marRight w:val="0"/>
      <w:marTop w:val="0"/>
      <w:marBottom w:val="0"/>
      <w:divBdr>
        <w:top w:val="none" w:sz="0" w:space="0" w:color="auto"/>
        <w:left w:val="none" w:sz="0" w:space="0" w:color="auto"/>
        <w:bottom w:val="none" w:sz="0" w:space="0" w:color="auto"/>
        <w:right w:val="none" w:sz="0" w:space="0" w:color="auto"/>
      </w:divBdr>
    </w:div>
    <w:div w:id="307711508">
      <w:bodyDiv w:val="1"/>
      <w:marLeft w:val="0"/>
      <w:marRight w:val="0"/>
      <w:marTop w:val="0"/>
      <w:marBottom w:val="0"/>
      <w:divBdr>
        <w:top w:val="none" w:sz="0" w:space="0" w:color="auto"/>
        <w:left w:val="none" w:sz="0" w:space="0" w:color="auto"/>
        <w:bottom w:val="none" w:sz="0" w:space="0" w:color="auto"/>
        <w:right w:val="none" w:sz="0" w:space="0" w:color="auto"/>
      </w:divBdr>
    </w:div>
    <w:div w:id="355890596">
      <w:bodyDiv w:val="1"/>
      <w:marLeft w:val="0"/>
      <w:marRight w:val="0"/>
      <w:marTop w:val="0"/>
      <w:marBottom w:val="0"/>
      <w:divBdr>
        <w:top w:val="none" w:sz="0" w:space="0" w:color="auto"/>
        <w:left w:val="none" w:sz="0" w:space="0" w:color="auto"/>
        <w:bottom w:val="none" w:sz="0" w:space="0" w:color="auto"/>
        <w:right w:val="none" w:sz="0" w:space="0" w:color="auto"/>
      </w:divBdr>
    </w:div>
    <w:div w:id="367028324">
      <w:bodyDiv w:val="1"/>
      <w:marLeft w:val="0"/>
      <w:marRight w:val="0"/>
      <w:marTop w:val="0"/>
      <w:marBottom w:val="0"/>
      <w:divBdr>
        <w:top w:val="none" w:sz="0" w:space="0" w:color="auto"/>
        <w:left w:val="none" w:sz="0" w:space="0" w:color="auto"/>
        <w:bottom w:val="none" w:sz="0" w:space="0" w:color="auto"/>
        <w:right w:val="none" w:sz="0" w:space="0" w:color="auto"/>
      </w:divBdr>
    </w:div>
    <w:div w:id="399402622">
      <w:bodyDiv w:val="1"/>
      <w:marLeft w:val="0"/>
      <w:marRight w:val="0"/>
      <w:marTop w:val="0"/>
      <w:marBottom w:val="0"/>
      <w:divBdr>
        <w:top w:val="none" w:sz="0" w:space="0" w:color="auto"/>
        <w:left w:val="none" w:sz="0" w:space="0" w:color="auto"/>
        <w:bottom w:val="none" w:sz="0" w:space="0" w:color="auto"/>
        <w:right w:val="none" w:sz="0" w:space="0" w:color="auto"/>
      </w:divBdr>
    </w:div>
    <w:div w:id="490830723">
      <w:bodyDiv w:val="1"/>
      <w:marLeft w:val="0"/>
      <w:marRight w:val="0"/>
      <w:marTop w:val="0"/>
      <w:marBottom w:val="0"/>
      <w:divBdr>
        <w:top w:val="none" w:sz="0" w:space="0" w:color="auto"/>
        <w:left w:val="none" w:sz="0" w:space="0" w:color="auto"/>
        <w:bottom w:val="none" w:sz="0" w:space="0" w:color="auto"/>
        <w:right w:val="none" w:sz="0" w:space="0" w:color="auto"/>
      </w:divBdr>
    </w:div>
    <w:div w:id="508373653">
      <w:bodyDiv w:val="1"/>
      <w:marLeft w:val="0"/>
      <w:marRight w:val="0"/>
      <w:marTop w:val="0"/>
      <w:marBottom w:val="0"/>
      <w:divBdr>
        <w:top w:val="none" w:sz="0" w:space="0" w:color="auto"/>
        <w:left w:val="none" w:sz="0" w:space="0" w:color="auto"/>
        <w:bottom w:val="none" w:sz="0" w:space="0" w:color="auto"/>
        <w:right w:val="none" w:sz="0" w:space="0" w:color="auto"/>
      </w:divBdr>
    </w:div>
    <w:div w:id="539584996">
      <w:bodyDiv w:val="1"/>
      <w:marLeft w:val="0"/>
      <w:marRight w:val="0"/>
      <w:marTop w:val="0"/>
      <w:marBottom w:val="0"/>
      <w:divBdr>
        <w:top w:val="none" w:sz="0" w:space="0" w:color="auto"/>
        <w:left w:val="none" w:sz="0" w:space="0" w:color="auto"/>
        <w:bottom w:val="none" w:sz="0" w:space="0" w:color="auto"/>
        <w:right w:val="none" w:sz="0" w:space="0" w:color="auto"/>
      </w:divBdr>
    </w:div>
    <w:div w:id="552740864">
      <w:bodyDiv w:val="1"/>
      <w:marLeft w:val="0"/>
      <w:marRight w:val="0"/>
      <w:marTop w:val="0"/>
      <w:marBottom w:val="0"/>
      <w:divBdr>
        <w:top w:val="none" w:sz="0" w:space="0" w:color="auto"/>
        <w:left w:val="none" w:sz="0" w:space="0" w:color="auto"/>
        <w:bottom w:val="none" w:sz="0" w:space="0" w:color="auto"/>
        <w:right w:val="none" w:sz="0" w:space="0" w:color="auto"/>
      </w:divBdr>
    </w:div>
    <w:div w:id="597712701">
      <w:bodyDiv w:val="1"/>
      <w:marLeft w:val="0"/>
      <w:marRight w:val="0"/>
      <w:marTop w:val="0"/>
      <w:marBottom w:val="0"/>
      <w:divBdr>
        <w:top w:val="none" w:sz="0" w:space="0" w:color="auto"/>
        <w:left w:val="none" w:sz="0" w:space="0" w:color="auto"/>
        <w:bottom w:val="none" w:sz="0" w:space="0" w:color="auto"/>
        <w:right w:val="none" w:sz="0" w:space="0" w:color="auto"/>
      </w:divBdr>
    </w:div>
    <w:div w:id="681589562">
      <w:bodyDiv w:val="1"/>
      <w:marLeft w:val="0"/>
      <w:marRight w:val="0"/>
      <w:marTop w:val="0"/>
      <w:marBottom w:val="0"/>
      <w:divBdr>
        <w:top w:val="none" w:sz="0" w:space="0" w:color="auto"/>
        <w:left w:val="none" w:sz="0" w:space="0" w:color="auto"/>
        <w:bottom w:val="none" w:sz="0" w:space="0" w:color="auto"/>
        <w:right w:val="none" w:sz="0" w:space="0" w:color="auto"/>
      </w:divBdr>
    </w:div>
    <w:div w:id="705761815">
      <w:bodyDiv w:val="1"/>
      <w:marLeft w:val="0"/>
      <w:marRight w:val="0"/>
      <w:marTop w:val="0"/>
      <w:marBottom w:val="0"/>
      <w:divBdr>
        <w:top w:val="none" w:sz="0" w:space="0" w:color="auto"/>
        <w:left w:val="none" w:sz="0" w:space="0" w:color="auto"/>
        <w:bottom w:val="none" w:sz="0" w:space="0" w:color="auto"/>
        <w:right w:val="none" w:sz="0" w:space="0" w:color="auto"/>
      </w:divBdr>
    </w:div>
    <w:div w:id="768236375">
      <w:bodyDiv w:val="1"/>
      <w:marLeft w:val="0"/>
      <w:marRight w:val="0"/>
      <w:marTop w:val="0"/>
      <w:marBottom w:val="0"/>
      <w:divBdr>
        <w:top w:val="none" w:sz="0" w:space="0" w:color="auto"/>
        <w:left w:val="none" w:sz="0" w:space="0" w:color="auto"/>
        <w:bottom w:val="none" w:sz="0" w:space="0" w:color="auto"/>
        <w:right w:val="none" w:sz="0" w:space="0" w:color="auto"/>
      </w:divBdr>
    </w:div>
    <w:div w:id="918292769">
      <w:bodyDiv w:val="1"/>
      <w:marLeft w:val="0"/>
      <w:marRight w:val="0"/>
      <w:marTop w:val="0"/>
      <w:marBottom w:val="0"/>
      <w:divBdr>
        <w:top w:val="none" w:sz="0" w:space="0" w:color="auto"/>
        <w:left w:val="none" w:sz="0" w:space="0" w:color="auto"/>
        <w:bottom w:val="none" w:sz="0" w:space="0" w:color="auto"/>
        <w:right w:val="none" w:sz="0" w:space="0" w:color="auto"/>
      </w:divBdr>
    </w:div>
    <w:div w:id="919291713">
      <w:bodyDiv w:val="1"/>
      <w:marLeft w:val="0"/>
      <w:marRight w:val="0"/>
      <w:marTop w:val="0"/>
      <w:marBottom w:val="0"/>
      <w:divBdr>
        <w:top w:val="none" w:sz="0" w:space="0" w:color="auto"/>
        <w:left w:val="none" w:sz="0" w:space="0" w:color="auto"/>
        <w:bottom w:val="none" w:sz="0" w:space="0" w:color="auto"/>
        <w:right w:val="none" w:sz="0" w:space="0" w:color="auto"/>
      </w:divBdr>
    </w:div>
    <w:div w:id="942877061">
      <w:bodyDiv w:val="1"/>
      <w:marLeft w:val="0"/>
      <w:marRight w:val="0"/>
      <w:marTop w:val="0"/>
      <w:marBottom w:val="0"/>
      <w:divBdr>
        <w:top w:val="none" w:sz="0" w:space="0" w:color="auto"/>
        <w:left w:val="none" w:sz="0" w:space="0" w:color="auto"/>
        <w:bottom w:val="none" w:sz="0" w:space="0" w:color="auto"/>
        <w:right w:val="none" w:sz="0" w:space="0" w:color="auto"/>
      </w:divBdr>
    </w:div>
    <w:div w:id="1002197790">
      <w:bodyDiv w:val="1"/>
      <w:marLeft w:val="0"/>
      <w:marRight w:val="0"/>
      <w:marTop w:val="0"/>
      <w:marBottom w:val="0"/>
      <w:divBdr>
        <w:top w:val="none" w:sz="0" w:space="0" w:color="auto"/>
        <w:left w:val="none" w:sz="0" w:space="0" w:color="auto"/>
        <w:bottom w:val="none" w:sz="0" w:space="0" w:color="auto"/>
        <w:right w:val="none" w:sz="0" w:space="0" w:color="auto"/>
      </w:divBdr>
    </w:div>
    <w:div w:id="1032263266">
      <w:bodyDiv w:val="1"/>
      <w:marLeft w:val="0"/>
      <w:marRight w:val="0"/>
      <w:marTop w:val="0"/>
      <w:marBottom w:val="0"/>
      <w:divBdr>
        <w:top w:val="none" w:sz="0" w:space="0" w:color="auto"/>
        <w:left w:val="none" w:sz="0" w:space="0" w:color="auto"/>
        <w:bottom w:val="none" w:sz="0" w:space="0" w:color="auto"/>
        <w:right w:val="none" w:sz="0" w:space="0" w:color="auto"/>
      </w:divBdr>
    </w:div>
    <w:div w:id="1063723397">
      <w:bodyDiv w:val="1"/>
      <w:marLeft w:val="0"/>
      <w:marRight w:val="0"/>
      <w:marTop w:val="0"/>
      <w:marBottom w:val="0"/>
      <w:divBdr>
        <w:top w:val="none" w:sz="0" w:space="0" w:color="auto"/>
        <w:left w:val="none" w:sz="0" w:space="0" w:color="auto"/>
        <w:bottom w:val="none" w:sz="0" w:space="0" w:color="auto"/>
        <w:right w:val="none" w:sz="0" w:space="0" w:color="auto"/>
      </w:divBdr>
    </w:div>
    <w:div w:id="1168519371">
      <w:bodyDiv w:val="1"/>
      <w:marLeft w:val="0"/>
      <w:marRight w:val="0"/>
      <w:marTop w:val="0"/>
      <w:marBottom w:val="0"/>
      <w:divBdr>
        <w:top w:val="none" w:sz="0" w:space="0" w:color="auto"/>
        <w:left w:val="none" w:sz="0" w:space="0" w:color="auto"/>
        <w:bottom w:val="none" w:sz="0" w:space="0" w:color="auto"/>
        <w:right w:val="none" w:sz="0" w:space="0" w:color="auto"/>
      </w:divBdr>
    </w:div>
    <w:div w:id="1192646934">
      <w:bodyDiv w:val="1"/>
      <w:marLeft w:val="0"/>
      <w:marRight w:val="0"/>
      <w:marTop w:val="0"/>
      <w:marBottom w:val="0"/>
      <w:divBdr>
        <w:top w:val="none" w:sz="0" w:space="0" w:color="auto"/>
        <w:left w:val="none" w:sz="0" w:space="0" w:color="auto"/>
        <w:bottom w:val="none" w:sz="0" w:space="0" w:color="auto"/>
        <w:right w:val="none" w:sz="0" w:space="0" w:color="auto"/>
      </w:divBdr>
    </w:div>
    <w:div w:id="1241283179">
      <w:bodyDiv w:val="1"/>
      <w:marLeft w:val="0"/>
      <w:marRight w:val="0"/>
      <w:marTop w:val="0"/>
      <w:marBottom w:val="0"/>
      <w:divBdr>
        <w:top w:val="none" w:sz="0" w:space="0" w:color="auto"/>
        <w:left w:val="none" w:sz="0" w:space="0" w:color="auto"/>
        <w:bottom w:val="none" w:sz="0" w:space="0" w:color="auto"/>
        <w:right w:val="none" w:sz="0" w:space="0" w:color="auto"/>
      </w:divBdr>
    </w:div>
    <w:div w:id="1344819012">
      <w:bodyDiv w:val="1"/>
      <w:marLeft w:val="0"/>
      <w:marRight w:val="0"/>
      <w:marTop w:val="0"/>
      <w:marBottom w:val="0"/>
      <w:divBdr>
        <w:top w:val="none" w:sz="0" w:space="0" w:color="auto"/>
        <w:left w:val="none" w:sz="0" w:space="0" w:color="auto"/>
        <w:bottom w:val="none" w:sz="0" w:space="0" w:color="auto"/>
        <w:right w:val="none" w:sz="0" w:space="0" w:color="auto"/>
      </w:divBdr>
    </w:div>
    <w:div w:id="1347946575">
      <w:bodyDiv w:val="1"/>
      <w:marLeft w:val="0"/>
      <w:marRight w:val="0"/>
      <w:marTop w:val="0"/>
      <w:marBottom w:val="0"/>
      <w:divBdr>
        <w:top w:val="none" w:sz="0" w:space="0" w:color="auto"/>
        <w:left w:val="none" w:sz="0" w:space="0" w:color="auto"/>
        <w:bottom w:val="none" w:sz="0" w:space="0" w:color="auto"/>
        <w:right w:val="none" w:sz="0" w:space="0" w:color="auto"/>
      </w:divBdr>
    </w:div>
    <w:div w:id="1355422323">
      <w:bodyDiv w:val="1"/>
      <w:marLeft w:val="0"/>
      <w:marRight w:val="0"/>
      <w:marTop w:val="0"/>
      <w:marBottom w:val="0"/>
      <w:divBdr>
        <w:top w:val="none" w:sz="0" w:space="0" w:color="auto"/>
        <w:left w:val="none" w:sz="0" w:space="0" w:color="auto"/>
        <w:bottom w:val="none" w:sz="0" w:space="0" w:color="auto"/>
        <w:right w:val="none" w:sz="0" w:space="0" w:color="auto"/>
      </w:divBdr>
    </w:div>
    <w:div w:id="1396660797">
      <w:bodyDiv w:val="1"/>
      <w:marLeft w:val="0"/>
      <w:marRight w:val="0"/>
      <w:marTop w:val="0"/>
      <w:marBottom w:val="0"/>
      <w:divBdr>
        <w:top w:val="none" w:sz="0" w:space="0" w:color="auto"/>
        <w:left w:val="none" w:sz="0" w:space="0" w:color="auto"/>
        <w:bottom w:val="none" w:sz="0" w:space="0" w:color="auto"/>
        <w:right w:val="none" w:sz="0" w:space="0" w:color="auto"/>
      </w:divBdr>
    </w:div>
    <w:div w:id="1404252188">
      <w:bodyDiv w:val="1"/>
      <w:marLeft w:val="0"/>
      <w:marRight w:val="0"/>
      <w:marTop w:val="0"/>
      <w:marBottom w:val="0"/>
      <w:divBdr>
        <w:top w:val="none" w:sz="0" w:space="0" w:color="auto"/>
        <w:left w:val="none" w:sz="0" w:space="0" w:color="auto"/>
        <w:bottom w:val="none" w:sz="0" w:space="0" w:color="auto"/>
        <w:right w:val="none" w:sz="0" w:space="0" w:color="auto"/>
      </w:divBdr>
    </w:div>
    <w:div w:id="1526285074">
      <w:bodyDiv w:val="1"/>
      <w:marLeft w:val="0"/>
      <w:marRight w:val="0"/>
      <w:marTop w:val="0"/>
      <w:marBottom w:val="0"/>
      <w:divBdr>
        <w:top w:val="none" w:sz="0" w:space="0" w:color="auto"/>
        <w:left w:val="none" w:sz="0" w:space="0" w:color="auto"/>
        <w:bottom w:val="none" w:sz="0" w:space="0" w:color="auto"/>
        <w:right w:val="none" w:sz="0" w:space="0" w:color="auto"/>
      </w:divBdr>
    </w:div>
    <w:div w:id="1662780087">
      <w:bodyDiv w:val="1"/>
      <w:marLeft w:val="0"/>
      <w:marRight w:val="0"/>
      <w:marTop w:val="0"/>
      <w:marBottom w:val="0"/>
      <w:divBdr>
        <w:top w:val="none" w:sz="0" w:space="0" w:color="auto"/>
        <w:left w:val="none" w:sz="0" w:space="0" w:color="auto"/>
        <w:bottom w:val="none" w:sz="0" w:space="0" w:color="auto"/>
        <w:right w:val="none" w:sz="0" w:space="0" w:color="auto"/>
      </w:divBdr>
    </w:div>
    <w:div w:id="1678343425">
      <w:bodyDiv w:val="1"/>
      <w:marLeft w:val="0"/>
      <w:marRight w:val="0"/>
      <w:marTop w:val="0"/>
      <w:marBottom w:val="0"/>
      <w:divBdr>
        <w:top w:val="none" w:sz="0" w:space="0" w:color="auto"/>
        <w:left w:val="none" w:sz="0" w:space="0" w:color="auto"/>
        <w:bottom w:val="none" w:sz="0" w:space="0" w:color="auto"/>
        <w:right w:val="none" w:sz="0" w:space="0" w:color="auto"/>
      </w:divBdr>
    </w:div>
    <w:div w:id="1685401676">
      <w:bodyDiv w:val="1"/>
      <w:marLeft w:val="0"/>
      <w:marRight w:val="0"/>
      <w:marTop w:val="0"/>
      <w:marBottom w:val="0"/>
      <w:divBdr>
        <w:top w:val="none" w:sz="0" w:space="0" w:color="auto"/>
        <w:left w:val="none" w:sz="0" w:space="0" w:color="auto"/>
        <w:bottom w:val="none" w:sz="0" w:space="0" w:color="auto"/>
        <w:right w:val="none" w:sz="0" w:space="0" w:color="auto"/>
      </w:divBdr>
    </w:div>
    <w:div w:id="1770662742">
      <w:bodyDiv w:val="1"/>
      <w:marLeft w:val="0"/>
      <w:marRight w:val="0"/>
      <w:marTop w:val="0"/>
      <w:marBottom w:val="0"/>
      <w:divBdr>
        <w:top w:val="none" w:sz="0" w:space="0" w:color="auto"/>
        <w:left w:val="none" w:sz="0" w:space="0" w:color="auto"/>
        <w:bottom w:val="none" w:sz="0" w:space="0" w:color="auto"/>
        <w:right w:val="none" w:sz="0" w:space="0" w:color="auto"/>
      </w:divBdr>
    </w:div>
    <w:div w:id="1891653422">
      <w:bodyDiv w:val="1"/>
      <w:marLeft w:val="0"/>
      <w:marRight w:val="0"/>
      <w:marTop w:val="0"/>
      <w:marBottom w:val="0"/>
      <w:divBdr>
        <w:top w:val="none" w:sz="0" w:space="0" w:color="auto"/>
        <w:left w:val="none" w:sz="0" w:space="0" w:color="auto"/>
        <w:bottom w:val="none" w:sz="0" w:space="0" w:color="auto"/>
        <w:right w:val="none" w:sz="0" w:space="0" w:color="auto"/>
      </w:divBdr>
    </w:div>
    <w:div w:id="20659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0948-71DB-40C2-BF57-7905421C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20</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228</cp:revision>
  <cp:lastPrinted>2022-03-23T05:39:00Z</cp:lastPrinted>
  <dcterms:created xsi:type="dcterms:W3CDTF">2021-02-05T00:46:00Z</dcterms:created>
  <dcterms:modified xsi:type="dcterms:W3CDTF">2022-03-27T05:27:00Z</dcterms:modified>
</cp:coreProperties>
</file>