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E65A" w14:textId="77777777" w:rsidR="00985D08" w:rsidRPr="00191F54" w:rsidRDefault="00985D08" w:rsidP="00F67683">
      <w:pPr>
        <w:pStyle w:val="Heading1"/>
        <w:rPr>
          <w:color w:val="000000" w:themeColor="text1"/>
        </w:rPr>
      </w:pPr>
      <w:r w:rsidRPr="00191F54">
        <w:rPr>
          <w:color w:val="000000" w:themeColor="text1"/>
        </w:rPr>
        <w:t>Independent Hospital Pricing Authority</w:t>
      </w:r>
    </w:p>
    <w:p w14:paraId="4127F1DF" w14:textId="77777777" w:rsidR="00913388" w:rsidRPr="00191F54" w:rsidRDefault="00913388" w:rsidP="00913388">
      <w:pPr>
        <w:pStyle w:val="EntitySubtitle"/>
        <w:rPr>
          <w:color w:val="000000" w:themeColor="text1"/>
        </w:rPr>
      </w:pPr>
      <w:r w:rsidRPr="00191F54">
        <w:rPr>
          <w:color w:val="000000" w:themeColor="text1"/>
        </w:rPr>
        <w:t>Entity Resources and Planned Performance</w:t>
      </w:r>
    </w:p>
    <w:p w14:paraId="3476D67F" w14:textId="77777777" w:rsidR="00913388" w:rsidRPr="00191F54" w:rsidRDefault="00913388" w:rsidP="00913388">
      <w:pPr>
        <w:rPr>
          <w:color w:val="000000" w:themeColor="text1"/>
        </w:rPr>
      </w:pPr>
      <w:r w:rsidRPr="00191F54">
        <w:rPr>
          <w:color w:val="000000" w:themeColor="text1"/>
        </w:rPr>
        <w:br w:type="page"/>
      </w:r>
    </w:p>
    <w:p w14:paraId="4E0FA1D9" w14:textId="77777777" w:rsidR="00913388" w:rsidRPr="00191F54" w:rsidRDefault="00913388" w:rsidP="00913388">
      <w:pPr>
        <w:rPr>
          <w:color w:val="000000" w:themeColor="text1"/>
        </w:rPr>
      </w:pPr>
    </w:p>
    <w:p w14:paraId="48C0E842" w14:textId="77777777" w:rsidR="00913388" w:rsidRPr="00191F54" w:rsidRDefault="00913388">
      <w:pPr>
        <w:rPr>
          <w:color w:val="000000" w:themeColor="text1"/>
        </w:rPr>
        <w:sectPr w:rsidR="00913388" w:rsidRPr="00191F54" w:rsidSect="007D6892">
          <w:headerReference w:type="default" r:id="rId8"/>
          <w:footerReference w:type="even" r:id="rId9"/>
          <w:footerReference w:type="default" r:id="rId10"/>
          <w:pgSz w:w="11906" w:h="16838"/>
          <w:pgMar w:top="7053" w:right="2268" w:bottom="2126" w:left="2268" w:header="1899" w:footer="1899" w:gutter="0"/>
          <w:pgNumType w:start="287"/>
          <w:cols w:space="708"/>
          <w:docGrid w:linePitch="360"/>
        </w:sectPr>
      </w:pPr>
    </w:p>
    <w:p w14:paraId="2B9B116E" w14:textId="77777777" w:rsidR="00985D08" w:rsidRPr="00191F54" w:rsidRDefault="00985D08" w:rsidP="00985D08">
      <w:pPr>
        <w:pStyle w:val="Heading1"/>
        <w:rPr>
          <w:color w:val="000000" w:themeColor="text1"/>
        </w:rPr>
      </w:pPr>
      <w:r w:rsidRPr="00191F54">
        <w:rPr>
          <w:color w:val="000000" w:themeColor="text1"/>
        </w:rPr>
        <w:lastRenderedPageBreak/>
        <w:t>Independent Hospital Pricing Authority</w:t>
      </w:r>
    </w:p>
    <w:p w14:paraId="1A0D1736" w14:textId="5FD0EDB3" w:rsidR="00087657" w:rsidRPr="00191F54" w:rsidRDefault="00913388">
      <w:pPr>
        <w:pStyle w:val="TOC1"/>
        <w:rPr>
          <w:rFonts w:asciiTheme="minorHAnsi" w:eastAsiaTheme="minorEastAsia" w:hAnsiTheme="minorHAnsi" w:cstheme="minorBidi"/>
          <w:b w:val="0"/>
          <w:color w:val="000000" w:themeColor="text1"/>
          <w:sz w:val="22"/>
          <w:szCs w:val="22"/>
        </w:rPr>
      </w:pPr>
      <w:r w:rsidRPr="00191F54">
        <w:rPr>
          <w:rFonts w:ascii="Arial" w:hAnsi="Arial" w:cs="Arial"/>
          <w:color w:val="000000" w:themeColor="text1"/>
        </w:rPr>
        <w:fldChar w:fldCharType="begin"/>
      </w:r>
      <w:r w:rsidRPr="00191F54">
        <w:rPr>
          <w:rFonts w:ascii="Arial" w:hAnsi="Arial" w:cs="Arial"/>
          <w:color w:val="000000" w:themeColor="text1"/>
        </w:rPr>
        <w:instrText xml:space="preserve"> TOC \h \z \t "Heading 2,1,Heading 3,2" </w:instrText>
      </w:r>
      <w:r w:rsidRPr="00191F54">
        <w:rPr>
          <w:rFonts w:ascii="Arial" w:hAnsi="Arial" w:cs="Arial"/>
          <w:color w:val="000000" w:themeColor="text1"/>
        </w:rPr>
        <w:fldChar w:fldCharType="separate"/>
      </w:r>
      <w:hyperlink w:anchor="_Toc71465085" w:history="1">
        <w:r w:rsidR="00087657" w:rsidRPr="00191F54">
          <w:rPr>
            <w:rStyle w:val="Hyperlink"/>
            <w:color w:val="000000" w:themeColor="text1"/>
          </w:rPr>
          <w:t>Section 1: Entity Overview and Resources</w:t>
        </w:r>
        <w:r w:rsidR="00087657" w:rsidRPr="00191F54">
          <w:rPr>
            <w:webHidden/>
            <w:color w:val="000000" w:themeColor="text1"/>
          </w:rPr>
          <w:tab/>
        </w:r>
        <w:r w:rsidR="00087657" w:rsidRPr="00191F54">
          <w:rPr>
            <w:webHidden/>
            <w:color w:val="000000" w:themeColor="text1"/>
          </w:rPr>
          <w:fldChar w:fldCharType="begin"/>
        </w:r>
        <w:r w:rsidR="00087657" w:rsidRPr="00191F54">
          <w:rPr>
            <w:webHidden/>
            <w:color w:val="000000" w:themeColor="text1"/>
          </w:rPr>
          <w:instrText xml:space="preserve"> PAGEREF _Toc71465085 \h </w:instrText>
        </w:r>
        <w:r w:rsidR="00087657" w:rsidRPr="00191F54">
          <w:rPr>
            <w:webHidden/>
            <w:color w:val="000000" w:themeColor="text1"/>
          </w:rPr>
        </w:r>
        <w:r w:rsidR="00087657" w:rsidRPr="00191F54">
          <w:rPr>
            <w:webHidden/>
            <w:color w:val="000000" w:themeColor="text1"/>
          </w:rPr>
          <w:fldChar w:fldCharType="separate"/>
        </w:r>
        <w:r w:rsidR="007D6892">
          <w:rPr>
            <w:webHidden/>
            <w:color w:val="000000" w:themeColor="text1"/>
          </w:rPr>
          <w:t>290</w:t>
        </w:r>
        <w:r w:rsidR="00087657" w:rsidRPr="00191F54">
          <w:rPr>
            <w:webHidden/>
            <w:color w:val="000000" w:themeColor="text1"/>
          </w:rPr>
          <w:fldChar w:fldCharType="end"/>
        </w:r>
      </w:hyperlink>
    </w:p>
    <w:p w14:paraId="034041BF" w14:textId="6A9375E4"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86" w:history="1">
        <w:r w:rsidR="00087657" w:rsidRPr="00191F54">
          <w:rPr>
            <w:rStyle w:val="Hyperlink"/>
            <w:noProof/>
            <w:color w:val="000000" w:themeColor="text1"/>
          </w:rPr>
          <w:t>1.1</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Strategic Direction Statement</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_Toc71465086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290</w:t>
        </w:r>
        <w:r w:rsidR="00087657" w:rsidRPr="00191F54">
          <w:rPr>
            <w:noProof/>
            <w:webHidden/>
            <w:color w:val="000000" w:themeColor="text1"/>
          </w:rPr>
          <w:fldChar w:fldCharType="end"/>
        </w:r>
      </w:hyperlink>
    </w:p>
    <w:p w14:paraId="5326E8AB" w14:textId="6616D78F"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87" w:history="1">
        <w:r w:rsidR="00087657" w:rsidRPr="00191F54">
          <w:rPr>
            <w:rStyle w:val="Hyperlink"/>
            <w:noProof/>
            <w:color w:val="000000" w:themeColor="text1"/>
          </w:rPr>
          <w:t>1.2</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Entity Resource Statement</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_Toc71465087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291</w:t>
        </w:r>
        <w:r w:rsidR="00087657" w:rsidRPr="00191F54">
          <w:rPr>
            <w:noProof/>
            <w:webHidden/>
            <w:color w:val="000000" w:themeColor="text1"/>
          </w:rPr>
          <w:fldChar w:fldCharType="end"/>
        </w:r>
      </w:hyperlink>
    </w:p>
    <w:p w14:paraId="16B8CF61" w14:textId="13609C8B"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88" w:history="1">
        <w:r w:rsidR="00087657" w:rsidRPr="00191F54">
          <w:rPr>
            <w:rStyle w:val="Hyperlink"/>
            <w:noProof/>
            <w:color w:val="000000" w:themeColor="text1"/>
          </w:rPr>
          <w:t>1.3</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Budget Measures</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_Toc71465088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291</w:t>
        </w:r>
        <w:r w:rsidR="00087657" w:rsidRPr="00191F54">
          <w:rPr>
            <w:noProof/>
            <w:webHidden/>
            <w:color w:val="000000" w:themeColor="text1"/>
          </w:rPr>
          <w:fldChar w:fldCharType="end"/>
        </w:r>
      </w:hyperlink>
    </w:p>
    <w:p w14:paraId="4AF86BE4" w14:textId="2E404E8C" w:rsidR="00087657" w:rsidRPr="00191F54" w:rsidRDefault="007D6892">
      <w:pPr>
        <w:pStyle w:val="TOC1"/>
        <w:rPr>
          <w:rFonts w:asciiTheme="minorHAnsi" w:eastAsiaTheme="minorEastAsia" w:hAnsiTheme="minorHAnsi" w:cstheme="minorBidi"/>
          <w:b w:val="0"/>
          <w:color w:val="000000" w:themeColor="text1"/>
          <w:sz w:val="22"/>
          <w:szCs w:val="22"/>
        </w:rPr>
      </w:pPr>
      <w:hyperlink w:anchor="_Toc71465089" w:history="1">
        <w:r w:rsidR="00087657" w:rsidRPr="00191F54">
          <w:rPr>
            <w:rStyle w:val="Hyperlink"/>
            <w:color w:val="000000" w:themeColor="text1"/>
          </w:rPr>
          <w:t>Section 2: Outcomes and Planned Performance</w:t>
        </w:r>
        <w:r w:rsidR="00087657" w:rsidRPr="00191F54">
          <w:rPr>
            <w:webHidden/>
            <w:color w:val="000000" w:themeColor="text1"/>
          </w:rPr>
          <w:tab/>
        </w:r>
        <w:r w:rsidR="00087657" w:rsidRPr="00191F54">
          <w:rPr>
            <w:webHidden/>
            <w:color w:val="000000" w:themeColor="text1"/>
          </w:rPr>
          <w:fldChar w:fldCharType="begin"/>
        </w:r>
        <w:r w:rsidR="00087657" w:rsidRPr="00191F54">
          <w:rPr>
            <w:webHidden/>
            <w:color w:val="000000" w:themeColor="text1"/>
          </w:rPr>
          <w:instrText xml:space="preserve"> PAGEREF _Toc71465089 \h </w:instrText>
        </w:r>
        <w:r w:rsidR="00087657" w:rsidRPr="00191F54">
          <w:rPr>
            <w:webHidden/>
            <w:color w:val="000000" w:themeColor="text1"/>
          </w:rPr>
        </w:r>
        <w:r w:rsidR="00087657" w:rsidRPr="00191F54">
          <w:rPr>
            <w:webHidden/>
            <w:color w:val="000000" w:themeColor="text1"/>
          </w:rPr>
          <w:fldChar w:fldCharType="separate"/>
        </w:r>
        <w:r>
          <w:rPr>
            <w:webHidden/>
            <w:color w:val="000000" w:themeColor="text1"/>
          </w:rPr>
          <w:t>292</w:t>
        </w:r>
        <w:r w:rsidR="00087657" w:rsidRPr="00191F54">
          <w:rPr>
            <w:webHidden/>
            <w:color w:val="000000" w:themeColor="text1"/>
          </w:rPr>
          <w:fldChar w:fldCharType="end"/>
        </w:r>
      </w:hyperlink>
    </w:p>
    <w:p w14:paraId="374FF7C0" w14:textId="08E55C3B"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90" w:history="1">
        <w:r w:rsidR="00087657" w:rsidRPr="00191F54">
          <w:rPr>
            <w:rStyle w:val="Hyperlink"/>
            <w:noProof/>
            <w:color w:val="000000" w:themeColor="text1"/>
          </w:rPr>
          <w:t>2.1</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Budgeted Expenses and Performance</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_Toc71465090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292</w:t>
        </w:r>
        <w:r w:rsidR="00087657" w:rsidRPr="00191F54">
          <w:rPr>
            <w:noProof/>
            <w:webHidden/>
            <w:color w:val="000000" w:themeColor="text1"/>
          </w:rPr>
          <w:fldChar w:fldCharType="end"/>
        </w:r>
      </w:hyperlink>
    </w:p>
    <w:p w14:paraId="11E04623" w14:textId="1B59DC2B" w:rsidR="00087657" w:rsidRPr="00191F54" w:rsidRDefault="007D6892">
      <w:pPr>
        <w:pStyle w:val="TOC1"/>
        <w:rPr>
          <w:rFonts w:asciiTheme="minorHAnsi" w:eastAsiaTheme="minorEastAsia" w:hAnsiTheme="minorHAnsi" w:cstheme="minorBidi"/>
          <w:b w:val="0"/>
          <w:color w:val="000000" w:themeColor="text1"/>
          <w:sz w:val="22"/>
          <w:szCs w:val="22"/>
        </w:rPr>
      </w:pPr>
      <w:hyperlink w:anchor="_Toc71465091" w:history="1">
        <w:r w:rsidR="00087657" w:rsidRPr="00191F54">
          <w:rPr>
            <w:rStyle w:val="Hyperlink"/>
            <w:color w:val="000000" w:themeColor="text1"/>
          </w:rPr>
          <w:t>Section 3: Budgeted Financial Statements</w:t>
        </w:r>
        <w:r w:rsidR="00087657" w:rsidRPr="00191F54">
          <w:rPr>
            <w:webHidden/>
            <w:color w:val="000000" w:themeColor="text1"/>
          </w:rPr>
          <w:tab/>
        </w:r>
        <w:r w:rsidR="00087657" w:rsidRPr="00191F54">
          <w:rPr>
            <w:webHidden/>
            <w:color w:val="000000" w:themeColor="text1"/>
          </w:rPr>
          <w:fldChar w:fldCharType="begin"/>
        </w:r>
        <w:r w:rsidR="00087657" w:rsidRPr="00191F54">
          <w:rPr>
            <w:webHidden/>
            <w:color w:val="000000" w:themeColor="text1"/>
          </w:rPr>
          <w:instrText xml:space="preserve"> PAGEREF _Toc71465091 \h </w:instrText>
        </w:r>
        <w:r w:rsidR="00087657" w:rsidRPr="00191F54">
          <w:rPr>
            <w:webHidden/>
            <w:color w:val="000000" w:themeColor="text1"/>
          </w:rPr>
        </w:r>
        <w:r w:rsidR="00087657" w:rsidRPr="00191F54">
          <w:rPr>
            <w:webHidden/>
            <w:color w:val="000000" w:themeColor="text1"/>
          </w:rPr>
          <w:fldChar w:fldCharType="separate"/>
        </w:r>
        <w:r>
          <w:rPr>
            <w:webHidden/>
            <w:color w:val="000000" w:themeColor="text1"/>
          </w:rPr>
          <w:t>297</w:t>
        </w:r>
        <w:r w:rsidR="00087657" w:rsidRPr="00191F54">
          <w:rPr>
            <w:webHidden/>
            <w:color w:val="000000" w:themeColor="text1"/>
          </w:rPr>
          <w:fldChar w:fldCharType="end"/>
        </w:r>
      </w:hyperlink>
    </w:p>
    <w:p w14:paraId="63EF67D5" w14:textId="405BAC2D"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92" w:history="1">
        <w:r w:rsidR="00087657" w:rsidRPr="00191F54">
          <w:rPr>
            <w:rStyle w:val="Hyperlink"/>
            <w:noProof/>
            <w:color w:val="000000" w:themeColor="text1"/>
          </w:rPr>
          <w:t>3.1</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Budgeted Financial Statements</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_Toc71465092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297</w:t>
        </w:r>
        <w:r w:rsidR="00087657" w:rsidRPr="00191F54">
          <w:rPr>
            <w:noProof/>
            <w:webHidden/>
            <w:color w:val="000000" w:themeColor="text1"/>
          </w:rPr>
          <w:fldChar w:fldCharType="end"/>
        </w:r>
      </w:hyperlink>
    </w:p>
    <w:p w14:paraId="726F3C47" w14:textId="610AEDDE" w:rsidR="00087657" w:rsidRPr="00191F54" w:rsidRDefault="007D6892">
      <w:pPr>
        <w:pStyle w:val="TOC2"/>
        <w:rPr>
          <w:rFonts w:asciiTheme="minorHAnsi" w:eastAsiaTheme="minorEastAsia" w:hAnsiTheme="minorHAnsi" w:cstheme="minorBidi"/>
          <w:noProof/>
          <w:color w:val="000000" w:themeColor="text1"/>
          <w:sz w:val="22"/>
          <w:szCs w:val="22"/>
        </w:rPr>
      </w:pPr>
      <w:hyperlink w:anchor="_Toc71465093" w:history="1">
        <w:r w:rsidR="00087657" w:rsidRPr="00191F54">
          <w:rPr>
            <w:rStyle w:val="Hyperlink"/>
            <w:noProof/>
            <w:color w:val="000000" w:themeColor="text1"/>
          </w:rPr>
          <w:t>3.2</w:t>
        </w:r>
        <w:r w:rsidR="00087657" w:rsidRPr="00191F54">
          <w:rPr>
            <w:rFonts w:asciiTheme="minorHAnsi" w:eastAsiaTheme="minorEastAsia" w:hAnsiTheme="minorHAnsi" w:cstheme="minorBidi"/>
            <w:noProof/>
            <w:color w:val="000000" w:themeColor="text1"/>
            <w:sz w:val="22"/>
            <w:szCs w:val="22"/>
          </w:rPr>
          <w:tab/>
        </w:r>
        <w:r w:rsidR="00087657" w:rsidRPr="00191F54">
          <w:rPr>
            <w:rStyle w:val="Hyperlink"/>
            <w:noProof/>
            <w:color w:val="000000" w:themeColor="text1"/>
          </w:rPr>
          <w:t>Budgeted Financial Statements Tables</w:t>
        </w:r>
        <w:r w:rsidR="00087657" w:rsidRPr="00191F54">
          <w:rPr>
            <w:noProof/>
            <w:webHidden/>
            <w:color w:val="000000" w:themeColor="text1"/>
          </w:rPr>
          <w:tab/>
        </w:r>
        <w:r w:rsidR="00087657" w:rsidRPr="00191F54">
          <w:rPr>
            <w:noProof/>
            <w:webHidden/>
            <w:color w:val="000000" w:themeColor="text1"/>
          </w:rPr>
          <w:fldChar w:fldCharType="begin"/>
        </w:r>
        <w:r w:rsidR="00087657" w:rsidRPr="00191F54">
          <w:rPr>
            <w:noProof/>
            <w:webHidden/>
            <w:color w:val="000000" w:themeColor="text1"/>
          </w:rPr>
          <w:instrText xml:space="preserve"> PAGEREF _Toc71465093 \h </w:instrText>
        </w:r>
        <w:r w:rsidR="00087657" w:rsidRPr="00191F54">
          <w:rPr>
            <w:noProof/>
            <w:webHidden/>
            <w:color w:val="000000" w:themeColor="text1"/>
          </w:rPr>
        </w:r>
        <w:r w:rsidR="00087657" w:rsidRPr="00191F54">
          <w:rPr>
            <w:noProof/>
            <w:webHidden/>
            <w:color w:val="000000" w:themeColor="text1"/>
          </w:rPr>
          <w:fldChar w:fldCharType="separate"/>
        </w:r>
        <w:r>
          <w:rPr>
            <w:noProof/>
            <w:webHidden/>
            <w:color w:val="000000" w:themeColor="text1"/>
          </w:rPr>
          <w:t>298</w:t>
        </w:r>
        <w:r w:rsidR="00087657" w:rsidRPr="00191F54">
          <w:rPr>
            <w:noProof/>
            <w:webHidden/>
            <w:color w:val="000000" w:themeColor="text1"/>
          </w:rPr>
          <w:fldChar w:fldCharType="end"/>
        </w:r>
      </w:hyperlink>
    </w:p>
    <w:p w14:paraId="6B335E66" w14:textId="5222BF2E" w:rsidR="0024539A" w:rsidRPr="00191F54" w:rsidRDefault="00913388" w:rsidP="00913388">
      <w:pPr>
        <w:rPr>
          <w:rFonts w:ascii="Arial" w:hAnsi="Arial" w:cs="Arial"/>
          <w:b/>
          <w:color w:val="000000" w:themeColor="text1"/>
        </w:rPr>
        <w:sectPr w:rsidR="0024539A" w:rsidRPr="00191F54"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191F54">
        <w:rPr>
          <w:rFonts w:ascii="Arial" w:hAnsi="Arial" w:cs="Arial"/>
          <w:b/>
          <w:color w:val="000000" w:themeColor="text1"/>
        </w:rPr>
        <w:fldChar w:fldCharType="end"/>
      </w:r>
      <w:bookmarkStart w:id="0" w:name="_GoBack"/>
      <w:bookmarkEnd w:id="0"/>
    </w:p>
    <w:p w14:paraId="2CB969F0" w14:textId="77777777" w:rsidR="0024539A" w:rsidRPr="00191F54" w:rsidRDefault="0024539A" w:rsidP="00BC0659">
      <w:pPr>
        <w:pStyle w:val="Heading2"/>
        <w:rPr>
          <w:color w:val="000000" w:themeColor="text1"/>
        </w:rPr>
      </w:pPr>
      <w:bookmarkStart w:id="1" w:name="_Toc71465085"/>
      <w:r w:rsidRPr="00191F54">
        <w:rPr>
          <w:color w:val="000000" w:themeColor="text1"/>
        </w:rPr>
        <w:lastRenderedPageBreak/>
        <w:t>Section 1: Entity Overview and Resources</w:t>
      </w:r>
      <w:bookmarkEnd w:id="1"/>
    </w:p>
    <w:p w14:paraId="6021F1D4" w14:textId="77777777" w:rsidR="0024539A" w:rsidRPr="00191F54" w:rsidRDefault="0024539A" w:rsidP="00BC0659">
      <w:pPr>
        <w:pStyle w:val="Heading3"/>
        <w:rPr>
          <w:color w:val="000000" w:themeColor="text1"/>
        </w:rPr>
      </w:pPr>
      <w:bookmarkStart w:id="2" w:name="_Toc71465086"/>
      <w:r w:rsidRPr="00191F54">
        <w:rPr>
          <w:color w:val="000000" w:themeColor="text1"/>
        </w:rPr>
        <w:t>1.1</w:t>
      </w:r>
      <w:r w:rsidRPr="00191F54">
        <w:rPr>
          <w:color w:val="000000" w:themeColor="text1"/>
        </w:rPr>
        <w:tab/>
        <w:t>Strategic Direction Statement</w:t>
      </w:r>
      <w:r w:rsidRPr="00191F54">
        <w:rPr>
          <w:color w:val="000000" w:themeColor="text1"/>
          <w:vertAlign w:val="superscript"/>
        </w:rPr>
        <w:footnoteReference w:id="1"/>
      </w:r>
      <w:bookmarkEnd w:id="2"/>
    </w:p>
    <w:p w14:paraId="11474376" w14:textId="77777777" w:rsidR="00985D08" w:rsidRPr="00191F54" w:rsidRDefault="00985D08" w:rsidP="00985D08">
      <w:pPr>
        <w:rPr>
          <w:color w:val="000000" w:themeColor="text1"/>
        </w:rPr>
      </w:pPr>
      <w:r w:rsidRPr="00191F54">
        <w:rPr>
          <w:color w:val="000000" w:themeColor="text1"/>
        </w:rPr>
        <w:t xml:space="preserve">The Australian Government </w:t>
      </w:r>
      <w:r w:rsidR="00DE428D" w:rsidRPr="00191F54">
        <w:rPr>
          <w:color w:val="000000" w:themeColor="text1"/>
        </w:rPr>
        <w:t>works with</w:t>
      </w:r>
      <w:r w:rsidRPr="00191F54">
        <w:rPr>
          <w:color w:val="000000" w:themeColor="text1"/>
        </w:rPr>
        <w:t xml:space="preserve"> state and territory governments to implement reforms to the health system to improve health outcomes for all Australians and ensure the sustainability of the health system.</w:t>
      </w:r>
    </w:p>
    <w:p w14:paraId="75F3B97D" w14:textId="587D92C6" w:rsidR="00985D08" w:rsidRPr="00191F54" w:rsidRDefault="00985D08" w:rsidP="00985D08">
      <w:pPr>
        <w:rPr>
          <w:color w:val="000000" w:themeColor="text1"/>
        </w:rPr>
      </w:pPr>
      <w:r w:rsidRPr="00191F54">
        <w:rPr>
          <w:color w:val="000000" w:themeColor="text1"/>
        </w:rPr>
        <w:t xml:space="preserve">The Independent Hospital Pricing Authority (IHPA) is responsible for determining the National Efficient Price (NEP) for public hospital services through the analysis of data on the actual activities and costs of public hospital services. IHPA also determines the National Efficient Cost (NEC), which is used when </w:t>
      </w:r>
      <w:r w:rsidR="001019C5" w:rsidRPr="00191F54">
        <w:rPr>
          <w:color w:val="000000" w:themeColor="text1"/>
        </w:rPr>
        <w:t>activity based funding</w:t>
      </w:r>
      <w:r w:rsidRPr="00191F54">
        <w:rPr>
          <w:color w:val="000000" w:themeColor="text1"/>
        </w:rPr>
        <w:t xml:space="preserve"> is not suitable for funding, such as in the case of small rural public hospitals.</w:t>
      </w:r>
    </w:p>
    <w:p w14:paraId="221FF662" w14:textId="54A4B948" w:rsidR="00985D08" w:rsidRPr="00191F54" w:rsidRDefault="00B85986" w:rsidP="00985D08">
      <w:pPr>
        <w:rPr>
          <w:color w:val="000000" w:themeColor="text1"/>
        </w:rPr>
      </w:pPr>
      <w:r w:rsidRPr="00191F54">
        <w:rPr>
          <w:color w:val="000000" w:themeColor="text1"/>
        </w:rPr>
        <w:t xml:space="preserve">In </w:t>
      </w:r>
      <w:r w:rsidR="00883696">
        <w:rPr>
          <w:color w:val="000000" w:themeColor="text1"/>
        </w:rPr>
        <w:t>2022–</w:t>
      </w:r>
      <w:r w:rsidR="003947C1">
        <w:rPr>
          <w:color w:val="000000" w:themeColor="text1"/>
        </w:rPr>
        <w:t>23</w:t>
      </w:r>
      <w:r w:rsidR="00985D08" w:rsidRPr="00191F54">
        <w:rPr>
          <w:color w:val="000000" w:themeColor="text1"/>
        </w:rPr>
        <w:t>, IHPA will continue to further develop and implement pricing for safety and quality into the funding of public hospital</w:t>
      </w:r>
      <w:r w:rsidR="00E472FD" w:rsidRPr="00191F54">
        <w:rPr>
          <w:color w:val="000000" w:themeColor="text1"/>
        </w:rPr>
        <w:t>s</w:t>
      </w:r>
      <w:r w:rsidR="00985D08" w:rsidRPr="00191F54">
        <w:rPr>
          <w:color w:val="000000" w:themeColor="text1"/>
        </w:rPr>
        <w:t xml:space="preserve"> services, consistent with the Addendum to the National Health Reform Agreement signed in 2017.</w:t>
      </w:r>
    </w:p>
    <w:p w14:paraId="3F3BDEC0" w14:textId="77777777" w:rsidR="00985D08" w:rsidRPr="00191F54" w:rsidRDefault="00B85986" w:rsidP="00985D08">
      <w:pPr>
        <w:rPr>
          <w:color w:val="000000" w:themeColor="text1"/>
        </w:rPr>
      </w:pPr>
      <w:r w:rsidRPr="00191F54">
        <w:rPr>
          <w:color w:val="000000" w:themeColor="text1"/>
        </w:rPr>
        <w:t xml:space="preserve">In May </w:t>
      </w:r>
      <w:r w:rsidR="00985D08" w:rsidRPr="00191F54">
        <w:rPr>
          <w:color w:val="000000" w:themeColor="text1"/>
        </w:rPr>
        <w:t>2020, the Commonwealth and all state and territory governments signed the Addendum to the Agreement, continuing th</w:t>
      </w:r>
      <w:r w:rsidR="00472582" w:rsidRPr="00191F54">
        <w:rPr>
          <w:color w:val="000000" w:themeColor="text1"/>
        </w:rPr>
        <w:t>ese arrangements for the period </w:t>
      </w:r>
      <w:r w:rsidR="00985D08" w:rsidRPr="00191F54">
        <w:rPr>
          <w:color w:val="000000" w:themeColor="text1"/>
        </w:rPr>
        <w:t>2020–25.</w:t>
      </w:r>
    </w:p>
    <w:p w14:paraId="76DD3AB9" w14:textId="77777777" w:rsidR="00985D08" w:rsidRPr="00191F54" w:rsidRDefault="00985D08" w:rsidP="00985D08">
      <w:pPr>
        <w:rPr>
          <w:color w:val="000000" w:themeColor="text1"/>
        </w:rPr>
      </w:pPr>
      <w:r w:rsidRPr="00191F54">
        <w:rPr>
          <w:color w:val="000000" w:themeColor="text1"/>
        </w:rPr>
        <w:t>IHPA is responsible for developing national classifications for health</w:t>
      </w:r>
      <w:r w:rsidR="00972A2D" w:rsidRPr="00191F54">
        <w:rPr>
          <w:color w:val="000000" w:themeColor="text1"/>
        </w:rPr>
        <w:t xml:space="preserve"> </w:t>
      </w:r>
      <w:r w:rsidRPr="00191F54">
        <w:rPr>
          <w:color w:val="000000" w:themeColor="text1"/>
        </w:rPr>
        <w:t>care and other services delivered by public hospitals</w:t>
      </w:r>
      <w:r w:rsidR="00957E83" w:rsidRPr="00191F54">
        <w:rPr>
          <w:color w:val="000000" w:themeColor="text1"/>
        </w:rPr>
        <w:t>,</w:t>
      </w:r>
      <w:r w:rsidRPr="00191F54">
        <w:rPr>
          <w:color w:val="000000" w:themeColor="text1"/>
        </w:rPr>
        <w:t xml:space="preserve"> and resolving disputes on cost</w:t>
      </w:r>
      <w:r w:rsidRPr="00191F54">
        <w:rPr>
          <w:color w:val="000000" w:themeColor="text1"/>
        </w:rPr>
        <w:noBreakHyphen/>
        <w:t>shifting and cross-border issues</w:t>
      </w:r>
      <w:r w:rsidR="00957E83" w:rsidRPr="00191F54">
        <w:rPr>
          <w:color w:val="000000" w:themeColor="text1"/>
        </w:rPr>
        <w:t xml:space="preserve"> as required</w:t>
      </w:r>
      <w:r w:rsidRPr="00191F54">
        <w:rPr>
          <w:color w:val="000000" w:themeColor="text1"/>
        </w:rPr>
        <w:t>. It also provides advice and reports to the Australian Government and the public.</w:t>
      </w:r>
    </w:p>
    <w:p w14:paraId="2022B648" w14:textId="77777777" w:rsidR="00985D08" w:rsidRPr="00191F54" w:rsidRDefault="00985D08" w:rsidP="00985D08">
      <w:pPr>
        <w:rPr>
          <w:color w:val="000000" w:themeColor="text1"/>
        </w:rPr>
      </w:pPr>
      <w:r w:rsidRPr="00191F54">
        <w:rPr>
          <w:color w:val="000000" w:themeColor="text1"/>
        </w:rPr>
        <w:t>IHPA publishes an annual Pricing Framework for Australian Public Hospital Services that outlines the principles, criteria and methodology used by IHPA to determine the NEP for services provided by hospitals on an activity basis, and the NEC for services that are block funded.</w:t>
      </w:r>
    </w:p>
    <w:p w14:paraId="6EB7B15C" w14:textId="1BED7A01" w:rsidR="00985D08" w:rsidRDefault="00985D08" w:rsidP="00985D08">
      <w:pPr>
        <w:rPr>
          <w:color w:val="000000" w:themeColor="text1"/>
        </w:rPr>
      </w:pPr>
      <w:r w:rsidRPr="00191F54">
        <w:rPr>
          <w:color w:val="000000" w:themeColor="text1"/>
        </w:rPr>
        <w:t xml:space="preserve">As prescribed in the </w:t>
      </w:r>
      <w:r w:rsidRPr="00191F54">
        <w:rPr>
          <w:i/>
          <w:color w:val="000000" w:themeColor="text1"/>
        </w:rPr>
        <w:t>National Health Reform Act 2011</w:t>
      </w:r>
      <w:r w:rsidRPr="00191F54">
        <w:rPr>
          <w:color w:val="000000" w:themeColor="text1"/>
        </w:rPr>
        <w:t>, the Clinical Advisory Committee, Jurisdictional Advisory Committee and other advisory committees advise on matters relating to the functions of IHPA. These committees ensure the underlying principles applied to setting the NEP and NEC are both clinically relevant and technically appropriate.</w:t>
      </w:r>
    </w:p>
    <w:p w14:paraId="006E4086" w14:textId="11433569" w:rsidR="00B6497A" w:rsidRPr="00B6497A" w:rsidRDefault="00B6497A" w:rsidP="00985D08">
      <w:pPr>
        <w:rPr>
          <w:rFonts w:ascii="Calibri" w:hAnsi="Calibri"/>
          <w:color w:val="auto"/>
        </w:rPr>
      </w:pPr>
      <w:r>
        <w:rPr>
          <w:color w:val="000000" w:themeColor="text1"/>
        </w:rPr>
        <w:t xml:space="preserve">On 1 September 2021, the Government introduced legislation into Parliament to amend the National Health Reform Act. The amendments </w:t>
      </w:r>
      <w:r>
        <w:t>expand the role of the Independent Hospital Pricing Authority (IHPA) to include providing advice to the Minister for Health on aged care costing and pricing matters as the renamed Independent Health and Aged Care Pricing Authority.</w:t>
      </w:r>
    </w:p>
    <w:p w14:paraId="0C52B092" w14:textId="75AD9440" w:rsidR="00F32A69" w:rsidRPr="00441C9F" w:rsidRDefault="00985D08" w:rsidP="00441C9F">
      <w:pPr>
        <w:rPr>
          <w:color w:val="000000" w:themeColor="text1"/>
        </w:rPr>
      </w:pPr>
      <w:r w:rsidRPr="00191F54">
        <w:rPr>
          <w:color w:val="000000" w:themeColor="text1"/>
        </w:rPr>
        <w:t>IHPA is independent of the Commonwealth and state and territory governments.</w:t>
      </w:r>
      <w:r w:rsidR="00000DFF">
        <w:rPr>
          <w:color w:val="000000" w:themeColor="text1"/>
        </w:rPr>
        <w:t xml:space="preserve"> </w:t>
      </w:r>
      <w:r w:rsidRPr="00191F54">
        <w:rPr>
          <w:color w:val="000000" w:themeColor="text1"/>
        </w:rPr>
        <w:t xml:space="preserve">The role and functions of IHPA are set out in the </w:t>
      </w:r>
      <w:r w:rsidRPr="00191F54">
        <w:rPr>
          <w:i/>
          <w:color w:val="000000" w:themeColor="text1"/>
        </w:rPr>
        <w:t>National Health Reform Act 2011</w:t>
      </w:r>
      <w:r w:rsidRPr="00191F54">
        <w:rPr>
          <w:color w:val="000000" w:themeColor="text1"/>
        </w:rPr>
        <w:t xml:space="preserve">. IHPA is a corporate Commonwealth entity under the </w:t>
      </w:r>
      <w:r w:rsidRPr="00191F54">
        <w:rPr>
          <w:i/>
          <w:color w:val="000000" w:themeColor="text1"/>
        </w:rPr>
        <w:t>Public Governance, Performance and Accountability Act 2013.</w:t>
      </w:r>
      <w:r w:rsidR="00F32A69" w:rsidRPr="005A447E">
        <w:rPr>
          <w:color w:val="000000" w:themeColor="text1"/>
          <w:sz w:val="18"/>
          <w:szCs w:val="18"/>
        </w:rPr>
        <w:br w:type="page"/>
      </w:r>
    </w:p>
    <w:p w14:paraId="5B4C84F7" w14:textId="77777777" w:rsidR="0024539A" w:rsidRPr="00191F54" w:rsidRDefault="0024539A" w:rsidP="00BC0659">
      <w:pPr>
        <w:pStyle w:val="Heading3"/>
        <w:rPr>
          <w:color w:val="000000" w:themeColor="text1"/>
        </w:rPr>
      </w:pPr>
      <w:bookmarkStart w:id="3" w:name="_Toc71465087"/>
      <w:r w:rsidRPr="00191F54">
        <w:rPr>
          <w:color w:val="000000" w:themeColor="text1"/>
        </w:rPr>
        <w:lastRenderedPageBreak/>
        <w:t>1.2</w:t>
      </w:r>
      <w:r w:rsidRPr="00191F54">
        <w:rPr>
          <w:color w:val="000000" w:themeColor="text1"/>
        </w:rPr>
        <w:tab/>
        <w:t>Entity Resource Statement</w:t>
      </w:r>
      <w:bookmarkEnd w:id="3"/>
    </w:p>
    <w:p w14:paraId="2195CCDA" w14:textId="77777777" w:rsidR="0024539A" w:rsidRPr="00191F54" w:rsidRDefault="0024539A" w:rsidP="0024539A">
      <w:pPr>
        <w:rPr>
          <w:color w:val="000000" w:themeColor="text1"/>
        </w:rPr>
      </w:pPr>
      <w:r w:rsidRPr="00191F54">
        <w:rPr>
          <w:color w:val="000000" w:themeColor="text1"/>
        </w:rPr>
        <w:t>Table 1.1 shows the total funding from all sources available to the entity for its operations and to deliver programs and services on behalf of the Government.</w:t>
      </w:r>
    </w:p>
    <w:p w14:paraId="0AE087DD" w14:textId="1838357A" w:rsidR="0024539A" w:rsidRPr="00191F54" w:rsidRDefault="0024539A" w:rsidP="0024539A">
      <w:pPr>
        <w:rPr>
          <w:color w:val="000000" w:themeColor="text1"/>
        </w:rPr>
      </w:pPr>
      <w:r w:rsidRPr="00191F54">
        <w:rPr>
          <w:color w:val="000000" w:themeColor="text1"/>
        </w:rPr>
        <w:t>The table summarises how resourc</w:t>
      </w:r>
      <w:r w:rsidR="00270C3F">
        <w:rPr>
          <w:color w:val="000000" w:themeColor="text1"/>
        </w:rPr>
        <w:t>es will be applied by outcome (g</w:t>
      </w:r>
      <w:r w:rsidRPr="00191F54">
        <w:rPr>
          <w:color w:val="000000" w:themeColor="text1"/>
        </w:rPr>
        <w:t>overnment strategic policy objectives) and by administered (on behalf of the Government or the public) and departmental (for the entity’s operations) classification.</w:t>
      </w:r>
    </w:p>
    <w:p w14:paraId="62C8D365" w14:textId="77777777" w:rsidR="0024539A" w:rsidRPr="00191F54" w:rsidRDefault="0024539A" w:rsidP="0024539A">
      <w:pPr>
        <w:rPr>
          <w:color w:val="000000" w:themeColor="text1"/>
        </w:rPr>
      </w:pPr>
      <w:r w:rsidRPr="00191F54">
        <w:rPr>
          <w:color w:val="000000" w:themeColor="text1"/>
        </w:rPr>
        <w:t xml:space="preserve">For more detailed information on special accounts and special appropriations, refer to </w:t>
      </w:r>
      <w:r w:rsidRPr="00191F54">
        <w:rPr>
          <w:i/>
          <w:color w:val="000000" w:themeColor="text1"/>
        </w:rPr>
        <w:t>Budget Paper No. 4 – Agency Resourcing</w:t>
      </w:r>
      <w:r w:rsidRPr="00191F54">
        <w:rPr>
          <w:color w:val="000000" w:themeColor="text1"/>
        </w:rPr>
        <w:t>.</w:t>
      </w:r>
    </w:p>
    <w:p w14:paraId="4D62A6AD" w14:textId="77777777" w:rsidR="0024539A" w:rsidRPr="00191F54" w:rsidRDefault="0024539A" w:rsidP="0024539A">
      <w:pPr>
        <w:rPr>
          <w:color w:val="000000" w:themeColor="text1"/>
        </w:rPr>
      </w:pPr>
      <w:r w:rsidRPr="00191F54">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5AE6FD3D" w14:textId="5E7B4A15" w:rsidR="002113EF" w:rsidRDefault="0024539A" w:rsidP="0011498B">
      <w:pPr>
        <w:pStyle w:val="Tablenumberandreference"/>
        <w:rPr>
          <w:color w:val="000000" w:themeColor="text1"/>
        </w:rPr>
      </w:pPr>
      <w:r w:rsidRPr="00191F54">
        <w:rPr>
          <w:color w:val="000000" w:themeColor="text1"/>
        </w:rPr>
        <w:t xml:space="preserve">Table 1.1: </w:t>
      </w:r>
      <w:r w:rsidR="00985D08" w:rsidRPr="00191F54">
        <w:rPr>
          <w:color w:val="000000" w:themeColor="text1"/>
        </w:rPr>
        <w:t>IHPA</w:t>
      </w:r>
      <w:r w:rsidR="0013523C" w:rsidRPr="00191F54">
        <w:rPr>
          <w:color w:val="000000" w:themeColor="text1"/>
        </w:rPr>
        <w:t xml:space="preserve"> </w:t>
      </w:r>
      <w:r w:rsidRPr="00191F54">
        <w:rPr>
          <w:color w:val="000000" w:themeColor="text1"/>
        </w:rPr>
        <w:t xml:space="preserve">Resource Statement – Budget Estimates for </w:t>
      </w:r>
      <w:r w:rsidR="00883696">
        <w:rPr>
          <w:color w:val="000000" w:themeColor="text1"/>
        </w:rPr>
        <w:t>2022–</w:t>
      </w:r>
      <w:r w:rsidR="003947C1">
        <w:rPr>
          <w:color w:val="000000" w:themeColor="text1"/>
        </w:rPr>
        <w:t>23</w:t>
      </w:r>
      <w:r w:rsidRPr="00191F54">
        <w:rPr>
          <w:color w:val="000000" w:themeColor="text1"/>
        </w:rPr>
        <w:t xml:space="preserve"> as at Budget Ma</w:t>
      </w:r>
      <w:r w:rsidR="0011498B">
        <w:rPr>
          <w:color w:val="000000" w:themeColor="text1"/>
        </w:rPr>
        <w:t>rch</w:t>
      </w:r>
      <w:r w:rsidRPr="00191F54">
        <w:rPr>
          <w:color w:val="000000" w:themeColor="text1"/>
        </w:rPr>
        <w:t> 202</w:t>
      </w:r>
      <w:r w:rsidR="0011498B">
        <w:rPr>
          <w:color w:val="000000" w:themeColor="text1"/>
        </w:rPr>
        <w:t>2</w:t>
      </w:r>
      <w:r w:rsidR="005B3A9B" w:rsidRPr="00191F54">
        <w:rPr>
          <w:color w:val="000000" w:themeColor="text1"/>
        </w:rPr>
        <w:t>.</w:t>
      </w:r>
    </w:p>
    <w:tbl>
      <w:tblPr>
        <w:tblW w:w="7380" w:type="dxa"/>
        <w:jc w:val="center"/>
        <w:tblLayout w:type="fixed"/>
        <w:tblLook w:val="04A0" w:firstRow="1" w:lastRow="0" w:firstColumn="1" w:lastColumn="0" w:noHBand="0" w:noVBand="1"/>
      </w:tblPr>
      <w:tblGrid>
        <w:gridCol w:w="4660"/>
        <w:gridCol w:w="1360"/>
        <w:gridCol w:w="1360"/>
      </w:tblGrid>
      <w:tr w:rsidR="00DA070D" w:rsidRPr="00DA070D" w14:paraId="6E5DA9E6" w14:textId="77777777" w:rsidTr="003425A8">
        <w:trPr>
          <w:trHeight w:val="765"/>
          <w:jc w:val="center"/>
        </w:trPr>
        <w:tc>
          <w:tcPr>
            <w:tcW w:w="4660" w:type="dxa"/>
            <w:tcBorders>
              <w:top w:val="single" w:sz="4" w:space="0" w:color="auto"/>
              <w:left w:val="nil"/>
              <w:bottom w:val="nil"/>
              <w:right w:val="nil"/>
            </w:tcBorders>
            <w:shd w:val="clear" w:color="auto" w:fill="auto"/>
            <w:hideMark/>
          </w:tcPr>
          <w:p w14:paraId="7ED2F917" w14:textId="77777777" w:rsidR="00DA070D" w:rsidRPr="00DA070D" w:rsidRDefault="00DA070D" w:rsidP="00DA070D">
            <w:pPr>
              <w:spacing w:before="40" w:after="0"/>
              <w:jc w:val="right"/>
              <w:rPr>
                <w:rFonts w:ascii="Times New Roman" w:hAnsi="Times New Roman"/>
                <w:color w:val="auto"/>
                <w:sz w:val="24"/>
                <w:szCs w:val="24"/>
              </w:rPr>
            </w:pPr>
          </w:p>
        </w:tc>
        <w:tc>
          <w:tcPr>
            <w:tcW w:w="1360" w:type="dxa"/>
            <w:tcBorders>
              <w:top w:val="single" w:sz="4" w:space="0" w:color="auto"/>
              <w:left w:val="nil"/>
              <w:bottom w:val="single" w:sz="4" w:space="0" w:color="auto"/>
              <w:right w:val="nil"/>
            </w:tcBorders>
            <w:shd w:val="clear" w:color="auto" w:fill="auto"/>
            <w:hideMark/>
          </w:tcPr>
          <w:p w14:paraId="7EAADAAB" w14:textId="774F5F17" w:rsidR="00DA070D" w:rsidRPr="00DA070D" w:rsidRDefault="00DA070D" w:rsidP="00DA070D">
            <w:pPr>
              <w:spacing w:before="40" w:after="0"/>
              <w:jc w:val="right"/>
              <w:rPr>
                <w:rFonts w:ascii="Arial" w:hAnsi="Arial" w:cs="Arial"/>
                <w:b/>
                <w:bCs/>
                <w:color w:val="auto"/>
                <w:sz w:val="16"/>
                <w:szCs w:val="16"/>
              </w:rPr>
            </w:pPr>
            <w:r w:rsidRPr="00DA070D">
              <w:rPr>
                <w:rFonts w:ascii="Arial" w:hAnsi="Arial" w:cs="Arial"/>
                <w:b/>
                <w:bCs/>
                <w:color w:val="auto"/>
                <w:sz w:val="16"/>
                <w:szCs w:val="16"/>
              </w:rPr>
              <w:t>2021</w:t>
            </w:r>
            <w:r w:rsidR="004C6E42">
              <w:rPr>
                <w:rFonts w:ascii="Arial" w:hAnsi="Arial" w:cs="Arial"/>
                <w:b/>
                <w:bCs/>
                <w:color w:val="auto"/>
                <w:sz w:val="16"/>
                <w:szCs w:val="16"/>
              </w:rPr>
              <w:t>–</w:t>
            </w:r>
            <w:r w:rsidRPr="00DA070D">
              <w:rPr>
                <w:rFonts w:ascii="Arial" w:hAnsi="Arial" w:cs="Arial"/>
                <w:b/>
                <w:bCs/>
                <w:color w:val="auto"/>
                <w:sz w:val="16"/>
                <w:szCs w:val="16"/>
              </w:rPr>
              <w:t>22</w:t>
            </w:r>
            <w:r w:rsidRPr="00DA070D">
              <w:rPr>
                <w:rFonts w:ascii="Arial" w:hAnsi="Arial" w:cs="Arial"/>
                <w:b/>
                <w:bCs/>
                <w:color w:val="auto"/>
                <w:sz w:val="16"/>
                <w:szCs w:val="16"/>
              </w:rPr>
              <w:br/>
              <w:t>Estimated actual</w:t>
            </w:r>
            <w:r w:rsidRPr="00DA070D">
              <w:rPr>
                <w:rFonts w:ascii="Arial" w:hAnsi="Arial" w:cs="Arial"/>
                <w:b/>
                <w:bCs/>
                <w:color w:val="auto"/>
                <w:sz w:val="16"/>
                <w:szCs w:val="16"/>
              </w:rPr>
              <w:br/>
            </w:r>
            <w:r w:rsidRPr="00DA070D">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7B93C0F0" w14:textId="3EF7268A" w:rsidR="00DA070D" w:rsidRPr="00DA070D" w:rsidRDefault="004C6E42" w:rsidP="00DA070D">
            <w:pPr>
              <w:spacing w:before="40" w:after="0"/>
              <w:jc w:val="right"/>
              <w:rPr>
                <w:rFonts w:ascii="Arial" w:hAnsi="Arial" w:cs="Arial"/>
                <w:b/>
                <w:bCs/>
                <w:color w:val="auto"/>
                <w:sz w:val="16"/>
                <w:szCs w:val="16"/>
              </w:rPr>
            </w:pPr>
            <w:r>
              <w:rPr>
                <w:rFonts w:ascii="Arial" w:hAnsi="Arial" w:cs="Arial"/>
                <w:b/>
                <w:bCs/>
                <w:color w:val="auto"/>
                <w:sz w:val="16"/>
                <w:szCs w:val="16"/>
              </w:rPr>
              <w:t>2022–</w:t>
            </w:r>
            <w:r w:rsidR="00DA070D" w:rsidRPr="00DA070D">
              <w:rPr>
                <w:rFonts w:ascii="Arial" w:hAnsi="Arial" w:cs="Arial"/>
                <w:b/>
                <w:bCs/>
                <w:color w:val="auto"/>
                <w:sz w:val="16"/>
                <w:szCs w:val="16"/>
              </w:rPr>
              <w:t>23</w:t>
            </w:r>
            <w:r w:rsidR="00DA070D" w:rsidRPr="00DA070D">
              <w:rPr>
                <w:rFonts w:ascii="Arial" w:hAnsi="Arial" w:cs="Arial"/>
                <w:b/>
                <w:bCs/>
                <w:color w:val="auto"/>
                <w:sz w:val="16"/>
                <w:szCs w:val="16"/>
              </w:rPr>
              <w:br/>
              <w:t>Estimate</w:t>
            </w:r>
            <w:r w:rsidR="00DA070D" w:rsidRPr="00DA070D">
              <w:rPr>
                <w:rFonts w:ascii="Arial" w:hAnsi="Arial" w:cs="Arial"/>
                <w:b/>
                <w:bCs/>
                <w:color w:val="auto"/>
                <w:sz w:val="16"/>
                <w:szCs w:val="16"/>
              </w:rPr>
              <w:br/>
            </w:r>
            <w:r w:rsidR="00DA070D" w:rsidRPr="00DA070D">
              <w:rPr>
                <w:rFonts w:ascii="Arial" w:hAnsi="Arial" w:cs="Arial"/>
                <w:b/>
                <w:bCs/>
                <w:color w:val="auto"/>
                <w:sz w:val="16"/>
                <w:szCs w:val="16"/>
              </w:rPr>
              <w:br/>
            </w:r>
            <w:r w:rsidR="00DA070D" w:rsidRPr="00DA070D">
              <w:rPr>
                <w:rFonts w:ascii="Arial" w:hAnsi="Arial" w:cs="Arial"/>
                <w:color w:val="auto"/>
                <w:sz w:val="16"/>
                <w:szCs w:val="16"/>
              </w:rPr>
              <w:t>$'000</w:t>
            </w:r>
          </w:p>
        </w:tc>
      </w:tr>
      <w:tr w:rsidR="00DA070D" w:rsidRPr="00DA070D" w14:paraId="369B8F2A" w14:textId="77777777" w:rsidTr="003F4CB2">
        <w:trPr>
          <w:trHeight w:val="283"/>
          <w:jc w:val="center"/>
        </w:trPr>
        <w:tc>
          <w:tcPr>
            <w:tcW w:w="4660" w:type="dxa"/>
            <w:tcBorders>
              <w:top w:val="nil"/>
              <w:left w:val="nil"/>
              <w:bottom w:val="nil"/>
              <w:right w:val="nil"/>
            </w:tcBorders>
            <w:shd w:val="clear" w:color="auto" w:fill="auto"/>
            <w:noWrap/>
            <w:vAlign w:val="bottom"/>
            <w:hideMark/>
          </w:tcPr>
          <w:p w14:paraId="1A4BE05B" w14:textId="77777777" w:rsidR="00DA070D" w:rsidRPr="00DA070D" w:rsidRDefault="00DA070D" w:rsidP="00DA070D">
            <w:pPr>
              <w:spacing w:after="0"/>
              <w:rPr>
                <w:rFonts w:ascii="Arial" w:hAnsi="Arial" w:cs="Arial"/>
                <w:b/>
                <w:bCs/>
                <w:color w:val="auto"/>
                <w:sz w:val="16"/>
                <w:szCs w:val="16"/>
              </w:rPr>
            </w:pPr>
            <w:r w:rsidRPr="00DA070D">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6BEACA03" w14:textId="77777777" w:rsidR="00DA070D" w:rsidRPr="00DA070D" w:rsidRDefault="00DA070D" w:rsidP="00DA070D">
            <w:pPr>
              <w:spacing w:after="0"/>
              <w:jc w:val="right"/>
              <w:rPr>
                <w:rFonts w:ascii="Arial" w:hAnsi="Arial" w:cs="Arial"/>
                <w:sz w:val="16"/>
                <w:szCs w:val="16"/>
              </w:rPr>
            </w:pPr>
            <w:r w:rsidRPr="00DA070D">
              <w:rPr>
                <w:rFonts w:ascii="Arial" w:hAnsi="Arial" w:cs="Arial"/>
                <w:sz w:val="16"/>
                <w:szCs w:val="16"/>
              </w:rPr>
              <w:t>16,251</w:t>
            </w:r>
          </w:p>
        </w:tc>
        <w:tc>
          <w:tcPr>
            <w:tcW w:w="1360" w:type="dxa"/>
            <w:tcBorders>
              <w:top w:val="nil"/>
              <w:left w:val="nil"/>
              <w:bottom w:val="nil"/>
              <w:right w:val="nil"/>
            </w:tcBorders>
            <w:shd w:val="clear" w:color="000000" w:fill="D9D9D9"/>
            <w:noWrap/>
            <w:vAlign w:val="bottom"/>
            <w:hideMark/>
          </w:tcPr>
          <w:p w14:paraId="2954D5D2"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14,046</w:t>
            </w:r>
          </w:p>
        </w:tc>
      </w:tr>
      <w:tr w:rsidR="00DA070D" w:rsidRPr="00DA070D" w14:paraId="79900285" w14:textId="77777777" w:rsidTr="003F4CB2">
        <w:trPr>
          <w:trHeight w:val="283"/>
          <w:jc w:val="center"/>
        </w:trPr>
        <w:tc>
          <w:tcPr>
            <w:tcW w:w="4660" w:type="dxa"/>
            <w:tcBorders>
              <w:top w:val="nil"/>
              <w:left w:val="nil"/>
              <w:bottom w:val="nil"/>
              <w:right w:val="nil"/>
            </w:tcBorders>
            <w:shd w:val="clear" w:color="000000" w:fill="FFFFFF"/>
            <w:noWrap/>
            <w:vAlign w:val="bottom"/>
            <w:hideMark/>
          </w:tcPr>
          <w:p w14:paraId="08D008BD" w14:textId="77777777" w:rsidR="00DA070D" w:rsidRPr="00DA070D" w:rsidRDefault="00DA070D" w:rsidP="00DA070D">
            <w:pPr>
              <w:spacing w:after="0"/>
              <w:rPr>
                <w:rFonts w:ascii="Arial" w:hAnsi="Arial" w:cs="Arial"/>
                <w:b/>
                <w:bCs/>
                <w:sz w:val="16"/>
                <w:szCs w:val="16"/>
              </w:rPr>
            </w:pPr>
            <w:r w:rsidRPr="00DA070D">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2FEC0344" w14:textId="77777777" w:rsidR="00DA070D" w:rsidRPr="00DA070D" w:rsidRDefault="00DA070D" w:rsidP="00DA070D">
            <w:pPr>
              <w:spacing w:after="0"/>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0C4621EC"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18F13901"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24BD9377" w14:textId="77777777" w:rsidR="00DA070D" w:rsidRPr="00DA070D" w:rsidRDefault="00DA070D" w:rsidP="00DA070D">
            <w:pPr>
              <w:spacing w:after="0"/>
              <w:ind w:firstLineChars="100" w:firstLine="160"/>
              <w:rPr>
                <w:rFonts w:ascii="Arial" w:hAnsi="Arial" w:cs="Arial"/>
                <w:b/>
                <w:bCs/>
                <w:color w:val="auto"/>
                <w:sz w:val="16"/>
                <w:szCs w:val="16"/>
              </w:rPr>
            </w:pPr>
            <w:r w:rsidRPr="00DA070D">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7CF0C7B" w14:textId="77777777" w:rsidR="00DA070D" w:rsidRPr="00DA070D" w:rsidRDefault="00DA070D" w:rsidP="00DA070D">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D1E92C3"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09410C70"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7924A012" w14:textId="77777777" w:rsidR="00DA070D" w:rsidRPr="00DA070D" w:rsidRDefault="00DA070D" w:rsidP="00DA070D">
            <w:pPr>
              <w:spacing w:after="0"/>
              <w:ind w:firstLineChars="200" w:firstLine="320"/>
              <w:rPr>
                <w:rFonts w:ascii="Arial" w:hAnsi="Arial" w:cs="Arial"/>
                <w:color w:val="auto"/>
                <w:sz w:val="16"/>
                <w:szCs w:val="16"/>
              </w:rPr>
            </w:pPr>
            <w:r w:rsidRPr="00DA070D">
              <w:rPr>
                <w:rFonts w:ascii="Arial" w:hAnsi="Arial" w:cs="Arial"/>
                <w:color w:val="auto"/>
                <w:sz w:val="16"/>
                <w:szCs w:val="16"/>
              </w:rPr>
              <w:t>Ordinary annual services</w:t>
            </w:r>
            <w:r w:rsidRPr="00DA070D">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0D1DC209" w14:textId="77777777" w:rsidR="00DA070D" w:rsidRPr="00DA070D" w:rsidRDefault="00DA070D" w:rsidP="00DA070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9A99189"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5C999A5B"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1F86EC19" w14:textId="77777777" w:rsidR="00DA070D" w:rsidRPr="00DA070D" w:rsidRDefault="00DA070D" w:rsidP="00DA070D">
            <w:pPr>
              <w:spacing w:after="0"/>
              <w:ind w:firstLineChars="300" w:firstLine="480"/>
              <w:rPr>
                <w:rFonts w:ascii="Arial" w:hAnsi="Arial" w:cs="Arial"/>
                <w:color w:val="auto"/>
                <w:sz w:val="16"/>
                <w:szCs w:val="16"/>
              </w:rPr>
            </w:pPr>
            <w:r w:rsidRPr="00DA070D">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161C3288"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52CB4EC4"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r>
      <w:tr w:rsidR="00DA070D" w:rsidRPr="00DA070D" w14:paraId="59FE8C65" w14:textId="77777777" w:rsidTr="003F4CB2">
        <w:trPr>
          <w:trHeight w:val="283"/>
          <w:jc w:val="center"/>
        </w:trPr>
        <w:tc>
          <w:tcPr>
            <w:tcW w:w="4660" w:type="dxa"/>
            <w:tcBorders>
              <w:top w:val="nil"/>
              <w:left w:val="nil"/>
              <w:bottom w:val="nil"/>
              <w:right w:val="nil"/>
            </w:tcBorders>
            <w:shd w:val="clear" w:color="auto" w:fill="auto"/>
            <w:noWrap/>
            <w:vAlign w:val="bottom"/>
            <w:hideMark/>
          </w:tcPr>
          <w:p w14:paraId="0BC37725" w14:textId="77777777" w:rsidR="00DA070D" w:rsidRPr="00DA070D" w:rsidRDefault="00DA070D" w:rsidP="00DA070D">
            <w:pPr>
              <w:spacing w:after="0"/>
              <w:ind w:firstLineChars="200" w:firstLine="320"/>
              <w:rPr>
                <w:rFonts w:ascii="Arial" w:hAnsi="Arial" w:cs="Arial"/>
                <w:color w:val="auto"/>
                <w:sz w:val="16"/>
                <w:szCs w:val="16"/>
              </w:rPr>
            </w:pPr>
            <w:r w:rsidRPr="00DA070D">
              <w:rPr>
                <w:rFonts w:ascii="Arial" w:hAnsi="Arial" w:cs="Arial"/>
                <w:color w:val="auto"/>
                <w:sz w:val="16"/>
                <w:szCs w:val="16"/>
              </w:rPr>
              <w:t>Other services</w:t>
            </w:r>
            <w:r w:rsidRPr="00DA070D">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64BE7100" w14:textId="77777777" w:rsidR="00DA070D" w:rsidRPr="00DA070D" w:rsidRDefault="00DA070D" w:rsidP="00DA070D">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901ED6E"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30862E39"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155CED37" w14:textId="77777777" w:rsidR="00DA070D" w:rsidRPr="00DA070D" w:rsidRDefault="00DA070D" w:rsidP="00DA070D">
            <w:pPr>
              <w:spacing w:after="0"/>
              <w:ind w:firstLineChars="300" w:firstLine="480"/>
              <w:rPr>
                <w:rFonts w:ascii="Arial" w:hAnsi="Arial" w:cs="Arial"/>
                <w:color w:val="auto"/>
                <w:sz w:val="16"/>
                <w:szCs w:val="16"/>
              </w:rPr>
            </w:pPr>
            <w:r w:rsidRPr="00DA070D">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29050763"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0F9217A"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r>
      <w:tr w:rsidR="00DA070D" w:rsidRPr="00DA070D" w14:paraId="3A465757"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26A7FF93" w14:textId="77777777" w:rsidR="00DA070D" w:rsidRPr="00DA070D" w:rsidRDefault="00DA070D" w:rsidP="00DA070D">
            <w:pPr>
              <w:spacing w:after="0"/>
              <w:ind w:firstLineChars="200" w:firstLine="320"/>
              <w:rPr>
                <w:rFonts w:ascii="Arial" w:hAnsi="Arial" w:cs="Arial"/>
                <w:b/>
                <w:bCs/>
                <w:color w:val="auto"/>
                <w:sz w:val="16"/>
                <w:szCs w:val="16"/>
              </w:rPr>
            </w:pPr>
            <w:r w:rsidRPr="00DA070D">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16046D17"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42D9D828"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w:t>
            </w:r>
          </w:p>
        </w:tc>
      </w:tr>
      <w:tr w:rsidR="00DA070D" w:rsidRPr="00DA070D" w14:paraId="09E06294" w14:textId="77777777" w:rsidTr="003F4CB2">
        <w:trPr>
          <w:trHeight w:val="283"/>
          <w:jc w:val="center"/>
        </w:trPr>
        <w:tc>
          <w:tcPr>
            <w:tcW w:w="4660" w:type="dxa"/>
            <w:tcBorders>
              <w:top w:val="nil"/>
              <w:left w:val="nil"/>
              <w:bottom w:val="nil"/>
              <w:right w:val="nil"/>
            </w:tcBorders>
            <w:shd w:val="clear" w:color="auto" w:fill="auto"/>
            <w:noWrap/>
            <w:vAlign w:val="bottom"/>
            <w:hideMark/>
          </w:tcPr>
          <w:p w14:paraId="37917228" w14:textId="77777777" w:rsidR="00DA070D" w:rsidRPr="00DA070D" w:rsidRDefault="00DA070D" w:rsidP="00DA070D">
            <w:pPr>
              <w:spacing w:after="0"/>
              <w:ind w:firstLineChars="100" w:firstLine="160"/>
              <w:rPr>
                <w:rFonts w:ascii="Arial" w:hAnsi="Arial" w:cs="Arial"/>
                <w:b/>
                <w:bCs/>
                <w:color w:val="auto"/>
                <w:sz w:val="16"/>
                <w:szCs w:val="16"/>
              </w:rPr>
            </w:pPr>
            <w:r w:rsidRPr="00DA070D">
              <w:rPr>
                <w:rFonts w:ascii="Arial" w:hAnsi="Arial" w:cs="Arial"/>
                <w:b/>
                <w:bCs/>
                <w:color w:val="auto"/>
                <w:sz w:val="16"/>
                <w:szCs w:val="16"/>
              </w:rPr>
              <w:t>Amounts received from related entities</w:t>
            </w:r>
            <w:r w:rsidRPr="00DA070D">
              <w:rPr>
                <w:rFonts w:ascii="Arial" w:hAnsi="Arial" w:cs="Arial"/>
                <w:b/>
                <w:bCs/>
                <w:color w:val="auto"/>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14:paraId="61D5424B" w14:textId="77777777" w:rsidR="00DA070D" w:rsidRPr="00DA070D" w:rsidRDefault="00DA070D" w:rsidP="00DA070D">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D5D2850"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33DA01C1"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00326F42" w14:textId="77777777" w:rsidR="00DA070D" w:rsidRPr="00DA070D" w:rsidRDefault="00DA070D" w:rsidP="00DA070D">
            <w:pPr>
              <w:spacing w:after="0"/>
              <w:ind w:firstLineChars="200" w:firstLine="320"/>
              <w:rPr>
                <w:rFonts w:ascii="Arial" w:hAnsi="Arial" w:cs="Arial"/>
                <w:color w:val="auto"/>
                <w:sz w:val="16"/>
                <w:szCs w:val="16"/>
              </w:rPr>
            </w:pPr>
            <w:r w:rsidRPr="00DA070D">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29E2DFE4"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19,561</w:t>
            </w:r>
          </w:p>
        </w:tc>
        <w:tc>
          <w:tcPr>
            <w:tcW w:w="1360" w:type="dxa"/>
            <w:tcBorders>
              <w:top w:val="nil"/>
              <w:left w:val="nil"/>
              <w:bottom w:val="nil"/>
              <w:right w:val="nil"/>
            </w:tcBorders>
            <w:shd w:val="clear" w:color="000000" w:fill="D9D9D9"/>
            <w:noWrap/>
            <w:vAlign w:val="bottom"/>
            <w:hideMark/>
          </w:tcPr>
          <w:p w14:paraId="7FB3E80C"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22,624</w:t>
            </w:r>
          </w:p>
        </w:tc>
      </w:tr>
      <w:tr w:rsidR="00DA070D" w:rsidRPr="00DA070D" w14:paraId="0DF1DEA5"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4D822A72" w14:textId="77777777" w:rsidR="00DA070D" w:rsidRPr="00DA070D" w:rsidRDefault="00DA070D" w:rsidP="00DA070D">
            <w:pPr>
              <w:spacing w:after="0"/>
              <w:ind w:firstLineChars="200" w:firstLine="320"/>
              <w:rPr>
                <w:rFonts w:ascii="Arial" w:hAnsi="Arial" w:cs="Arial"/>
                <w:color w:val="auto"/>
                <w:sz w:val="16"/>
                <w:szCs w:val="16"/>
              </w:rPr>
            </w:pPr>
            <w:r w:rsidRPr="00DA070D">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15A32F62"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05D7F85"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w:t>
            </w:r>
          </w:p>
        </w:tc>
      </w:tr>
      <w:tr w:rsidR="00DA070D" w:rsidRPr="00DA070D" w14:paraId="3E85E3BB"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12F724CE" w14:textId="77777777" w:rsidR="00DA070D" w:rsidRPr="00DA070D" w:rsidRDefault="00DA070D" w:rsidP="00DA070D">
            <w:pPr>
              <w:spacing w:after="0"/>
              <w:ind w:firstLineChars="200" w:firstLine="320"/>
              <w:rPr>
                <w:rFonts w:ascii="Arial" w:hAnsi="Arial" w:cs="Arial"/>
                <w:b/>
                <w:bCs/>
                <w:color w:val="auto"/>
                <w:sz w:val="16"/>
                <w:szCs w:val="16"/>
              </w:rPr>
            </w:pPr>
            <w:r w:rsidRPr="00DA070D">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2E4BA38A"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19,561</w:t>
            </w:r>
          </w:p>
        </w:tc>
        <w:tc>
          <w:tcPr>
            <w:tcW w:w="1360" w:type="dxa"/>
            <w:tcBorders>
              <w:top w:val="nil"/>
              <w:left w:val="nil"/>
              <w:bottom w:val="single" w:sz="4" w:space="0" w:color="auto"/>
              <w:right w:val="nil"/>
            </w:tcBorders>
            <w:shd w:val="clear" w:color="000000" w:fill="D9D9D9"/>
            <w:noWrap/>
            <w:vAlign w:val="bottom"/>
            <w:hideMark/>
          </w:tcPr>
          <w:p w14:paraId="26CDC185"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22,624</w:t>
            </w:r>
          </w:p>
        </w:tc>
      </w:tr>
      <w:tr w:rsidR="00DA070D" w:rsidRPr="00DA070D" w14:paraId="05E78059" w14:textId="77777777" w:rsidTr="003F4CB2">
        <w:trPr>
          <w:trHeight w:val="283"/>
          <w:jc w:val="center"/>
        </w:trPr>
        <w:tc>
          <w:tcPr>
            <w:tcW w:w="4660" w:type="dxa"/>
            <w:tcBorders>
              <w:top w:val="nil"/>
              <w:left w:val="nil"/>
              <w:bottom w:val="nil"/>
              <w:right w:val="nil"/>
            </w:tcBorders>
            <w:shd w:val="clear" w:color="auto" w:fill="auto"/>
            <w:noWrap/>
            <w:vAlign w:val="bottom"/>
            <w:hideMark/>
          </w:tcPr>
          <w:p w14:paraId="317E63A9" w14:textId="77777777" w:rsidR="00DA070D" w:rsidRPr="00DA070D" w:rsidRDefault="00DA070D" w:rsidP="00DA070D">
            <w:pPr>
              <w:spacing w:after="0"/>
              <w:ind w:firstLineChars="100" w:firstLine="160"/>
              <w:rPr>
                <w:rFonts w:ascii="Arial" w:hAnsi="Arial" w:cs="Arial"/>
                <w:b/>
                <w:bCs/>
                <w:color w:val="auto"/>
                <w:sz w:val="16"/>
                <w:szCs w:val="16"/>
              </w:rPr>
            </w:pPr>
            <w:r w:rsidRPr="00DA070D">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58C2255B"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19,561</w:t>
            </w:r>
          </w:p>
        </w:tc>
        <w:tc>
          <w:tcPr>
            <w:tcW w:w="1360" w:type="dxa"/>
            <w:tcBorders>
              <w:top w:val="nil"/>
              <w:left w:val="nil"/>
              <w:bottom w:val="single" w:sz="4" w:space="0" w:color="auto"/>
              <w:right w:val="nil"/>
            </w:tcBorders>
            <w:shd w:val="clear" w:color="000000" w:fill="D9D9D9"/>
            <w:noWrap/>
            <w:vAlign w:val="bottom"/>
            <w:hideMark/>
          </w:tcPr>
          <w:p w14:paraId="2B200188"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22,624</w:t>
            </w:r>
          </w:p>
        </w:tc>
      </w:tr>
      <w:tr w:rsidR="00DA070D" w:rsidRPr="00DA070D" w14:paraId="6D9C946B" w14:textId="77777777" w:rsidTr="003F4CB2">
        <w:trPr>
          <w:trHeight w:val="283"/>
          <w:jc w:val="center"/>
        </w:trPr>
        <w:tc>
          <w:tcPr>
            <w:tcW w:w="4660" w:type="dxa"/>
            <w:tcBorders>
              <w:top w:val="nil"/>
              <w:left w:val="nil"/>
              <w:bottom w:val="nil"/>
              <w:right w:val="nil"/>
            </w:tcBorders>
            <w:shd w:val="clear" w:color="auto" w:fill="auto"/>
            <w:noWrap/>
            <w:vAlign w:val="bottom"/>
            <w:hideMark/>
          </w:tcPr>
          <w:p w14:paraId="1D3383D1" w14:textId="77777777" w:rsidR="00DA070D" w:rsidRPr="00DA070D" w:rsidRDefault="00DA070D" w:rsidP="00DA070D">
            <w:pPr>
              <w:spacing w:after="0"/>
              <w:rPr>
                <w:rFonts w:ascii="Arial" w:hAnsi="Arial" w:cs="Arial"/>
                <w:b/>
                <w:bCs/>
                <w:color w:val="auto"/>
                <w:sz w:val="16"/>
                <w:szCs w:val="16"/>
              </w:rPr>
            </w:pPr>
            <w:r w:rsidRPr="00DA070D">
              <w:rPr>
                <w:rFonts w:ascii="Arial" w:hAnsi="Arial" w:cs="Arial"/>
                <w:b/>
                <w:bCs/>
                <w:color w:val="auto"/>
                <w:sz w:val="16"/>
                <w:szCs w:val="16"/>
              </w:rPr>
              <w:t>Funds from other sources</w:t>
            </w:r>
          </w:p>
        </w:tc>
        <w:tc>
          <w:tcPr>
            <w:tcW w:w="1360" w:type="dxa"/>
            <w:tcBorders>
              <w:top w:val="nil"/>
              <w:left w:val="nil"/>
              <w:bottom w:val="nil"/>
              <w:right w:val="nil"/>
            </w:tcBorders>
            <w:shd w:val="clear" w:color="auto" w:fill="auto"/>
            <w:noWrap/>
            <w:vAlign w:val="bottom"/>
            <w:hideMark/>
          </w:tcPr>
          <w:p w14:paraId="5C54A637" w14:textId="77777777" w:rsidR="00DA070D" w:rsidRPr="00DA070D" w:rsidRDefault="00DA070D" w:rsidP="00DA070D">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6797C26"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 </w:t>
            </w:r>
          </w:p>
        </w:tc>
      </w:tr>
      <w:tr w:rsidR="00DA070D" w:rsidRPr="00DA070D" w14:paraId="2E91BC6E"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2AF6CC2D" w14:textId="77777777" w:rsidR="00DA070D" w:rsidRPr="00DA070D" w:rsidRDefault="00DA070D" w:rsidP="00DA070D">
            <w:pPr>
              <w:spacing w:after="0"/>
              <w:ind w:firstLineChars="100" w:firstLine="160"/>
              <w:rPr>
                <w:rFonts w:ascii="Arial" w:hAnsi="Arial" w:cs="Arial"/>
                <w:color w:val="auto"/>
                <w:sz w:val="16"/>
                <w:szCs w:val="16"/>
              </w:rPr>
            </w:pPr>
            <w:r w:rsidRPr="00DA070D">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5903A533"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5</w:t>
            </w:r>
          </w:p>
        </w:tc>
        <w:tc>
          <w:tcPr>
            <w:tcW w:w="1360" w:type="dxa"/>
            <w:tcBorders>
              <w:top w:val="nil"/>
              <w:left w:val="nil"/>
              <w:bottom w:val="nil"/>
              <w:right w:val="nil"/>
            </w:tcBorders>
            <w:shd w:val="clear" w:color="000000" w:fill="D9D9D9"/>
            <w:noWrap/>
            <w:vAlign w:val="bottom"/>
            <w:hideMark/>
          </w:tcPr>
          <w:p w14:paraId="7BE580F9"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5</w:t>
            </w:r>
          </w:p>
        </w:tc>
      </w:tr>
      <w:tr w:rsidR="00DA070D" w:rsidRPr="00DA070D" w14:paraId="179CD23F"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27F69810" w14:textId="77777777" w:rsidR="00DA070D" w:rsidRPr="00DA070D" w:rsidRDefault="00DA070D" w:rsidP="00DA070D">
            <w:pPr>
              <w:spacing w:after="0"/>
              <w:ind w:firstLineChars="100" w:firstLine="160"/>
              <w:rPr>
                <w:rFonts w:ascii="Arial" w:hAnsi="Arial" w:cs="Arial"/>
                <w:color w:val="auto"/>
                <w:sz w:val="16"/>
                <w:szCs w:val="16"/>
              </w:rPr>
            </w:pPr>
            <w:r w:rsidRPr="00DA070D">
              <w:rPr>
                <w:rFonts w:ascii="Arial" w:hAnsi="Arial" w:cs="Arial"/>
                <w:color w:val="auto"/>
                <w:sz w:val="16"/>
                <w:szCs w:val="16"/>
              </w:rPr>
              <w:t>Sale of goods and services</w:t>
            </w:r>
          </w:p>
        </w:tc>
        <w:tc>
          <w:tcPr>
            <w:tcW w:w="1360" w:type="dxa"/>
            <w:tcBorders>
              <w:top w:val="nil"/>
              <w:left w:val="nil"/>
              <w:bottom w:val="nil"/>
              <w:right w:val="nil"/>
            </w:tcBorders>
            <w:shd w:val="clear" w:color="auto" w:fill="auto"/>
            <w:noWrap/>
            <w:vAlign w:val="bottom"/>
            <w:hideMark/>
          </w:tcPr>
          <w:p w14:paraId="3A3457F5"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750</w:t>
            </w:r>
          </w:p>
        </w:tc>
        <w:tc>
          <w:tcPr>
            <w:tcW w:w="1360" w:type="dxa"/>
            <w:tcBorders>
              <w:top w:val="nil"/>
              <w:left w:val="nil"/>
              <w:bottom w:val="nil"/>
              <w:right w:val="nil"/>
            </w:tcBorders>
            <w:shd w:val="clear" w:color="000000" w:fill="D9D9D9"/>
            <w:noWrap/>
            <w:vAlign w:val="bottom"/>
            <w:hideMark/>
          </w:tcPr>
          <w:p w14:paraId="051F2A0C"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800</w:t>
            </w:r>
          </w:p>
        </w:tc>
      </w:tr>
      <w:tr w:rsidR="00DA070D" w:rsidRPr="00DA070D" w14:paraId="5AA3E638"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763A8417" w14:textId="77777777" w:rsidR="00DA070D" w:rsidRPr="00DA070D" w:rsidRDefault="00DA070D" w:rsidP="00DA070D">
            <w:pPr>
              <w:spacing w:after="0"/>
              <w:ind w:firstLineChars="100" w:firstLine="160"/>
              <w:rPr>
                <w:rFonts w:ascii="Arial" w:hAnsi="Arial" w:cs="Arial"/>
                <w:b/>
                <w:bCs/>
                <w:color w:val="auto"/>
                <w:sz w:val="16"/>
                <w:szCs w:val="16"/>
              </w:rPr>
            </w:pPr>
            <w:r w:rsidRPr="00DA070D">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3DEA51F4"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755</w:t>
            </w:r>
          </w:p>
        </w:tc>
        <w:tc>
          <w:tcPr>
            <w:tcW w:w="1360" w:type="dxa"/>
            <w:tcBorders>
              <w:top w:val="nil"/>
              <w:left w:val="nil"/>
              <w:bottom w:val="single" w:sz="4" w:space="0" w:color="auto"/>
              <w:right w:val="nil"/>
            </w:tcBorders>
            <w:shd w:val="clear" w:color="000000" w:fill="D9D9D9"/>
            <w:noWrap/>
            <w:vAlign w:val="bottom"/>
            <w:hideMark/>
          </w:tcPr>
          <w:p w14:paraId="6156D12F"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805</w:t>
            </w:r>
          </w:p>
        </w:tc>
      </w:tr>
      <w:tr w:rsidR="00DA070D" w:rsidRPr="00DA070D" w14:paraId="300BD1BC" w14:textId="77777777" w:rsidTr="003F4CB2">
        <w:trPr>
          <w:trHeight w:val="283"/>
          <w:jc w:val="center"/>
        </w:trPr>
        <w:tc>
          <w:tcPr>
            <w:tcW w:w="4660" w:type="dxa"/>
            <w:tcBorders>
              <w:top w:val="nil"/>
              <w:left w:val="nil"/>
              <w:bottom w:val="single" w:sz="4" w:space="0" w:color="auto"/>
              <w:right w:val="nil"/>
            </w:tcBorders>
            <w:shd w:val="clear" w:color="auto" w:fill="auto"/>
            <w:noWrap/>
            <w:vAlign w:val="bottom"/>
            <w:hideMark/>
          </w:tcPr>
          <w:p w14:paraId="5CC3CCA2" w14:textId="77777777" w:rsidR="00DA070D" w:rsidRPr="00DA070D" w:rsidRDefault="00DA070D" w:rsidP="00DA070D">
            <w:pPr>
              <w:spacing w:after="0"/>
              <w:rPr>
                <w:rFonts w:ascii="Arial" w:hAnsi="Arial" w:cs="Arial"/>
                <w:b/>
                <w:bCs/>
                <w:color w:val="auto"/>
                <w:sz w:val="16"/>
                <w:szCs w:val="16"/>
              </w:rPr>
            </w:pPr>
            <w:r w:rsidRPr="00DA070D">
              <w:rPr>
                <w:rFonts w:ascii="Arial" w:hAnsi="Arial" w:cs="Arial"/>
                <w:b/>
                <w:bCs/>
                <w:color w:val="auto"/>
                <w:sz w:val="16"/>
                <w:szCs w:val="16"/>
              </w:rPr>
              <w:t>Total net resourcing for IHPA</w:t>
            </w:r>
          </w:p>
        </w:tc>
        <w:tc>
          <w:tcPr>
            <w:tcW w:w="1360" w:type="dxa"/>
            <w:tcBorders>
              <w:top w:val="nil"/>
              <w:left w:val="nil"/>
              <w:bottom w:val="single" w:sz="4" w:space="0" w:color="auto"/>
              <w:right w:val="nil"/>
            </w:tcBorders>
            <w:shd w:val="clear" w:color="auto" w:fill="auto"/>
            <w:noWrap/>
            <w:vAlign w:val="bottom"/>
            <w:hideMark/>
          </w:tcPr>
          <w:p w14:paraId="5E8E37F8"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36,567</w:t>
            </w:r>
          </w:p>
        </w:tc>
        <w:tc>
          <w:tcPr>
            <w:tcW w:w="1360" w:type="dxa"/>
            <w:tcBorders>
              <w:top w:val="nil"/>
              <w:left w:val="nil"/>
              <w:bottom w:val="single" w:sz="4" w:space="0" w:color="auto"/>
              <w:right w:val="nil"/>
            </w:tcBorders>
            <w:shd w:val="clear" w:color="000000" w:fill="D9D9D9"/>
            <w:noWrap/>
            <w:vAlign w:val="bottom"/>
            <w:hideMark/>
          </w:tcPr>
          <w:p w14:paraId="11060C20" w14:textId="77777777" w:rsidR="00DA070D" w:rsidRPr="00DA070D" w:rsidRDefault="00DA070D" w:rsidP="00DA070D">
            <w:pPr>
              <w:spacing w:after="0"/>
              <w:jc w:val="right"/>
              <w:rPr>
                <w:rFonts w:ascii="Arial" w:hAnsi="Arial" w:cs="Arial"/>
                <w:b/>
                <w:bCs/>
                <w:color w:val="auto"/>
                <w:sz w:val="16"/>
                <w:szCs w:val="16"/>
              </w:rPr>
            </w:pPr>
            <w:r w:rsidRPr="00DA070D">
              <w:rPr>
                <w:rFonts w:ascii="Arial" w:hAnsi="Arial" w:cs="Arial"/>
                <w:b/>
                <w:bCs/>
                <w:color w:val="auto"/>
                <w:sz w:val="16"/>
                <w:szCs w:val="16"/>
              </w:rPr>
              <w:t>37,475</w:t>
            </w:r>
          </w:p>
        </w:tc>
      </w:tr>
      <w:tr w:rsidR="00DA070D" w:rsidRPr="00DA070D" w14:paraId="42E07BE0" w14:textId="77777777" w:rsidTr="00DA070D">
        <w:trPr>
          <w:trHeight w:val="225"/>
          <w:jc w:val="center"/>
        </w:trPr>
        <w:tc>
          <w:tcPr>
            <w:tcW w:w="4660" w:type="dxa"/>
            <w:tcBorders>
              <w:top w:val="nil"/>
              <w:left w:val="nil"/>
              <w:bottom w:val="nil"/>
              <w:right w:val="nil"/>
            </w:tcBorders>
            <w:shd w:val="clear" w:color="auto" w:fill="auto"/>
            <w:noWrap/>
            <w:vAlign w:val="bottom"/>
            <w:hideMark/>
          </w:tcPr>
          <w:p w14:paraId="5079F648" w14:textId="77777777" w:rsidR="00DA070D" w:rsidRPr="00DA070D" w:rsidRDefault="00DA070D" w:rsidP="00DA070D">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1EA11F4" w14:textId="77777777" w:rsidR="00DA070D" w:rsidRPr="00DA070D" w:rsidRDefault="00DA070D" w:rsidP="00DA070D">
            <w:pPr>
              <w:spacing w:after="0"/>
              <w:rPr>
                <w:rFonts w:ascii="Times New Roman" w:hAnsi="Times New Roman"/>
                <w:color w:val="auto"/>
              </w:rPr>
            </w:pPr>
          </w:p>
        </w:tc>
        <w:tc>
          <w:tcPr>
            <w:tcW w:w="1360" w:type="dxa"/>
            <w:tcBorders>
              <w:top w:val="nil"/>
              <w:left w:val="nil"/>
              <w:bottom w:val="nil"/>
              <w:right w:val="nil"/>
            </w:tcBorders>
            <w:shd w:val="clear" w:color="auto" w:fill="auto"/>
            <w:noWrap/>
            <w:hideMark/>
          </w:tcPr>
          <w:p w14:paraId="3BBFA9C3" w14:textId="77777777" w:rsidR="00DA070D" w:rsidRPr="00DA070D" w:rsidRDefault="00DA070D" w:rsidP="00DA070D">
            <w:pPr>
              <w:spacing w:after="0"/>
              <w:rPr>
                <w:rFonts w:ascii="Times New Roman" w:hAnsi="Times New Roman"/>
                <w:color w:val="auto"/>
              </w:rPr>
            </w:pPr>
          </w:p>
        </w:tc>
      </w:tr>
      <w:tr w:rsidR="00DA070D" w:rsidRPr="00DA070D" w14:paraId="19AC226B" w14:textId="77777777" w:rsidTr="00DA070D">
        <w:trPr>
          <w:trHeight w:val="225"/>
          <w:jc w:val="center"/>
        </w:trPr>
        <w:tc>
          <w:tcPr>
            <w:tcW w:w="4660" w:type="dxa"/>
            <w:tcBorders>
              <w:top w:val="nil"/>
              <w:left w:val="nil"/>
              <w:bottom w:val="nil"/>
              <w:right w:val="nil"/>
            </w:tcBorders>
            <w:shd w:val="clear" w:color="auto" w:fill="auto"/>
            <w:noWrap/>
            <w:vAlign w:val="center"/>
            <w:hideMark/>
          </w:tcPr>
          <w:p w14:paraId="38FD18A4" w14:textId="77777777" w:rsidR="00DA070D" w:rsidRPr="00DA070D" w:rsidRDefault="00DA070D" w:rsidP="00DA070D">
            <w:pPr>
              <w:spacing w:after="0"/>
              <w:jc w:val="right"/>
              <w:rPr>
                <w:rFonts w:ascii="Times New Roman" w:hAnsi="Times New Roman"/>
                <w:color w:val="auto"/>
              </w:rPr>
            </w:pPr>
          </w:p>
        </w:tc>
        <w:tc>
          <w:tcPr>
            <w:tcW w:w="1360" w:type="dxa"/>
            <w:tcBorders>
              <w:top w:val="single" w:sz="4" w:space="0" w:color="000000"/>
              <w:left w:val="nil"/>
              <w:bottom w:val="single" w:sz="4" w:space="0" w:color="000000"/>
              <w:right w:val="nil"/>
            </w:tcBorders>
            <w:shd w:val="clear" w:color="auto" w:fill="auto"/>
            <w:noWrap/>
            <w:vAlign w:val="bottom"/>
            <w:hideMark/>
          </w:tcPr>
          <w:p w14:paraId="60A7245E" w14:textId="35E9F48F" w:rsidR="00DA070D" w:rsidRPr="00DA070D" w:rsidRDefault="004C6E42" w:rsidP="003F4CB2">
            <w:pPr>
              <w:spacing w:before="40" w:after="0"/>
              <w:jc w:val="right"/>
              <w:rPr>
                <w:rFonts w:ascii="Arial" w:hAnsi="Arial" w:cs="Arial"/>
                <w:b/>
                <w:bCs/>
                <w:color w:val="auto"/>
                <w:sz w:val="16"/>
                <w:szCs w:val="16"/>
              </w:rPr>
            </w:pPr>
            <w:r>
              <w:rPr>
                <w:rFonts w:ascii="Arial" w:hAnsi="Arial" w:cs="Arial"/>
                <w:b/>
                <w:bCs/>
                <w:color w:val="auto"/>
                <w:sz w:val="16"/>
                <w:szCs w:val="16"/>
              </w:rPr>
              <w:t>2021–</w:t>
            </w:r>
            <w:r w:rsidR="00DA070D" w:rsidRPr="00DA070D">
              <w:rPr>
                <w:rFonts w:ascii="Arial" w:hAnsi="Arial" w:cs="Arial"/>
                <w:b/>
                <w:bCs/>
                <w:color w:val="auto"/>
                <w:sz w:val="16"/>
                <w:szCs w:val="16"/>
              </w:rPr>
              <w:t>22</w:t>
            </w:r>
          </w:p>
        </w:tc>
        <w:tc>
          <w:tcPr>
            <w:tcW w:w="1360" w:type="dxa"/>
            <w:tcBorders>
              <w:top w:val="single" w:sz="4" w:space="0" w:color="000000"/>
              <w:left w:val="nil"/>
              <w:bottom w:val="single" w:sz="4" w:space="0" w:color="000000"/>
              <w:right w:val="nil"/>
            </w:tcBorders>
            <w:shd w:val="clear" w:color="000000" w:fill="D9D9D9"/>
            <w:noWrap/>
            <w:vAlign w:val="bottom"/>
            <w:hideMark/>
          </w:tcPr>
          <w:p w14:paraId="072B0D5B" w14:textId="59F7F20F" w:rsidR="00DA070D" w:rsidRPr="00DA070D" w:rsidRDefault="004C6E42" w:rsidP="003F4CB2">
            <w:pPr>
              <w:spacing w:before="40" w:after="0"/>
              <w:jc w:val="right"/>
              <w:rPr>
                <w:rFonts w:ascii="Arial" w:hAnsi="Arial" w:cs="Arial"/>
                <w:b/>
                <w:bCs/>
                <w:color w:val="auto"/>
                <w:sz w:val="16"/>
                <w:szCs w:val="16"/>
              </w:rPr>
            </w:pPr>
            <w:r>
              <w:rPr>
                <w:rFonts w:ascii="Arial" w:hAnsi="Arial" w:cs="Arial"/>
                <w:b/>
                <w:bCs/>
                <w:color w:val="auto"/>
                <w:sz w:val="16"/>
                <w:szCs w:val="16"/>
              </w:rPr>
              <w:t>2022–</w:t>
            </w:r>
            <w:r w:rsidR="00DA070D" w:rsidRPr="00DA070D">
              <w:rPr>
                <w:rFonts w:ascii="Arial" w:hAnsi="Arial" w:cs="Arial"/>
                <w:b/>
                <w:bCs/>
                <w:color w:val="auto"/>
                <w:sz w:val="16"/>
                <w:szCs w:val="16"/>
              </w:rPr>
              <w:t>23</w:t>
            </w:r>
          </w:p>
        </w:tc>
      </w:tr>
      <w:tr w:rsidR="00DA070D" w:rsidRPr="00DA070D" w14:paraId="6403FD67" w14:textId="77777777" w:rsidTr="00DA070D">
        <w:trPr>
          <w:trHeight w:val="225"/>
          <w:jc w:val="center"/>
        </w:trPr>
        <w:tc>
          <w:tcPr>
            <w:tcW w:w="4660" w:type="dxa"/>
            <w:tcBorders>
              <w:top w:val="nil"/>
              <w:left w:val="nil"/>
              <w:bottom w:val="single" w:sz="4" w:space="0" w:color="auto"/>
              <w:right w:val="nil"/>
            </w:tcBorders>
            <w:shd w:val="clear" w:color="auto" w:fill="auto"/>
            <w:noWrap/>
            <w:vAlign w:val="bottom"/>
            <w:hideMark/>
          </w:tcPr>
          <w:p w14:paraId="7BB12BD9" w14:textId="77777777" w:rsidR="00DA070D" w:rsidRPr="00DA070D" w:rsidRDefault="00DA070D" w:rsidP="00DA070D">
            <w:pPr>
              <w:spacing w:after="0"/>
              <w:rPr>
                <w:rFonts w:ascii="Arial" w:hAnsi="Arial" w:cs="Arial"/>
                <w:b/>
                <w:bCs/>
                <w:sz w:val="16"/>
                <w:szCs w:val="16"/>
              </w:rPr>
            </w:pPr>
            <w:r w:rsidRPr="00DA070D">
              <w:rPr>
                <w:rFonts w:ascii="Arial" w:hAnsi="Arial" w:cs="Arial"/>
                <w:b/>
                <w:bCs/>
                <w:sz w:val="16"/>
                <w:szCs w:val="16"/>
              </w:rPr>
              <w:t xml:space="preserve">Average </w:t>
            </w:r>
            <w:r w:rsidRPr="00DA070D">
              <w:rPr>
                <w:rFonts w:ascii="Arial" w:hAnsi="Arial" w:cs="Arial"/>
                <w:b/>
                <w:bCs/>
                <w:color w:val="auto"/>
                <w:sz w:val="16"/>
                <w:szCs w:val="16"/>
              </w:rPr>
              <w:t>s</w:t>
            </w:r>
            <w:r w:rsidRPr="00DA070D">
              <w:rPr>
                <w:rFonts w:ascii="Arial" w:hAnsi="Arial" w:cs="Arial"/>
                <w:b/>
                <w:bCs/>
                <w:sz w:val="16"/>
                <w:szCs w:val="16"/>
              </w:rPr>
              <w:t xml:space="preserve">taffing </w:t>
            </w:r>
            <w:r w:rsidRPr="00DA070D">
              <w:rPr>
                <w:rFonts w:ascii="Arial" w:hAnsi="Arial" w:cs="Arial"/>
                <w:b/>
                <w:bCs/>
                <w:color w:val="auto"/>
                <w:sz w:val="16"/>
                <w:szCs w:val="16"/>
              </w:rPr>
              <w:t>l</w:t>
            </w:r>
            <w:r w:rsidRPr="00DA070D">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56EC20E3"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1</w:t>
            </w:r>
          </w:p>
        </w:tc>
        <w:tc>
          <w:tcPr>
            <w:tcW w:w="1360" w:type="dxa"/>
            <w:tcBorders>
              <w:top w:val="nil"/>
              <w:left w:val="nil"/>
              <w:bottom w:val="single" w:sz="4" w:space="0" w:color="000000"/>
              <w:right w:val="nil"/>
            </w:tcBorders>
            <w:shd w:val="clear" w:color="000000" w:fill="D9D9D9"/>
            <w:noWrap/>
            <w:vAlign w:val="bottom"/>
            <w:hideMark/>
          </w:tcPr>
          <w:p w14:paraId="3BB68473" w14:textId="77777777" w:rsidR="00DA070D" w:rsidRPr="00DA070D" w:rsidRDefault="00DA070D" w:rsidP="00DA070D">
            <w:pPr>
              <w:spacing w:after="0"/>
              <w:jc w:val="right"/>
              <w:rPr>
                <w:rFonts w:ascii="Arial" w:hAnsi="Arial" w:cs="Arial"/>
                <w:color w:val="auto"/>
                <w:sz w:val="16"/>
                <w:szCs w:val="16"/>
              </w:rPr>
            </w:pPr>
            <w:r w:rsidRPr="00DA070D">
              <w:rPr>
                <w:rFonts w:ascii="Arial" w:hAnsi="Arial" w:cs="Arial"/>
                <w:color w:val="auto"/>
                <w:sz w:val="16"/>
                <w:szCs w:val="16"/>
              </w:rPr>
              <w:t>1</w:t>
            </w:r>
          </w:p>
        </w:tc>
      </w:tr>
    </w:tbl>
    <w:p w14:paraId="46C6F84F" w14:textId="2286B9C9" w:rsidR="003F4CB2" w:rsidRPr="003F4CB2" w:rsidRDefault="003F4CB2" w:rsidP="003F4CB2">
      <w:pPr>
        <w:pStyle w:val="FootnoteText"/>
        <w:spacing w:before="120" w:after="40"/>
      </w:pPr>
      <w:r>
        <w:t>All figures are GST exclusive.</w:t>
      </w:r>
    </w:p>
    <w:p w14:paraId="5A30CAC9" w14:textId="26C8A3BE" w:rsidR="003F4CB2" w:rsidRPr="003F4CB2" w:rsidRDefault="003F4CB2" w:rsidP="003F4CB2">
      <w:pPr>
        <w:pStyle w:val="FootnoteText"/>
      </w:pPr>
      <w:r w:rsidRPr="003F4CB2">
        <w:rPr>
          <w:vertAlign w:val="superscript"/>
        </w:rPr>
        <w:t>(a)</w:t>
      </w:r>
      <w:r>
        <w:tab/>
      </w:r>
      <w:r w:rsidRPr="003425A8">
        <w:rPr>
          <w:i/>
        </w:rPr>
        <w:t>Appropriation Act (No. 1) 2022</w:t>
      </w:r>
      <w:r w:rsidR="004C6E42">
        <w:rPr>
          <w:i/>
        </w:rPr>
        <w:t>–</w:t>
      </w:r>
      <w:r w:rsidRPr="003425A8">
        <w:rPr>
          <w:i/>
        </w:rPr>
        <w:t>23.</w:t>
      </w:r>
    </w:p>
    <w:p w14:paraId="1CE063ED" w14:textId="2643C1D6" w:rsidR="003F4CB2" w:rsidRPr="003F4CB2" w:rsidRDefault="003F4CB2" w:rsidP="003F4CB2">
      <w:pPr>
        <w:pStyle w:val="FootnoteText"/>
      </w:pPr>
      <w:r w:rsidRPr="003F4CB2">
        <w:rPr>
          <w:vertAlign w:val="superscript"/>
        </w:rPr>
        <w:t>(b)</w:t>
      </w:r>
      <w:r>
        <w:tab/>
      </w:r>
      <w:r w:rsidRPr="003425A8">
        <w:rPr>
          <w:i/>
        </w:rPr>
        <w:t>Appropriation Act (No. 2) 2022</w:t>
      </w:r>
      <w:r w:rsidR="004C6E42">
        <w:rPr>
          <w:i/>
        </w:rPr>
        <w:t>–</w:t>
      </w:r>
      <w:r w:rsidRPr="003425A8">
        <w:rPr>
          <w:i/>
        </w:rPr>
        <w:t>23.</w:t>
      </w:r>
    </w:p>
    <w:p w14:paraId="3AD5EB0F" w14:textId="238840CA" w:rsidR="00DA070D" w:rsidRDefault="003F4CB2" w:rsidP="003F4CB2">
      <w:pPr>
        <w:pStyle w:val="FootnoteText"/>
      </w:pPr>
      <w:r w:rsidRPr="003F4CB2">
        <w:rPr>
          <w:vertAlign w:val="superscript"/>
        </w:rPr>
        <w:t>(c)</w:t>
      </w:r>
      <w:r>
        <w:tab/>
      </w:r>
      <w:r w:rsidRPr="003F4CB2">
        <w:t xml:space="preserve">Funding provided by a </w:t>
      </w:r>
      <w:r w:rsidR="003425A8">
        <w:t>g</w:t>
      </w:r>
      <w:r w:rsidRPr="003F4CB2">
        <w:t>overnment entity that is not specified within the annual appropriation bills as a pa</w:t>
      </w:r>
      <w:r>
        <w:t>yment to the corporate entity.</w:t>
      </w:r>
    </w:p>
    <w:p w14:paraId="6A8E0292" w14:textId="701F4F5D" w:rsidR="0024539A" w:rsidRPr="00191F54" w:rsidRDefault="0024539A" w:rsidP="00BC0659">
      <w:pPr>
        <w:pStyle w:val="Heading3"/>
        <w:rPr>
          <w:color w:val="000000" w:themeColor="text1"/>
        </w:rPr>
      </w:pPr>
      <w:bookmarkStart w:id="4" w:name="_Toc71465088"/>
      <w:r w:rsidRPr="00191F54">
        <w:rPr>
          <w:color w:val="000000" w:themeColor="text1"/>
        </w:rPr>
        <w:t>1.3</w:t>
      </w:r>
      <w:r w:rsidRPr="00191F54">
        <w:rPr>
          <w:color w:val="000000" w:themeColor="text1"/>
        </w:rPr>
        <w:tab/>
        <w:t>Budget Measures</w:t>
      </w:r>
      <w:bookmarkEnd w:id="4"/>
    </w:p>
    <w:p w14:paraId="6942C1BA" w14:textId="1041CA1D" w:rsidR="0011498B" w:rsidRPr="00637C58" w:rsidRDefault="00637C58" w:rsidP="0011498B">
      <w:pPr>
        <w:rPr>
          <w:rFonts w:cs="Arial"/>
          <w:color w:val="000000" w:themeColor="text1"/>
        </w:rPr>
      </w:pPr>
      <w:r>
        <w:rPr>
          <w:rFonts w:cs="Arial"/>
          <w:color w:val="000000" w:themeColor="text1"/>
        </w:rPr>
        <w:t>This section is not applicable to IHPA.</w:t>
      </w:r>
    </w:p>
    <w:p w14:paraId="65CB1297" w14:textId="408EB8E9" w:rsidR="001A679A" w:rsidRPr="00191F54" w:rsidRDefault="001A679A" w:rsidP="001A679A">
      <w:pPr>
        <w:pStyle w:val="Tablenumberandreference"/>
        <w:rPr>
          <w:color w:val="000000" w:themeColor="text1"/>
        </w:rPr>
        <w:sectPr w:rsidR="001A679A" w:rsidRPr="00191F54"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44BE05F6" w14:textId="77777777" w:rsidR="0024539A" w:rsidRPr="00191F54" w:rsidRDefault="0024539A" w:rsidP="00BC0659">
      <w:pPr>
        <w:pStyle w:val="Heading2"/>
        <w:rPr>
          <w:color w:val="000000" w:themeColor="text1"/>
        </w:rPr>
      </w:pPr>
      <w:bookmarkStart w:id="5" w:name="_Toc71465089"/>
      <w:r w:rsidRPr="00191F54">
        <w:rPr>
          <w:color w:val="000000" w:themeColor="text1"/>
        </w:rPr>
        <w:lastRenderedPageBreak/>
        <w:t>Section 2: Outcomes and Planned Performance</w:t>
      </w:r>
      <w:bookmarkEnd w:id="5"/>
    </w:p>
    <w:p w14:paraId="48F77BB1" w14:textId="43536972" w:rsidR="0024539A" w:rsidRPr="00191F54" w:rsidRDefault="0024539A" w:rsidP="0024539A">
      <w:pPr>
        <w:rPr>
          <w:color w:val="000000" w:themeColor="text1"/>
        </w:rPr>
      </w:pPr>
      <w:r w:rsidRPr="00191F54">
        <w:rPr>
          <w:color w:val="000000" w:themeColor="text1"/>
        </w:rPr>
        <w:t>Government outcomes are the intended results, impacts or consequences of actions by the Government on the Australian community. Commonwealth programs ar</w:t>
      </w:r>
      <w:r w:rsidR="00270C3F">
        <w:rPr>
          <w:color w:val="000000" w:themeColor="text1"/>
        </w:rPr>
        <w:t>e the primary vehicle by which g</w:t>
      </w:r>
      <w:r w:rsidRPr="00191F54">
        <w:rPr>
          <w:color w:val="000000" w:themeColor="text1"/>
        </w:rPr>
        <w:t>overnment entities achieve the intended results of their outcome statements. Entities are required to identify t</w:t>
      </w:r>
      <w:r w:rsidR="00270C3F">
        <w:rPr>
          <w:color w:val="000000" w:themeColor="text1"/>
        </w:rPr>
        <w:t>he programs that contribute to g</w:t>
      </w:r>
      <w:r w:rsidRPr="00191F54">
        <w:rPr>
          <w:color w:val="000000" w:themeColor="text1"/>
        </w:rPr>
        <w:t>overnment outcomes over the Budget and forward years.</w:t>
      </w:r>
    </w:p>
    <w:p w14:paraId="59512086" w14:textId="77777777" w:rsidR="0024539A" w:rsidRPr="00191F54" w:rsidRDefault="0024539A" w:rsidP="0024539A">
      <w:pPr>
        <w:rPr>
          <w:color w:val="000000" w:themeColor="text1"/>
        </w:rPr>
      </w:pPr>
      <w:r w:rsidRPr="00191F54">
        <w:rPr>
          <w:color w:val="000000" w:themeColor="text1"/>
        </w:rPr>
        <w:t>Each outcome is described within this section, together with its related programs. The following provides detailed information on expenses for each outcome and program, further broken down by funding source.</w:t>
      </w:r>
    </w:p>
    <w:p w14:paraId="18598BC0" w14:textId="77777777" w:rsidR="000212D3" w:rsidRPr="00191F54" w:rsidRDefault="000212D3" w:rsidP="0058093F">
      <w:pPr>
        <w:pBdr>
          <w:top w:val="single" w:sz="4" w:space="2" w:color="auto"/>
          <w:left w:val="single" w:sz="4" w:space="4" w:color="auto"/>
          <w:bottom w:val="single" w:sz="4" w:space="2" w:color="auto"/>
          <w:right w:val="single" w:sz="4" w:space="4" w:color="auto"/>
        </w:pBdr>
        <w:rPr>
          <w:rFonts w:ascii="Arial" w:hAnsi="Arial" w:cs="Arial"/>
          <w:b/>
          <w:color w:val="000000" w:themeColor="text1"/>
        </w:rPr>
      </w:pPr>
      <w:r w:rsidRPr="00191F54">
        <w:rPr>
          <w:rFonts w:ascii="Arial" w:hAnsi="Arial" w:cs="Arial"/>
          <w:b/>
          <w:color w:val="000000" w:themeColor="text1"/>
        </w:rPr>
        <w:t>Note:</w:t>
      </w:r>
    </w:p>
    <w:p w14:paraId="3E52FAC6" w14:textId="44A01B3E" w:rsidR="000212D3" w:rsidRPr="00191F54" w:rsidRDefault="000212D3" w:rsidP="0058093F">
      <w:pPr>
        <w:pBdr>
          <w:top w:val="single" w:sz="4" w:space="2" w:color="auto"/>
          <w:left w:val="single" w:sz="4" w:space="4" w:color="auto"/>
          <w:bottom w:val="single" w:sz="4" w:space="2" w:color="auto"/>
          <w:right w:val="single" w:sz="4" w:space="4" w:color="auto"/>
        </w:pBdr>
        <w:rPr>
          <w:color w:val="000000" w:themeColor="text1"/>
        </w:rPr>
      </w:pPr>
      <w:r w:rsidRPr="00191F54">
        <w:rPr>
          <w:color w:val="000000" w:themeColor="text1"/>
        </w:rPr>
        <w:t xml:space="preserve">Performance reporting requirements in the Portfolio Budget Statements are part of the Commonwealth Performance Framework established by the </w:t>
      </w:r>
      <w:r w:rsidRPr="00191F54">
        <w:rPr>
          <w:i/>
          <w:color w:val="000000" w:themeColor="text1"/>
        </w:rPr>
        <w:t>Public Governance, Performance and Accountability Act 2013</w:t>
      </w:r>
      <w:r w:rsidRPr="00191F54">
        <w:rPr>
          <w:color w:val="000000" w:themeColor="text1"/>
        </w:rPr>
        <w:t>. It is anticipated that the performance measures described in Portfolio Budget Statements will be read with broader information provide</w:t>
      </w:r>
      <w:r w:rsidR="00074014">
        <w:rPr>
          <w:color w:val="000000" w:themeColor="text1"/>
        </w:rPr>
        <w:t>d in an entity’s Corporate Plan</w:t>
      </w:r>
      <w:r w:rsidRPr="00191F54">
        <w:rPr>
          <w:color w:val="000000" w:themeColor="text1"/>
        </w:rPr>
        <w:t xml:space="preserve"> a</w:t>
      </w:r>
      <w:r w:rsidR="00074014">
        <w:rPr>
          <w:color w:val="000000" w:themeColor="text1"/>
        </w:rPr>
        <w:t>nd Annual Performance Statement</w:t>
      </w:r>
      <w:r w:rsidRPr="00191F54">
        <w:rPr>
          <w:color w:val="000000" w:themeColor="text1"/>
        </w:rPr>
        <w:t xml:space="preserve"> – included in Annual Reports – to provide an entity’s complete performance story.</w:t>
      </w:r>
    </w:p>
    <w:p w14:paraId="106B5659" w14:textId="6D82FF80" w:rsidR="000212D3" w:rsidRPr="00191F54" w:rsidRDefault="00C425D8" w:rsidP="0058093F">
      <w:pPr>
        <w:pBdr>
          <w:top w:val="single" w:sz="4" w:space="2" w:color="auto"/>
          <w:left w:val="single" w:sz="4" w:space="4" w:color="auto"/>
          <w:bottom w:val="single" w:sz="4" w:space="2" w:color="auto"/>
          <w:right w:val="single" w:sz="4" w:space="4" w:color="auto"/>
        </w:pBdr>
        <w:rPr>
          <w:color w:val="000000" w:themeColor="text1"/>
        </w:rPr>
      </w:pPr>
      <w:r w:rsidRPr="00191F54">
        <w:rPr>
          <w:color w:val="000000" w:themeColor="text1"/>
        </w:rPr>
        <w:t xml:space="preserve">IHPA’s </w:t>
      </w:r>
      <w:r w:rsidR="000212D3" w:rsidRPr="00191F54">
        <w:rPr>
          <w:color w:val="000000" w:themeColor="text1"/>
        </w:rPr>
        <w:t>most recent Corporate Plan and Annua</w:t>
      </w:r>
      <w:r w:rsidRPr="00191F54">
        <w:rPr>
          <w:color w:val="000000" w:themeColor="text1"/>
        </w:rPr>
        <w:t>l Performance Statement</w:t>
      </w:r>
      <w:r w:rsidR="000212D3" w:rsidRPr="00191F54">
        <w:rPr>
          <w:color w:val="000000" w:themeColor="text1"/>
        </w:rPr>
        <w:t xml:space="preserve"> </w:t>
      </w:r>
      <w:r w:rsidR="003D271B" w:rsidRPr="00191F54">
        <w:rPr>
          <w:color w:val="000000" w:themeColor="text1"/>
        </w:rPr>
        <w:t>are available</w:t>
      </w:r>
      <w:r w:rsidR="000212D3" w:rsidRPr="00191F54">
        <w:rPr>
          <w:color w:val="000000" w:themeColor="text1"/>
        </w:rPr>
        <w:t xml:space="preserve"> at: www.ihpa.gov.au/who-we-are/corporate-information</w:t>
      </w:r>
      <w:r w:rsidR="00FC4C21" w:rsidRPr="00FC4C21">
        <w:t xml:space="preserve"> </w:t>
      </w:r>
    </w:p>
    <w:p w14:paraId="00DC54B3" w14:textId="77777777" w:rsidR="00BC0659" w:rsidRPr="00191F54" w:rsidRDefault="00BC0659" w:rsidP="00BC0659">
      <w:pPr>
        <w:pStyle w:val="Heading3"/>
        <w:rPr>
          <w:color w:val="000000" w:themeColor="text1"/>
        </w:rPr>
      </w:pPr>
      <w:bookmarkStart w:id="6" w:name="_Toc71465090"/>
      <w:r w:rsidRPr="00191F54">
        <w:rPr>
          <w:color w:val="000000" w:themeColor="text1"/>
        </w:rPr>
        <w:t>2.1</w:t>
      </w:r>
      <w:r w:rsidRPr="00191F54">
        <w:rPr>
          <w:color w:val="000000" w:themeColor="text1"/>
        </w:rPr>
        <w:tab/>
        <w:t>Budgeted Expenses and Performance</w:t>
      </w:r>
      <w:bookmarkEnd w:id="6"/>
    </w:p>
    <w:p w14:paraId="1FAA0BA1" w14:textId="77777777" w:rsidR="00BC0659" w:rsidRPr="00191F54" w:rsidRDefault="00BC0659" w:rsidP="00BC0659">
      <w:pPr>
        <w:pStyle w:val="OutcomeStatement"/>
        <w:spacing w:before="120" w:after="120"/>
        <w:rPr>
          <w:b/>
          <w:color w:val="000000" w:themeColor="text1"/>
          <w:sz w:val="22"/>
        </w:rPr>
      </w:pPr>
      <w:r w:rsidRPr="00191F54">
        <w:rPr>
          <w:b/>
          <w:color w:val="000000" w:themeColor="text1"/>
          <w:sz w:val="22"/>
        </w:rPr>
        <w:t>Outcome 1</w:t>
      </w:r>
    </w:p>
    <w:p w14:paraId="598CE698" w14:textId="1AEA4154" w:rsidR="00985D08" w:rsidRPr="00191F54" w:rsidRDefault="00985D08" w:rsidP="00FB1866">
      <w:pPr>
        <w:pStyle w:val="OutcomeStatement"/>
        <w:rPr>
          <w:color w:val="000000" w:themeColor="text1"/>
          <w:szCs w:val="18"/>
        </w:rPr>
      </w:pPr>
      <w:r w:rsidRPr="00191F54">
        <w:rPr>
          <w:color w:val="000000" w:themeColor="text1"/>
          <w:szCs w:val="18"/>
        </w:rPr>
        <w:t>Promote improved efficiency in, and access to, public hospital services primarily through setting efficient national prices and levels of block funding for hospital activities</w:t>
      </w:r>
      <w:r w:rsidR="00FC4C21" w:rsidRPr="00FC4C21">
        <w:t xml:space="preserve"> </w:t>
      </w:r>
    </w:p>
    <w:p w14:paraId="0D774906" w14:textId="77777777" w:rsidR="00BC0659" w:rsidRPr="00191F54" w:rsidRDefault="00BC0659" w:rsidP="00BC0659">
      <w:pPr>
        <w:pStyle w:val="Heading4"/>
        <w:rPr>
          <w:color w:val="000000" w:themeColor="text1"/>
        </w:rPr>
      </w:pPr>
      <w:r w:rsidRPr="00191F54">
        <w:rPr>
          <w:color w:val="000000" w:themeColor="text1"/>
        </w:rPr>
        <w:t>Program Contributing to Outcome 1</w:t>
      </w:r>
    </w:p>
    <w:p w14:paraId="34392746" w14:textId="5EEE1B8D" w:rsidR="00B87B5E" w:rsidRPr="00191F54" w:rsidRDefault="00BC0659" w:rsidP="00E55B66">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b/>
          <w:color w:val="000000" w:themeColor="text1"/>
          <w:sz w:val="18"/>
          <w:szCs w:val="18"/>
        </w:rPr>
      </w:pPr>
      <w:r w:rsidRPr="00191F54">
        <w:rPr>
          <w:rFonts w:ascii="Arial" w:hAnsi="Arial" w:cs="Arial"/>
          <w:b/>
          <w:color w:val="000000" w:themeColor="text1"/>
          <w:sz w:val="18"/>
          <w:szCs w:val="18"/>
        </w:rPr>
        <w:t>Program 1.1:</w:t>
      </w:r>
      <w:r w:rsidRPr="00191F54">
        <w:rPr>
          <w:rFonts w:ascii="Arial" w:hAnsi="Arial" w:cs="Arial"/>
          <w:b/>
          <w:color w:val="000000" w:themeColor="text1"/>
          <w:sz w:val="18"/>
          <w:szCs w:val="18"/>
        </w:rPr>
        <w:tab/>
      </w:r>
      <w:r w:rsidR="00985D08" w:rsidRPr="00191F54">
        <w:rPr>
          <w:rFonts w:ascii="Arial" w:hAnsi="Arial"/>
          <w:b/>
          <w:color w:val="000000" w:themeColor="text1"/>
          <w:sz w:val="18"/>
          <w:szCs w:val="18"/>
        </w:rPr>
        <w:t xml:space="preserve">Public Hospital Price Determinations </w:t>
      </w:r>
    </w:p>
    <w:p w14:paraId="0FA475D5" w14:textId="77777777" w:rsidR="001E7AC0" w:rsidRPr="00191F54" w:rsidRDefault="001E7AC0">
      <w:pPr>
        <w:spacing w:after="160" w:line="259" w:lineRule="auto"/>
        <w:rPr>
          <w:rFonts w:ascii="Arial" w:hAnsi="Arial"/>
          <w:b/>
          <w:color w:val="000000" w:themeColor="text1"/>
          <w:sz w:val="22"/>
        </w:rPr>
      </w:pPr>
      <w:r w:rsidRPr="00191F54">
        <w:rPr>
          <w:color w:val="000000" w:themeColor="text1"/>
        </w:rPr>
        <w:br w:type="page"/>
      </w:r>
    </w:p>
    <w:p w14:paraId="51B123B6" w14:textId="4BD8DD40" w:rsidR="003A2717" w:rsidRPr="00000DFF" w:rsidRDefault="00BC0659" w:rsidP="00000DFF">
      <w:pPr>
        <w:pStyle w:val="Heading4"/>
        <w:rPr>
          <w:color w:val="000000" w:themeColor="text1"/>
        </w:rPr>
      </w:pPr>
      <w:r w:rsidRPr="00191F54">
        <w:rPr>
          <w:color w:val="000000" w:themeColor="text1"/>
        </w:rPr>
        <w:lastRenderedPageBreak/>
        <w:t>Linked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191F54" w:rsidRPr="00191F54" w14:paraId="218CAD4A" w14:textId="77777777" w:rsidTr="00C32C5A">
        <w:trPr>
          <w:tblHeader/>
          <w:jc w:val="center"/>
        </w:trPr>
        <w:tc>
          <w:tcPr>
            <w:tcW w:w="5000" w:type="pct"/>
            <w:shd w:val="clear" w:color="auto" w:fill="D9D9D9" w:themeFill="background1" w:themeFillShade="D9"/>
          </w:tcPr>
          <w:p w14:paraId="1AFE1C34" w14:textId="77777777" w:rsidR="00BC0659" w:rsidRPr="00191F54" w:rsidRDefault="00BC0659" w:rsidP="00C32C5A">
            <w:pPr>
              <w:pStyle w:val="Tableheadingrow9pt"/>
              <w:rPr>
                <w:color w:val="000000" w:themeColor="text1"/>
              </w:rPr>
            </w:pPr>
            <w:r w:rsidRPr="00191F54">
              <w:rPr>
                <w:color w:val="000000" w:themeColor="text1"/>
              </w:rPr>
              <w:t>Other Commonwealth entities that contribute to Outcome 1</w:t>
            </w:r>
          </w:p>
        </w:tc>
      </w:tr>
      <w:tr w:rsidR="00191F54" w:rsidRPr="00191F54" w14:paraId="69F806D4" w14:textId="77777777" w:rsidTr="00C32C5A">
        <w:trPr>
          <w:jc w:val="center"/>
        </w:trPr>
        <w:tc>
          <w:tcPr>
            <w:tcW w:w="5000" w:type="pct"/>
          </w:tcPr>
          <w:p w14:paraId="2CE0C4C7" w14:textId="77777777" w:rsidR="00985D08" w:rsidRPr="00191F54" w:rsidRDefault="00985D08" w:rsidP="00985D08">
            <w:pPr>
              <w:pStyle w:val="TableHeadingRow9pt0"/>
              <w:rPr>
                <w:color w:val="000000" w:themeColor="text1"/>
              </w:rPr>
            </w:pPr>
            <w:r w:rsidRPr="00191F54">
              <w:rPr>
                <w:color w:val="000000" w:themeColor="text1"/>
              </w:rPr>
              <w:t>Australian Commission on Safety and Quality in Health Care (ACSQHC)</w:t>
            </w:r>
            <w:r w:rsidRPr="00191F54">
              <w:rPr>
                <w:rStyle w:val="FootnoteReference"/>
                <w:color w:val="000000" w:themeColor="text1"/>
                <w:sz w:val="18"/>
              </w:rPr>
              <w:footnoteReference w:id="2"/>
            </w:r>
          </w:p>
          <w:p w14:paraId="45E9D86A" w14:textId="77777777" w:rsidR="00985D08" w:rsidRPr="00191F54" w:rsidRDefault="00985D08" w:rsidP="00985D08">
            <w:pPr>
              <w:pStyle w:val="TableHeadingRow9pt0"/>
              <w:rPr>
                <w:color w:val="000000" w:themeColor="text1"/>
              </w:rPr>
            </w:pPr>
            <w:r w:rsidRPr="00191F54">
              <w:rPr>
                <w:color w:val="000000" w:themeColor="text1"/>
              </w:rPr>
              <w:t>Program 1.1: Safety and Quality in Health Care</w:t>
            </w:r>
          </w:p>
          <w:p w14:paraId="37203758" w14:textId="5189607B" w:rsidR="00BC0659" w:rsidRPr="00191F54" w:rsidRDefault="00985D08" w:rsidP="00985D08">
            <w:pPr>
              <w:pStyle w:val="Tabletextnormal9pt"/>
              <w:rPr>
                <w:color w:val="000000" w:themeColor="text1"/>
              </w:rPr>
            </w:pPr>
            <w:r w:rsidRPr="00191F54">
              <w:rPr>
                <w:color w:val="000000" w:themeColor="text1"/>
              </w:rPr>
              <w:t xml:space="preserve">ACSQHC works with IHPA through a joint working party to consider options for their respective governing bodies on approaches to ensuring safety </w:t>
            </w:r>
            <w:r w:rsidR="00A47233" w:rsidRPr="00191F54">
              <w:rPr>
                <w:color w:val="000000" w:themeColor="text1"/>
              </w:rPr>
              <w:t>and quality in the provision of </w:t>
            </w:r>
            <w:r w:rsidRPr="00191F54">
              <w:rPr>
                <w:color w:val="000000" w:themeColor="text1"/>
              </w:rPr>
              <w:t>healthcare services to fulfil the relevant requirements of the National Health Reform Agreement.</w:t>
            </w:r>
          </w:p>
        </w:tc>
      </w:tr>
      <w:tr w:rsidR="00191F54" w:rsidRPr="00191F54" w14:paraId="7FD22027" w14:textId="77777777" w:rsidTr="00C32C5A">
        <w:trPr>
          <w:jc w:val="center"/>
        </w:trPr>
        <w:tc>
          <w:tcPr>
            <w:tcW w:w="5000" w:type="pct"/>
          </w:tcPr>
          <w:p w14:paraId="0F27D56E" w14:textId="77777777" w:rsidR="00E472FD" w:rsidRPr="00191F54" w:rsidRDefault="00E472FD" w:rsidP="00E472FD">
            <w:pPr>
              <w:pStyle w:val="TableHeadingRow9pt0"/>
              <w:rPr>
                <w:color w:val="000000" w:themeColor="text1"/>
              </w:rPr>
            </w:pPr>
            <w:r w:rsidRPr="00191F54">
              <w:rPr>
                <w:color w:val="000000" w:themeColor="text1"/>
              </w:rPr>
              <w:t>Australian Institute of Health and Welfare (AIHW)</w:t>
            </w:r>
            <w:r w:rsidRPr="00191F54">
              <w:rPr>
                <w:rStyle w:val="FootnoteReference"/>
                <w:color w:val="000000" w:themeColor="text1"/>
              </w:rPr>
              <w:footnoteReference w:id="3"/>
            </w:r>
          </w:p>
          <w:p w14:paraId="063392FD" w14:textId="77777777" w:rsidR="00E472FD" w:rsidRPr="00191F54" w:rsidRDefault="00E472FD" w:rsidP="00E472FD">
            <w:pPr>
              <w:pStyle w:val="TableHeadingRow9pt0"/>
              <w:rPr>
                <w:color w:val="000000" w:themeColor="text1"/>
              </w:rPr>
            </w:pPr>
            <w:r w:rsidRPr="00191F54">
              <w:rPr>
                <w:color w:val="000000" w:themeColor="text1"/>
              </w:rPr>
              <w:t>Program 1.1: Develop, Collect, Analyse and Report High Quality National Health and Welfare Information and Statistics for Governments and the Community</w:t>
            </w:r>
          </w:p>
          <w:p w14:paraId="2D3FB366" w14:textId="5D5B79BC" w:rsidR="00E472FD" w:rsidRPr="00191F54" w:rsidRDefault="00E472FD" w:rsidP="00E472FD">
            <w:pPr>
              <w:pStyle w:val="TableHeadingRow9pt0"/>
              <w:rPr>
                <w:color w:val="000000" w:themeColor="text1"/>
              </w:rPr>
            </w:pPr>
            <w:r w:rsidRPr="00191F54">
              <w:rPr>
                <w:b w:val="0"/>
                <w:color w:val="000000" w:themeColor="text1"/>
              </w:rPr>
              <w:t>The AIHW works with other national bodies on a range of National Health Reform Agreement</w:t>
            </w:r>
            <w:r w:rsidR="00561109">
              <w:rPr>
                <w:b w:val="0"/>
                <w:color w:val="000000" w:themeColor="text1"/>
              </w:rPr>
              <w:t>-</w:t>
            </w:r>
            <w:r w:rsidRPr="00191F54">
              <w:rPr>
                <w:b w:val="0"/>
                <w:color w:val="000000" w:themeColor="text1"/>
              </w:rPr>
              <w:t>related activities, including hospital performa</w:t>
            </w:r>
            <w:r w:rsidR="00617D25">
              <w:rPr>
                <w:b w:val="0"/>
                <w:color w:val="000000" w:themeColor="text1"/>
              </w:rPr>
              <w:t>nce reporting and funding. This </w:t>
            </w:r>
            <w:r w:rsidRPr="00191F54">
              <w:rPr>
                <w:b w:val="0"/>
                <w:color w:val="000000" w:themeColor="text1"/>
              </w:rPr>
              <w:t>includes assisting and working with IHPA to ensure an accurate and consistent approach to the classification of information about hospital activities and expenditures.</w:t>
            </w:r>
          </w:p>
        </w:tc>
      </w:tr>
      <w:tr w:rsidR="00191F54" w:rsidRPr="00191F54" w14:paraId="0A163BA9" w14:textId="77777777" w:rsidTr="00C32C5A">
        <w:trPr>
          <w:jc w:val="center"/>
        </w:trPr>
        <w:tc>
          <w:tcPr>
            <w:tcW w:w="5000" w:type="pct"/>
          </w:tcPr>
          <w:p w14:paraId="6B2AE760" w14:textId="77777777" w:rsidR="00985D08" w:rsidRPr="00191F54" w:rsidRDefault="00985D08" w:rsidP="00985D08">
            <w:pPr>
              <w:pStyle w:val="TableHeadingRow9pt0"/>
              <w:rPr>
                <w:color w:val="000000" w:themeColor="text1"/>
              </w:rPr>
            </w:pPr>
            <w:r w:rsidRPr="00191F54">
              <w:rPr>
                <w:color w:val="000000" w:themeColor="text1"/>
              </w:rPr>
              <w:t>Department of Health (Health)</w:t>
            </w:r>
          </w:p>
          <w:p w14:paraId="67FB5172" w14:textId="77777777" w:rsidR="00985D08" w:rsidRPr="00191F54" w:rsidRDefault="00441DB8" w:rsidP="00985D08">
            <w:pPr>
              <w:pStyle w:val="TableHeadingRow9pt0"/>
              <w:rPr>
                <w:color w:val="000000" w:themeColor="text1"/>
              </w:rPr>
            </w:pPr>
            <w:r w:rsidRPr="00191F54">
              <w:rPr>
                <w:color w:val="000000" w:themeColor="text1"/>
              </w:rPr>
              <w:t>Program 1.1</w:t>
            </w:r>
            <w:r w:rsidR="00985D08" w:rsidRPr="00191F54">
              <w:rPr>
                <w:color w:val="000000" w:themeColor="text1"/>
              </w:rPr>
              <w:t xml:space="preserve">: </w:t>
            </w:r>
            <w:r w:rsidRPr="00191F54">
              <w:rPr>
                <w:color w:val="000000" w:themeColor="text1"/>
              </w:rPr>
              <w:t>Health Research, Coordination and Access</w:t>
            </w:r>
          </w:p>
          <w:p w14:paraId="65590099" w14:textId="77777777" w:rsidR="00672D9B" w:rsidRPr="00191F54" w:rsidRDefault="00672D9B" w:rsidP="00672D9B">
            <w:pPr>
              <w:pStyle w:val="TableHeadingRow9pt0"/>
              <w:rPr>
                <w:color w:val="000000" w:themeColor="text1"/>
              </w:rPr>
            </w:pPr>
            <w:r w:rsidRPr="00191F54">
              <w:rPr>
                <w:color w:val="000000" w:themeColor="text1"/>
              </w:rPr>
              <w:t>Program 3.2: Aged Care Services</w:t>
            </w:r>
          </w:p>
          <w:p w14:paraId="0B688E8B" w14:textId="780A49C3" w:rsidR="00500BE3" w:rsidRPr="00191F54" w:rsidRDefault="00985D08" w:rsidP="00985D08">
            <w:pPr>
              <w:pStyle w:val="Tableheadingrow9pt"/>
              <w:rPr>
                <w:b w:val="0"/>
                <w:color w:val="000000" w:themeColor="text1"/>
              </w:rPr>
            </w:pPr>
            <w:r w:rsidRPr="00191F54">
              <w:rPr>
                <w:b w:val="0"/>
                <w:color w:val="000000" w:themeColor="text1"/>
              </w:rPr>
              <w:t>Health has policy responsibility for public and private hospital services, including the Commonwealth Government</w:t>
            </w:r>
            <w:r w:rsidR="00374BF6">
              <w:rPr>
                <w:b w:val="0"/>
                <w:color w:val="000000" w:themeColor="text1"/>
              </w:rPr>
              <w:t>’s</w:t>
            </w:r>
            <w:r w:rsidRPr="00191F54">
              <w:rPr>
                <w:b w:val="0"/>
                <w:color w:val="000000" w:themeColor="text1"/>
              </w:rPr>
              <w:t xml:space="preserve"> funding contribution for public hospital services. This includes policy responsibility for the implementation of </w:t>
            </w:r>
            <w:r w:rsidR="001019C5" w:rsidRPr="00191F54">
              <w:rPr>
                <w:b w:val="0"/>
                <w:color w:val="000000" w:themeColor="text1"/>
              </w:rPr>
              <w:t xml:space="preserve">activity based funding </w:t>
            </w:r>
            <w:r w:rsidRPr="00191F54">
              <w:rPr>
                <w:b w:val="0"/>
                <w:color w:val="000000" w:themeColor="text1"/>
              </w:rPr>
              <w:t>under the National Health Reform Agreement.</w:t>
            </w:r>
          </w:p>
          <w:p w14:paraId="2F70811E" w14:textId="5199B25B" w:rsidR="00672D9B" w:rsidRPr="00191F54" w:rsidRDefault="00672D9B" w:rsidP="00985D08">
            <w:pPr>
              <w:pStyle w:val="Tableheadingrow9pt"/>
              <w:rPr>
                <w:b w:val="0"/>
                <w:color w:val="000000" w:themeColor="text1"/>
              </w:rPr>
            </w:pPr>
            <w:r w:rsidRPr="00191F54">
              <w:rPr>
                <w:b w:val="0"/>
                <w:color w:val="000000" w:themeColor="text1"/>
              </w:rPr>
              <w:t>Health has policy responsibility for ageing and aged care, including funding for residential aged care.</w:t>
            </w:r>
          </w:p>
        </w:tc>
      </w:tr>
      <w:tr w:rsidR="00191F54" w:rsidRPr="00191F54" w14:paraId="25D7AF3A" w14:textId="77777777" w:rsidTr="00C32C5A">
        <w:trPr>
          <w:jc w:val="center"/>
        </w:trPr>
        <w:tc>
          <w:tcPr>
            <w:tcW w:w="5000" w:type="pct"/>
          </w:tcPr>
          <w:p w14:paraId="11FB7B1E" w14:textId="77777777" w:rsidR="00985D08" w:rsidRPr="00191F54" w:rsidRDefault="00985D08" w:rsidP="00985D08">
            <w:pPr>
              <w:pStyle w:val="TableHeadingRow9pt0"/>
              <w:rPr>
                <w:color w:val="000000" w:themeColor="text1"/>
              </w:rPr>
            </w:pPr>
            <w:r w:rsidRPr="00191F54">
              <w:rPr>
                <w:color w:val="000000" w:themeColor="text1"/>
              </w:rPr>
              <w:t>National Health Funding Body (NHFB)</w:t>
            </w:r>
            <w:r w:rsidR="00D93C03" w:rsidRPr="00191F54">
              <w:rPr>
                <w:rStyle w:val="FootnoteReference"/>
                <w:rFonts w:ascii="Arial Bold" w:hAnsi="Arial Bold"/>
                <w:color w:val="000000" w:themeColor="text1"/>
                <w:sz w:val="18"/>
              </w:rPr>
              <w:footnoteReference w:id="4"/>
            </w:r>
          </w:p>
          <w:p w14:paraId="77AEF4A1" w14:textId="77777777" w:rsidR="00985D08" w:rsidRPr="00191F54" w:rsidRDefault="00985D08" w:rsidP="00985D08">
            <w:pPr>
              <w:pStyle w:val="TableHeadingRow9pt0"/>
              <w:rPr>
                <w:color w:val="000000" w:themeColor="text1"/>
              </w:rPr>
            </w:pPr>
            <w:r w:rsidRPr="00191F54">
              <w:rPr>
                <w:color w:val="000000" w:themeColor="text1"/>
              </w:rPr>
              <w:t xml:space="preserve">Program 1.1: National Health Funding Pool Administration </w:t>
            </w:r>
          </w:p>
          <w:p w14:paraId="0DEBB050" w14:textId="62028604" w:rsidR="00985D08" w:rsidRPr="00191F54" w:rsidRDefault="00985D08" w:rsidP="00985D08">
            <w:pPr>
              <w:pStyle w:val="TableHeadingRow9pt0"/>
              <w:rPr>
                <w:b w:val="0"/>
                <w:color w:val="000000" w:themeColor="text1"/>
              </w:rPr>
            </w:pPr>
            <w:r w:rsidRPr="00191F54">
              <w:rPr>
                <w:b w:val="0"/>
                <w:color w:val="000000" w:themeColor="text1"/>
              </w:rPr>
              <w:t>The NHFB works with IHPA to provide transparent and efficient administration of Commonwealth, state and territory funding of the Australian public hospital system, and support</w:t>
            </w:r>
            <w:r w:rsidR="00561109">
              <w:rPr>
                <w:b w:val="0"/>
                <w:color w:val="000000" w:themeColor="text1"/>
              </w:rPr>
              <w:t>s</w:t>
            </w:r>
            <w:r w:rsidRPr="00191F54">
              <w:rPr>
                <w:b w:val="0"/>
                <w:color w:val="000000" w:themeColor="text1"/>
              </w:rPr>
              <w:t xml:space="preserve"> the Administrator in enabling and supporting more transparent and efficient public hospital funding and reporting.</w:t>
            </w:r>
          </w:p>
        </w:tc>
      </w:tr>
      <w:tr w:rsidR="00191F54" w:rsidRPr="00191F54" w14:paraId="205AC9B0" w14:textId="77777777" w:rsidTr="00C32C5A">
        <w:trPr>
          <w:jc w:val="center"/>
        </w:trPr>
        <w:tc>
          <w:tcPr>
            <w:tcW w:w="5000" w:type="pct"/>
          </w:tcPr>
          <w:p w14:paraId="5E6A0675" w14:textId="77777777" w:rsidR="00985D08" w:rsidRPr="00191F54" w:rsidRDefault="00985D08" w:rsidP="00985D08">
            <w:pPr>
              <w:pStyle w:val="TableHeadingRow9pt0"/>
              <w:rPr>
                <w:color w:val="000000" w:themeColor="text1"/>
              </w:rPr>
            </w:pPr>
            <w:r w:rsidRPr="00191F54">
              <w:rPr>
                <w:color w:val="000000" w:themeColor="text1"/>
              </w:rPr>
              <w:t>National Health Funding Pool (the Administrator)</w:t>
            </w:r>
            <w:r w:rsidR="00D93C03" w:rsidRPr="00191F54">
              <w:rPr>
                <w:rStyle w:val="FootnoteReference"/>
                <w:rFonts w:ascii="Arial Bold" w:hAnsi="Arial Bold"/>
                <w:color w:val="000000" w:themeColor="text1"/>
                <w:sz w:val="18"/>
              </w:rPr>
              <w:footnoteReference w:id="5"/>
            </w:r>
          </w:p>
          <w:p w14:paraId="24868DCC" w14:textId="77777777" w:rsidR="00985D08" w:rsidRPr="00191F54" w:rsidRDefault="00985D08" w:rsidP="00985D08">
            <w:pPr>
              <w:pStyle w:val="TableHeadingRow9pt0"/>
              <w:rPr>
                <w:color w:val="000000" w:themeColor="text1"/>
              </w:rPr>
            </w:pPr>
            <w:r w:rsidRPr="00191F54">
              <w:rPr>
                <w:color w:val="000000" w:themeColor="text1"/>
              </w:rPr>
              <w:t>Program 1.1: National Health Funding Pool Administration</w:t>
            </w:r>
          </w:p>
          <w:p w14:paraId="58FA9609" w14:textId="5EC6DAAC" w:rsidR="00985D08" w:rsidRPr="00191F54" w:rsidRDefault="00985D08" w:rsidP="00374BF6">
            <w:pPr>
              <w:pStyle w:val="TableHeadingRow9pt0"/>
              <w:rPr>
                <w:color w:val="000000" w:themeColor="text1"/>
              </w:rPr>
            </w:pPr>
            <w:r w:rsidRPr="00191F54">
              <w:rPr>
                <w:b w:val="0"/>
                <w:color w:val="000000" w:themeColor="text1"/>
              </w:rPr>
              <w:t xml:space="preserve">The Administrator, with support from the NHFB, is responsible for </w:t>
            </w:r>
            <w:r w:rsidR="00374BF6">
              <w:rPr>
                <w:b w:val="0"/>
                <w:color w:val="000000" w:themeColor="text1"/>
              </w:rPr>
              <w:t>calculating</w:t>
            </w:r>
            <w:r w:rsidRPr="00191F54">
              <w:rPr>
                <w:b w:val="0"/>
                <w:color w:val="000000" w:themeColor="text1"/>
              </w:rPr>
              <w:t xml:space="preserve"> and advising the Commonwealth Treasurer of the Commonwealth</w:t>
            </w:r>
            <w:r w:rsidR="00374BF6">
              <w:rPr>
                <w:b w:val="0"/>
                <w:color w:val="000000" w:themeColor="text1"/>
              </w:rPr>
              <w:t xml:space="preserve"> Government’s</w:t>
            </w:r>
            <w:r w:rsidRPr="00191F54">
              <w:rPr>
                <w:b w:val="0"/>
                <w:color w:val="000000" w:themeColor="text1"/>
              </w:rPr>
              <w:t xml:space="preserve"> contribution to the National Health Funding Pool under the National Health Reform Agreement.</w:t>
            </w:r>
          </w:p>
        </w:tc>
      </w:tr>
    </w:tbl>
    <w:p w14:paraId="2B70353E" w14:textId="77777777" w:rsidR="002113EF" w:rsidRPr="00191F54" w:rsidRDefault="002113EF" w:rsidP="002113EF">
      <w:pPr>
        <w:rPr>
          <w:rFonts w:ascii="Arial" w:hAnsi="Arial"/>
          <w:color w:val="000000" w:themeColor="text1"/>
          <w:sz w:val="22"/>
        </w:rPr>
      </w:pPr>
      <w:r w:rsidRPr="00191F54">
        <w:rPr>
          <w:color w:val="000000" w:themeColor="text1"/>
        </w:rPr>
        <w:br w:type="page"/>
      </w:r>
    </w:p>
    <w:p w14:paraId="0AB746A5" w14:textId="6BCC633B" w:rsidR="00BC0659" w:rsidRPr="00191F54" w:rsidRDefault="00BC0659" w:rsidP="00B87B5E">
      <w:pPr>
        <w:pStyle w:val="Heading4"/>
        <w:rPr>
          <w:color w:val="000000" w:themeColor="text1"/>
        </w:rPr>
      </w:pPr>
      <w:r w:rsidRPr="00191F54">
        <w:rPr>
          <w:color w:val="000000" w:themeColor="text1"/>
        </w:rPr>
        <w:lastRenderedPageBreak/>
        <w:t xml:space="preserve">Budgeted Expenses for </w:t>
      </w:r>
      <w:r w:rsidR="00985D08" w:rsidRPr="00191F54">
        <w:rPr>
          <w:color w:val="000000" w:themeColor="text1"/>
        </w:rPr>
        <w:t>IHPA</w:t>
      </w:r>
    </w:p>
    <w:p w14:paraId="341DE77B" w14:textId="77777777" w:rsidR="00BC0659" w:rsidRPr="00191F54" w:rsidRDefault="00BC0659" w:rsidP="00BC0659">
      <w:pPr>
        <w:rPr>
          <w:color w:val="000000" w:themeColor="text1"/>
        </w:rPr>
      </w:pPr>
      <w:r w:rsidRPr="00191F54">
        <w:rPr>
          <w:color w:val="000000" w:themeColor="text1"/>
        </w:rPr>
        <w:t>Table 2.1.1 shows how much the entity intends to spend (on an accrual basis) on achieving the outcome, broken down by program, as well as by administered and departmental funding sources.</w:t>
      </w:r>
    </w:p>
    <w:p w14:paraId="7A4634B8" w14:textId="0D2B9600" w:rsidR="00BC0659" w:rsidRDefault="00BC0659" w:rsidP="00BC0659">
      <w:pPr>
        <w:pStyle w:val="Tablenumberandreference"/>
        <w:rPr>
          <w:color w:val="000000" w:themeColor="text1"/>
        </w:rPr>
      </w:pPr>
      <w:r w:rsidRPr="00191F54">
        <w:rPr>
          <w:color w:val="000000" w:themeColor="text1"/>
        </w:rPr>
        <w:t>Table 2.1.1: Budgeted Expenses</w:t>
      </w:r>
      <w:r w:rsidR="00BB0F49" w:rsidRPr="00191F54">
        <w:rPr>
          <w:color w:val="000000" w:themeColor="text1"/>
        </w:rPr>
        <w:t xml:space="preserve"> and Resources</w:t>
      </w:r>
      <w:r w:rsidRPr="00191F54">
        <w:rPr>
          <w:color w:val="000000" w:themeColor="text1"/>
        </w:rPr>
        <w:t xml:space="preserve"> for </w:t>
      </w:r>
      <w:r w:rsidR="00985D08" w:rsidRPr="00191F54">
        <w:rPr>
          <w:color w:val="000000" w:themeColor="text1"/>
        </w:rPr>
        <w:t>IHPA</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637E13" w:rsidRPr="00637E13" w14:paraId="64AA1B23" w14:textId="77777777" w:rsidTr="00637E13">
        <w:trPr>
          <w:trHeight w:val="765"/>
          <w:jc w:val="center"/>
        </w:trPr>
        <w:tc>
          <w:tcPr>
            <w:tcW w:w="2860" w:type="dxa"/>
            <w:tcBorders>
              <w:top w:val="single" w:sz="4" w:space="0" w:color="auto"/>
              <w:left w:val="nil"/>
              <w:bottom w:val="nil"/>
              <w:right w:val="nil"/>
            </w:tcBorders>
            <w:shd w:val="clear" w:color="auto" w:fill="auto"/>
            <w:vAlign w:val="bottom"/>
            <w:hideMark/>
          </w:tcPr>
          <w:p w14:paraId="31640601" w14:textId="77777777" w:rsidR="00637E13" w:rsidRPr="00637E13" w:rsidRDefault="00637E13" w:rsidP="00637E13">
            <w:pPr>
              <w:spacing w:before="40" w:after="0"/>
              <w:jc w:val="right"/>
              <w:rPr>
                <w:rFonts w:ascii="Arial" w:hAnsi="Arial" w:cs="Arial"/>
                <w:b/>
                <w:bCs/>
                <w:color w:val="auto"/>
                <w:sz w:val="16"/>
                <w:szCs w:val="16"/>
              </w:rPr>
            </w:pPr>
            <w:r w:rsidRPr="00637E13">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6547261C" w14:textId="2F6BF992" w:rsidR="00637E13" w:rsidRPr="00637E13" w:rsidRDefault="004C6E42" w:rsidP="00637E13">
            <w:pPr>
              <w:spacing w:before="40" w:after="0"/>
              <w:jc w:val="right"/>
              <w:rPr>
                <w:rFonts w:ascii="Arial" w:hAnsi="Arial" w:cs="Arial"/>
                <w:b/>
                <w:bCs/>
                <w:color w:val="auto"/>
                <w:sz w:val="16"/>
                <w:szCs w:val="16"/>
              </w:rPr>
            </w:pPr>
            <w:r>
              <w:rPr>
                <w:rFonts w:ascii="Arial" w:hAnsi="Arial" w:cs="Arial"/>
                <w:b/>
                <w:bCs/>
                <w:color w:val="auto"/>
                <w:sz w:val="16"/>
                <w:szCs w:val="16"/>
              </w:rPr>
              <w:t>2021–</w:t>
            </w:r>
            <w:r w:rsidR="00637E13" w:rsidRPr="00637E13">
              <w:rPr>
                <w:rFonts w:ascii="Arial" w:hAnsi="Arial" w:cs="Arial"/>
                <w:b/>
                <w:bCs/>
                <w:color w:val="auto"/>
                <w:sz w:val="16"/>
                <w:szCs w:val="16"/>
              </w:rPr>
              <w:t>22</w:t>
            </w:r>
            <w:r w:rsidR="00637E13" w:rsidRPr="00637E13">
              <w:rPr>
                <w:rFonts w:ascii="Arial" w:hAnsi="Arial" w:cs="Arial"/>
                <w:b/>
                <w:bCs/>
                <w:color w:val="auto"/>
                <w:sz w:val="16"/>
                <w:szCs w:val="16"/>
              </w:rPr>
              <w:br/>
              <w:t>Estimated actual</w:t>
            </w:r>
            <w:r w:rsidR="00637E13" w:rsidRPr="00637E13">
              <w:rPr>
                <w:rFonts w:ascii="Arial" w:hAnsi="Arial" w:cs="Arial"/>
                <w:b/>
                <w:bCs/>
                <w:color w:val="auto"/>
                <w:sz w:val="16"/>
                <w:szCs w:val="16"/>
              </w:rPr>
              <w:br/>
            </w:r>
            <w:r w:rsidR="00637E13" w:rsidRPr="00637E1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758DE087" w14:textId="43455B97" w:rsidR="00637E13" w:rsidRPr="00637E13" w:rsidRDefault="004C6E42" w:rsidP="00637E13">
            <w:pPr>
              <w:spacing w:before="40" w:after="0"/>
              <w:jc w:val="right"/>
              <w:rPr>
                <w:rFonts w:ascii="Arial" w:hAnsi="Arial" w:cs="Arial"/>
                <w:b/>
                <w:bCs/>
                <w:color w:val="auto"/>
                <w:sz w:val="16"/>
                <w:szCs w:val="16"/>
              </w:rPr>
            </w:pPr>
            <w:r>
              <w:rPr>
                <w:rFonts w:ascii="Arial" w:hAnsi="Arial" w:cs="Arial"/>
                <w:b/>
                <w:bCs/>
                <w:color w:val="auto"/>
                <w:sz w:val="16"/>
                <w:szCs w:val="16"/>
              </w:rPr>
              <w:t>2022–</w:t>
            </w:r>
            <w:r w:rsidR="00637E13" w:rsidRPr="00637E13">
              <w:rPr>
                <w:rFonts w:ascii="Arial" w:hAnsi="Arial" w:cs="Arial"/>
                <w:b/>
                <w:bCs/>
                <w:color w:val="auto"/>
                <w:sz w:val="16"/>
                <w:szCs w:val="16"/>
              </w:rPr>
              <w:t>23</w:t>
            </w:r>
            <w:r w:rsidR="00637E13" w:rsidRPr="00637E13">
              <w:rPr>
                <w:rFonts w:ascii="Arial" w:hAnsi="Arial" w:cs="Arial"/>
                <w:b/>
                <w:bCs/>
                <w:color w:val="auto"/>
                <w:sz w:val="16"/>
                <w:szCs w:val="16"/>
              </w:rPr>
              <w:br/>
              <w:t xml:space="preserve">Budget </w:t>
            </w:r>
            <w:r w:rsidR="00637E13" w:rsidRPr="00637E13">
              <w:rPr>
                <w:rFonts w:ascii="Arial" w:hAnsi="Arial" w:cs="Arial"/>
                <w:b/>
                <w:bCs/>
                <w:color w:val="auto"/>
                <w:sz w:val="16"/>
                <w:szCs w:val="16"/>
              </w:rPr>
              <w:br/>
            </w:r>
            <w:r w:rsidR="00637E13" w:rsidRPr="00637E13">
              <w:rPr>
                <w:rFonts w:ascii="Arial" w:hAnsi="Arial" w:cs="Arial"/>
                <w:b/>
                <w:bCs/>
                <w:color w:val="auto"/>
                <w:sz w:val="16"/>
                <w:szCs w:val="16"/>
              </w:rPr>
              <w:br/>
            </w:r>
            <w:r w:rsidR="00637E13" w:rsidRPr="00637E1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EEB8B82" w14:textId="3757E356" w:rsidR="00637E13" w:rsidRPr="00637E13" w:rsidRDefault="004C6E42" w:rsidP="00637E13">
            <w:pPr>
              <w:spacing w:before="40" w:after="0"/>
              <w:jc w:val="right"/>
              <w:rPr>
                <w:rFonts w:ascii="Arial" w:hAnsi="Arial" w:cs="Arial"/>
                <w:b/>
                <w:bCs/>
                <w:color w:val="auto"/>
                <w:sz w:val="16"/>
                <w:szCs w:val="16"/>
              </w:rPr>
            </w:pPr>
            <w:r>
              <w:rPr>
                <w:rFonts w:ascii="Arial" w:hAnsi="Arial" w:cs="Arial"/>
                <w:b/>
                <w:bCs/>
                <w:color w:val="auto"/>
                <w:sz w:val="16"/>
                <w:szCs w:val="16"/>
              </w:rPr>
              <w:t>2023–</w:t>
            </w:r>
            <w:r w:rsidR="00637E13" w:rsidRPr="00637E13">
              <w:rPr>
                <w:rFonts w:ascii="Arial" w:hAnsi="Arial" w:cs="Arial"/>
                <w:b/>
                <w:bCs/>
                <w:color w:val="auto"/>
                <w:sz w:val="16"/>
                <w:szCs w:val="16"/>
              </w:rPr>
              <w:t>24</w:t>
            </w:r>
            <w:r w:rsidR="00637E13" w:rsidRPr="00637E13">
              <w:rPr>
                <w:rFonts w:ascii="Arial" w:hAnsi="Arial" w:cs="Arial"/>
                <w:b/>
                <w:bCs/>
                <w:color w:val="auto"/>
                <w:sz w:val="16"/>
                <w:szCs w:val="16"/>
              </w:rPr>
              <w:br/>
              <w:t>Forward estimate</w:t>
            </w:r>
            <w:r w:rsidR="00637E13" w:rsidRPr="00637E13">
              <w:rPr>
                <w:rFonts w:ascii="Arial" w:hAnsi="Arial" w:cs="Arial"/>
                <w:b/>
                <w:bCs/>
                <w:color w:val="auto"/>
                <w:sz w:val="16"/>
                <w:szCs w:val="16"/>
              </w:rPr>
              <w:br/>
            </w:r>
            <w:r w:rsidR="00637E13" w:rsidRPr="00637E1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D53ECCC" w14:textId="7BD67F9B" w:rsidR="00637E13" w:rsidRPr="00637E13" w:rsidRDefault="004C6E42" w:rsidP="00637E13">
            <w:pPr>
              <w:spacing w:before="40" w:after="0"/>
              <w:jc w:val="right"/>
              <w:rPr>
                <w:rFonts w:ascii="Arial" w:hAnsi="Arial" w:cs="Arial"/>
                <w:b/>
                <w:bCs/>
                <w:color w:val="auto"/>
                <w:sz w:val="16"/>
                <w:szCs w:val="16"/>
              </w:rPr>
            </w:pPr>
            <w:r>
              <w:rPr>
                <w:rFonts w:ascii="Arial" w:hAnsi="Arial" w:cs="Arial"/>
                <w:b/>
                <w:bCs/>
                <w:color w:val="auto"/>
                <w:sz w:val="16"/>
                <w:szCs w:val="16"/>
              </w:rPr>
              <w:t>2024–</w:t>
            </w:r>
            <w:r w:rsidR="00637E13" w:rsidRPr="00637E13">
              <w:rPr>
                <w:rFonts w:ascii="Arial" w:hAnsi="Arial" w:cs="Arial"/>
                <w:b/>
                <w:bCs/>
                <w:color w:val="auto"/>
                <w:sz w:val="16"/>
                <w:szCs w:val="16"/>
              </w:rPr>
              <w:t>25</w:t>
            </w:r>
            <w:r w:rsidR="00637E13" w:rsidRPr="00637E13">
              <w:rPr>
                <w:rFonts w:ascii="Arial" w:hAnsi="Arial" w:cs="Arial"/>
                <w:b/>
                <w:bCs/>
                <w:color w:val="auto"/>
                <w:sz w:val="16"/>
                <w:szCs w:val="16"/>
              </w:rPr>
              <w:br/>
              <w:t>Forward estimate</w:t>
            </w:r>
            <w:r w:rsidR="00637E13" w:rsidRPr="00637E13">
              <w:rPr>
                <w:rFonts w:ascii="Arial" w:hAnsi="Arial" w:cs="Arial"/>
                <w:b/>
                <w:bCs/>
                <w:color w:val="auto"/>
                <w:sz w:val="16"/>
                <w:szCs w:val="16"/>
              </w:rPr>
              <w:br/>
            </w:r>
            <w:r w:rsidR="00637E13" w:rsidRPr="00637E1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67AFF72B" w14:textId="4908AD56" w:rsidR="00637E13" w:rsidRPr="00637E13" w:rsidRDefault="004C6E42" w:rsidP="00637E13">
            <w:pPr>
              <w:spacing w:before="40" w:after="0"/>
              <w:jc w:val="right"/>
              <w:rPr>
                <w:rFonts w:ascii="Arial" w:hAnsi="Arial" w:cs="Arial"/>
                <w:b/>
                <w:bCs/>
                <w:color w:val="auto"/>
                <w:sz w:val="16"/>
                <w:szCs w:val="16"/>
              </w:rPr>
            </w:pPr>
            <w:r>
              <w:rPr>
                <w:rFonts w:ascii="Arial" w:hAnsi="Arial" w:cs="Arial"/>
                <w:b/>
                <w:bCs/>
                <w:color w:val="auto"/>
                <w:sz w:val="16"/>
                <w:szCs w:val="16"/>
              </w:rPr>
              <w:t>2025–</w:t>
            </w:r>
            <w:r w:rsidR="00637E13" w:rsidRPr="00637E13">
              <w:rPr>
                <w:rFonts w:ascii="Arial" w:hAnsi="Arial" w:cs="Arial"/>
                <w:b/>
                <w:bCs/>
                <w:color w:val="auto"/>
                <w:sz w:val="16"/>
                <w:szCs w:val="16"/>
              </w:rPr>
              <w:t>26</w:t>
            </w:r>
            <w:r w:rsidR="00637E13" w:rsidRPr="00637E13">
              <w:rPr>
                <w:rFonts w:ascii="Arial" w:hAnsi="Arial" w:cs="Arial"/>
                <w:b/>
                <w:bCs/>
                <w:color w:val="auto"/>
                <w:sz w:val="16"/>
                <w:szCs w:val="16"/>
              </w:rPr>
              <w:br/>
              <w:t>Forward estimate</w:t>
            </w:r>
            <w:r w:rsidR="00637E13" w:rsidRPr="00637E13">
              <w:rPr>
                <w:rFonts w:ascii="Arial" w:hAnsi="Arial" w:cs="Arial"/>
                <w:b/>
                <w:bCs/>
                <w:color w:val="auto"/>
                <w:sz w:val="16"/>
                <w:szCs w:val="16"/>
              </w:rPr>
              <w:br/>
            </w:r>
            <w:r w:rsidR="00637E13" w:rsidRPr="00637E13">
              <w:rPr>
                <w:rFonts w:ascii="Arial" w:hAnsi="Arial" w:cs="Arial"/>
                <w:color w:val="auto"/>
                <w:sz w:val="16"/>
                <w:szCs w:val="16"/>
              </w:rPr>
              <w:t>$'000</w:t>
            </w:r>
          </w:p>
        </w:tc>
      </w:tr>
      <w:tr w:rsidR="00637E13" w:rsidRPr="00637E13" w14:paraId="423D2451" w14:textId="77777777" w:rsidTr="00637E13">
        <w:trPr>
          <w:trHeight w:val="283"/>
          <w:jc w:val="center"/>
        </w:trPr>
        <w:tc>
          <w:tcPr>
            <w:tcW w:w="4660" w:type="dxa"/>
            <w:gridSpan w:val="3"/>
            <w:tcBorders>
              <w:top w:val="nil"/>
              <w:left w:val="nil"/>
              <w:bottom w:val="nil"/>
              <w:right w:val="nil"/>
            </w:tcBorders>
            <w:shd w:val="clear" w:color="auto" w:fill="auto"/>
            <w:noWrap/>
            <w:vAlign w:val="bottom"/>
            <w:hideMark/>
          </w:tcPr>
          <w:p w14:paraId="6CE00AD8" w14:textId="77777777" w:rsidR="00637E13" w:rsidRPr="00637E13" w:rsidRDefault="00637E13" w:rsidP="00637E13">
            <w:pPr>
              <w:spacing w:after="0"/>
              <w:rPr>
                <w:rFonts w:ascii="Arial" w:hAnsi="Arial" w:cs="Arial"/>
                <w:b/>
                <w:bCs/>
                <w:color w:val="auto"/>
                <w:sz w:val="16"/>
                <w:szCs w:val="16"/>
              </w:rPr>
            </w:pPr>
            <w:r w:rsidRPr="00637E13">
              <w:rPr>
                <w:rFonts w:ascii="Arial" w:hAnsi="Arial" w:cs="Arial"/>
                <w:b/>
                <w:bCs/>
                <w:color w:val="auto"/>
                <w:sz w:val="16"/>
                <w:szCs w:val="16"/>
              </w:rPr>
              <w:t>Program 1.1: Public Hospital Price Determinations</w:t>
            </w:r>
          </w:p>
        </w:tc>
        <w:tc>
          <w:tcPr>
            <w:tcW w:w="900" w:type="dxa"/>
            <w:tcBorders>
              <w:top w:val="nil"/>
              <w:left w:val="nil"/>
              <w:bottom w:val="nil"/>
              <w:right w:val="nil"/>
            </w:tcBorders>
            <w:shd w:val="clear" w:color="auto" w:fill="auto"/>
            <w:vAlign w:val="bottom"/>
            <w:hideMark/>
          </w:tcPr>
          <w:p w14:paraId="6A0CE758" w14:textId="77777777" w:rsidR="00637E13" w:rsidRPr="00637E13" w:rsidRDefault="00637E13" w:rsidP="00637E13">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vAlign w:val="bottom"/>
            <w:hideMark/>
          </w:tcPr>
          <w:p w14:paraId="0C1403F2" w14:textId="77777777" w:rsidR="00637E13" w:rsidRPr="00637E13" w:rsidRDefault="00637E13" w:rsidP="00637E13">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76E820BF" w14:textId="77777777" w:rsidR="00637E13" w:rsidRPr="00637E13" w:rsidRDefault="00637E13" w:rsidP="00637E13">
            <w:pPr>
              <w:spacing w:after="0"/>
              <w:jc w:val="right"/>
              <w:rPr>
                <w:rFonts w:ascii="Times New Roman" w:hAnsi="Times New Roman"/>
                <w:color w:val="auto"/>
              </w:rPr>
            </w:pPr>
          </w:p>
        </w:tc>
      </w:tr>
      <w:tr w:rsidR="00637E13" w:rsidRPr="00637E13" w14:paraId="6AE0DDEF" w14:textId="77777777" w:rsidTr="00637E13">
        <w:trPr>
          <w:trHeight w:val="285"/>
          <w:jc w:val="center"/>
        </w:trPr>
        <w:tc>
          <w:tcPr>
            <w:tcW w:w="2860" w:type="dxa"/>
            <w:tcBorders>
              <w:top w:val="nil"/>
              <w:left w:val="nil"/>
              <w:bottom w:val="nil"/>
              <w:right w:val="nil"/>
            </w:tcBorders>
            <w:shd w:val="clear" w:color="auto" w:fill="auto"/>
            <w:noWrap/>
            <w:vAlign w:val="bottom"/>
            <w:hideMark/>
          </w:tcPr>
          <w:p w14:paraId="3EA704AD" w14:textId="77777777" w:rsidR="00637E13" w:rsidRPr="00637E13" w:rsidRDefault="00637E13" w:rsidP="00637E13">
            <w:pPr>
              <w:spacing w:after="0"/>
              <w:ind w:leftChars="75" w:left="150"/>
              <w:rPr>
                <w:rFonts w:ascii="Arial" w:hAnsi="Arial" w:cs="Arial"/>
                <w:color w:val="auto"/>
                <w:sz w:val="16"/>
                <w:szCs w:val="16"/>
              </w:rPr>
            </w:pPr>
            <w:r w:rsidRPr="00637E13">
              <w:rPr>
                <w:rFonts w:ascii="Arial" w:hAnsi="Arial" w:cs="Arial"/>
                <w:color w:val="auto"/>
                <w:sz w:val="16"/>
                <w:szCs w:val="16"/>
              </w:rPr>
              <w:t>Revenue from Government</w:t>
            </w:r>
          </w:p>
        </w:tc>
        <w:tc>
          <w:tcPr>
            <w:tcW w:w="900" w:type="dxa"/>
            <w:tcBorders>
              <w:top w:val="nil"/>
              <w:left w:val="nil"/>
              <w:bottom w:val="nil"/>
              <w:right w:val="nil"/>
            </w:tcBorders>
            <w:shd w:val="clear" w:color="auto" w:fill="auto"/>
            <w:vAlign w:val="bottom"/>
            <w:hideMark/>
          </w:tcPr>
          <w:p w14:paraId="286B451A" w14:textId="77777777" w:rsidR="00637E13" w:rsidRPr="00637E13" w:rsidRDefault="00637E13" w:rsidP="00637E13">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3646D1A2"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55E50FDD" w14:textId="77777777" w:rsidR="00637E13" w:rsidRPr="00637E13" w:rsidRDefault="00637E13" w:rsidP="00637E1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4F9E6D39" w14:textId="77777777" w:rsidR="00637E13" w:rsidRPr="00637E13" w:rsidRDefault="00637E13" w:rsidP="00637E13">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0BD0F8AE" w14:textId="77777777" w:rsidR="00637E13" w:rsidRPr="00637E13" w:rsidRDefault="00637E13" w:rsidP="00637E13">
            <w:pPr>
              <w:spacing w:after="0"/>
              <w:jc w:val="right"/>
              <w:rPr>
                <w:rFonts w:ascii="Times New Roman" w:hAnsi="Times New Roman"/>
                <w:color w:val="auto"/>
              </w:rPr>
            </w:pPr>
          </w:p>
        </w:tc>
      </w:tr>
      <w:tr w:rsidR="00637E13" w:rsidRPr="00637E13" w14:paraId="1C7E009D" w14:textId="77777777" w:rsidTr="00637E13">
        <w:trPr>
          <w:trHeight w:val="225"/>
          <w:jc w:val="center"/>
        </w:trPr>
        <w:tc>
          <w:tcPr>
            <w:tcW w:w="2860" w:type="dxa"/>
            <w:tcBorders>
              <w:top w:val="nil"/>
              <w:left w:val="nil"/>
              <w:bottom w:val="nil"/>
              <w:right w:val="nil"/>
            </w:tcBorders>
            <w:shd w:val="clear" w:color="auto" w:fill="auto"/>
            <w:noWrap/>
            <w:vAlign w:val="bottom"/>
            <w:hideMark/>
          </w:tcPr>
          <w:p w14:paraId="4FAF18E7" w14:textId="77777777" w:rsidR="00637E13" w:rsidRPr="00637E13" w:rsidRDefault="00637E13" w:rsidP="00637E13">
            <w:pPr>
              <w:spacing w:after="0"/>
              <w:ind w:firstLineChars="200" w:firstLine="320"/>
              <w:rPr>
                <w:rFonts w:ascii="Arial" w:hAnsi="Arial" w:cs="Arial"/>
                <w:color w:val="auto"/>
                <w:sz w:val="16"/>
                <w:szCs w:val="16"/>
              </w:rPr>
            </w:pPr>
            <w:r w:rsidRPr="00637E13">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0B5B3229"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19,561 </w:t>
            </w:r>
          </w:p>
        </w:tc>
        <w:tc>
          <w:tcPr>
            <w:tcW w:w="900" w:type="dxa"/>
            <w:tcBorders>
              <w:top w:val="nil"/>
              <w:left w:val="nil"/>
              <w:bottom w:val="nil"/>
              <w:right w:val="nil"/>
            </w:tcBorders>
            <w:shd w:val="clear" w:color="000000" w:fill="D9D9D9"/>
            <w:noWrap/>
            <w:vAlign w:val="bottom"/>
            <w:hideMark/>
          </w:tcPr>
          <w:p w14:paraId="449FF303"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22,624 </w:t>
            </w:r>
          </w:p>
        </w:tc>
        <w:tc>
          <w:tcPr>
            <w:tcW w:w="900" w:type="dxa"/>
            <w:tcBorders>
              <w:top w:val="nil"/>
              <w:left w:val="nil"/>
              <w:bottom w:val="nil"/>
              <w:right w:val="nil"/>
            </w:tcBorders>
            <w:shd w:val="clear" w:color="auto" w:fill="auto"/>
            <w:noWrap/>
            <w:vAlign w:val="bottom"/>
            <w:hideMark/>
          </w:tcPr>
          <w:p w14:paraId="473A82B2"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23,815 </w:t>
            </w:r>
          </w:p>
        </w:tc>
        <w:tc>
          <w:tcPr>
            <w:tcW w:w="900" w:type="dxa"/>
            <w:tcBorders>
              <w:top w:val="nil"/>
              <w:left w:val="nil"/>
              <w:bottom w:val="nil"/>
              <w:right w:val="nil"/>
            </w:tcBorders>
            <w:shd w:val="clear" w:color="auto" w:fill="auto"/>
            <w:noWrap/>
            <w:vAlign w:val="bottom"/>
            <w:hideMark/>
          </w:tcPr>
          <w:p w14:paraId="2AB4C0E1"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27,802 </w:t>
            </w:r>
          </w:p>
        </w:tc>
        <w:tc>
          <w:tcPr>
            <w:tcW w:w="900" w:type="dxa"/>
            <w:tcBorders>
              <w:top w:val="nil"/>
              <w:left w:val="nil"/>
              <w:bottom w:val="nil"/>
              <w:right w:val="nil"/>
            </w:tcBorders>
            <w:shd w:val="clear" w:color="auto" w:fill="auto"/>
            <w:noWrap/>
            <w:vAlign w:val="bottom"/>
            <w:hideMark/>
          </w:tcPr>
          <w:p w14:paraId="735845E3"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27,935 </w:t>
            </w:r>
          </w:p>
        </w:tc>
      </w:tr>
      <w:tr w:rsidR="00637E13" w:rsidRPr="00637E13" w14:paraId="66DEE2A5" w14:textId="77777777" w:rsidTr="00637E13">
        <w:trPr>
          <w:trHeight w:val="225"/>
          <w:jc w:val="center"/>
        </w:trPr>
        <w:tc>
          <w:tcPr>
            <w:tcW w:w="2860" w:type="dxa"/>
            <w:tcBorders>
              <w:top w:val="nil"/>
              <w:left w:val="nil"/>
              <w:bottom w:val="nil"/>
              <w:right w:val="nil"/>
            </w:tcBorders>
            <w:shd w:val="clear" w:color="auto" w:fill="auto"/>
            <w:noWrap/>
            <w:vAlign w:val="bottom"/>
            <w:hideMark/>
          </w:tcPr>
          <w:p w14:paraId="28EA5749" w14:textId="2790F2C8" w:rsidR="00637E13" w:rsidRPr="00637E13" w:rsidRDefault="00637E13" w:rsidP="00637E13">
            <w:pPr>
              <w:spacing w:after="0"/>
              <w:ind w:leftChars="75" w:left="150"/>
              <w:rPr>
                <w:rFonts w:ascii="Arial" w:hAnsi="Arial" w:cs="Arial"/>
                <w:color w:val="auto"/>
                <w:sz w:val="16"/>
                <w:szCs w:val="16"/>
              </w:rPr>
            </w:pPr>
            <w:r w:rsidRPr="00637E13">
              <w:rPr>
                <w:rFonts w:ascii="Arial" w:hAnsi="Arial" w:cs="Arial"/>
                <w:color w:val="auto"/>
                <w:sz w:val="16"/>
                <w:szCs w:val="16"/>
              </w:rPr>
              <w:t>Income from other sources</w:t>
            </w:r>
          </w:p>
        </w:tc>
        <w:tc>
          <w:tcPr>
            <w:tcW w:w="900" w:type="dxa"/>
            <w:tcBorders>
              <w:top w:val="nil"/>
              <w:left w:val="nil"/>
              <w:bottom w:val="nil"/>
              <w:right w:val="nil"/>
            </w:tcBorders>
            <w:shd w:val="clear" w:color="auto" w:fill="auto"/>
            <w:noWrap/>
            <w:vAlign w:val="bottom"/>
            <w:hideMark/>
          </w:tcPr>
          <w:p w14:paraId="4123539A"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1,025 </w:t>
            </w:r>
          </w:p>
        </w:tc>
        <w:tc>
          <w:tcPr>
            <w:tcW w:w="900" w:type="dxa"/>
            <w:tcBorders>
              <w:top w:val="nil"/>
              <w:left w:val="nil"/>
              <w:bottom w:val="nil"/>
              <w:right w:val="nil"/>
            </w:tcBorders>
            <w:shd w:val="clear" w:color="000000" w:fill="D9D9D9"/>
            <w:noWrap/>
            <w:vAlign w:val="bottom"/>
            <w:hideMark/>
          </w:tcPr>
          <w:p w14:paraId="034B0ABF"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805 </w:t>
            </w:r>
          </w:p>
        </w:tc>
        <w:tc>
          <w:tcPr>
            <w:tcW w:w="900" w:type="dxa"/>
            <w:tcBorders>
              <w:top w:val="nil"/>
              <w:left w:val="nil"/>
              <w:bottom w:val="nil"/>
              <w:right w:val="nil"/>
            </w:tcBorders>
            <w:shd w:val="clear" w:color="auto" w:fill="auto"/>
            <w:noWrap/>
            <w:vAlign w:val="bottom"/>
            <w:hideMark/>
          </w:tcPr>
          <w:p w14:paraId="70E80605"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805 </w:t>
            </w:r>
          </w:p>
        </w:tc>
        <w:tc>
          <w:tcPr>
            <w:tcW w:w="900" w:type="dxa"/>
            <w:tcBorders>
              <w:top w:val="nil"/>
              <w:left w:val="nil"/>
              <w:bottom w:val="nil"/>
              <w:right w:val="nil"/>
            </w:tcBorders>
            <w:shd w:val="clear" w:color="auto" w:fill="auto"/>
            <w:noWrap/>
            <w:vAlign w:val="bottom"/>
            <w:hideMark/>
          </w:tcPr>
          <w:p w14:paraId="103BD659"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805 </w:t>
            </w:r>
          </w:p>
        </w:tc>
        <w:tc>
          <w:tcPr>
            <w:tcW w:w="900" w:type="dxa"/>
            <w:tcBorders>
              <w:top w:val="nil"/>
              <w:left w:val="nil"/>
              <w:bottom w:val="nil"/>
              <w:right w:val="nil"/>
            </w:tcBorders>
            <w:shd w:val="clear" w:color="auto" w:fill="auto"/>
            <w:noWrap/>
            <w:vAlign w:val="bottom"/>
            <w:hideMark/>
          </w:tcPr>
          <w:p w14:paraId="629AC75B"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805 </w:t>
            </w:r>
          </w:p>
        </w:tc>
      </w:tr>
      <w:tr w:rsidR="00637E13" w:rsidRPr="00637E13" w14:paraId="030F031A" w14:textId="77777777" w:rsidTr="00637E13">
        <w:trPr>
          <w:trHeight w:val="425"/>
          <w:jc w:val="center"/>
        </w:trPr>
        <w:tc>
          <w:tcPr>
            <w:tcW w:w="2860" w:type="dxa"/>
            <w:tcBorders>
              <w:top w:val="nil"/>
              <w:left w:val="nil"/>
              <w:bottom w:val="nil"/>
              <w:right w:val="nil"/>
            </w:tcBorders>
            <w:shd w:val="clear" w:color="auto" w:fill="auto"/>
            <w:vAlign w:val="bottom"/>
            <w:hideMark/>
          </w:tcPr>
          <w:p w14:paraId="0FA9C60F" w14:textId="77777777" w:rsidR="00637E13" w:rsidRPr="00637E13" w:rsidRDefault="00637E13" w:rsidP="00637E13">
            <w:pPr>
              <w:spacing w:after="0"/>
              <w:ind w:leftChars="75" w:left="150"/>
              <w:rPr>
                <w:rFonts w:ascii="Arial" w:hAnsi="Arial" w:cs="Arial"/>
                <w:color w:val="auto"/>
                <w:sz w:val="16"/>
                <w:szCs w:val="16"/>
              </w:rPr>
            </w:pPr>
            <w:r w:rsidRPr="00637E13">
              <w:rPr>
                <w:rFonts w:ascii="Arial" w:hAnsi="Arial" w:cs="Arial"/>
                <w:color w:val="auto"/>
                <w:sz w:val="16"/>
                <w:szCs w:val="16"/>
              </w:rPr>
              <w:t xml:space="preserve">Expenses not requiring appropriation in the Budget year </w:t>
            </w:r>
            <w:r w:rsidRPr="00637E13">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7F1FF96C"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11,948</w:t>
            </w:r>
          </w:p>
        </w:tc>
        <w:tc>
          <w:tcPr>
            <w:tcW w:w="900" w:type="dxa"/>
            <w:tcBorders>
              <w:top w:val="nil"/>
              <w:left w:val="nil"/>
              <w:bottom w:val="nil"/>
              <w:right w:val="nil"/>
            </w:tcBorders>
            <w:shd w:val="clear" w:color="000000" w:fill="D9D9D9"/>
            <w:noWrap/>
            <w:vAlign w:val="bottom"/>
            <w:hideMark/>
          </w:tcPr>
          <w:p w14:paraId="08B0AB7C"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12,165</w:t>
            </w:r>
          </w:p>
        </w:tc>
        <w:tc>
          <w:tcPr>
            <w:tcW w:w="900" w:type="dxa"/>
            <w:tcBorders>
              <w:top w:val="nil"/>
              <w:left w:val="nil"/>
              <w:bottom w:val="nil"/>
              <w:right w:val="nil"/>
            </w:tcBorders>
            <w:shd w:val="clear" w:color="auto" w:fill="auto"/>
            <w:noWrap/>
            <w:vAlign w:val="bottom"/>
            <w:hideMark/>
          </w:tcPr>
          <w:p w14:paraId="7CAF6246"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12,263</w:t>
            </w:r>
          </w:p>
        </w:tc>
        <w:tc>
          <w:tcPr>
            <w:tcW w:w="900" w:type="dxa"/>
            <w:tcBorders>
              <w:top w:val="nil"/>
              <w:left w:val="nil"/>
              <w:bottom w:val="nil"/>
              <w:right w:val="nil"/>
            </w:tcBorders>
            <w:shd w:val="clear" w:color="auto" w:fill="auto"/>
            <w:noWrap/>
            <w:vAlign w:val="bottom"/>
            <w:hideMark/>
          </w:tcPr>
          <w:p w14:paraId="6F5A1A67"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12,359</w:t>
            </w:r>
          </w:p>
        </w:tc>
        <w:tc>
          <w:tcPr>
            <w:tcW w:w="900" w:type="dxa"/>
            <w:tcBorders>
              <w:top w:val="nil"/>
              <w:left w:val="nil"/>
              <w:bottom w:val="nil"/>
              <w:right w:val="nil"/>
            </w:tcBorders>
            <w:shd w:val="clear" w:color="auto" w:fill="auto"/>
            <w:noWrap/>
            <w:vAlign w:val="bottom"/>
            <w:hideMark/>
          </w:tcPr>
          <w:p w14:paraId="6EB3CEBC"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12,444</w:t>
            </w:r>
          </w:p>
        </w:tc>
      </w:tr>
      <w:tr w:rsidR="00637E13" w:rsidRPr="00637E13" w14:paraId="490906F7" w14:textId="77777777" w:rsidTr="0067180E">
        <w:trPr>
          <w:trHeight w:val="283"/>
          <w:jc w:val="center"/>
        </w:trPr>
        <w:tc>
          <w:tcPr>
            <w:tcW w:w="2860" w:type="dxa"/>
            <w:tcBorders>
              <w:top w:val="nil"/>
              <w:left w:val="nil"/>
              <w:bottom w:val="nil"/>
              <w:right w:val="nil"/>
            </w:tcBorders>
            <w:shd w:val="clear" w:color="auto" w:fill="auto"/>
            <w:noWrap/>
            <w:vAlign w:val="bottom"/>
            <w:hideMark/>
          </w:tcPr>
          <w:p w14:paraId="71F6B936" w14:textId="77777777" w:rsidR="00637E13" w:rsidRPr="00637E13" w:rsidRDefault="00637E13" w:rsidP="00637E13">
            <w:pPr>
              <w:spacing w:after="0"/>
              <w:ind w:leftChars="75" w:left="150"/>
              <w:rPr>
                <w:rFonts w:ascii="Arial" w:hAnsi="Arial" w:cs="Arial"/>
                <w:color w:val="auto"/>
                <w:sz w:val="16"/>
                <w:szCs w:val="16"/>
              </w:rPr>
            </w:pPr>
            <w:r w:rsidRPr="00637E13">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12C3260"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31</w:t>
            </w:r>
          </w:p>
        </w:tc>
        <w:tc>
          <w:tcPr>
            <w:tcW w:w="900" w:type="dxa"/>
            <w:tcBorders>
              <w:top w:val="nil"/>
              <w:left w:val="nil"/>
              <w:bottom w:val="single" w:sz="4" w:space="0" w:color="auto"/>
              <w:right w:val="nil"/>
            </w:tcBorders>
            <w:shd w:val="clear" w:color="000000" w:fill="D9D9D9"/>
            <w:noWrap/>
            <w:vAlign w:val="bottom"/>
            <w:hideMark/>
          </w:tcPr>
          <w:p w14:paraId="37954AB1"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xml:space="preserve">446 </w:t>
            </w:r>
          </w:p>
        </w:tc>
        <w:tc>
          <w:tcPr>
            <w:tcW w:w="900" w:type="dxa"/>
            <w:tcBorders>
              <w:top w:val="nil"/>
              <w:left w:val="nil"/>
              <w:bottom w:val="single" w:sz="4" w:space="0" w:color="auto"/>
              <w:right w:val="nil"/>
            </w:tcBorders>
            <w:shd w:val="clear" w:color="auto" w:fill="auto"/>
            <w:noWrap/>
            <w:vAlign w:val="bottom"/>
            <w:hideMark/>
          </w:tcPr>
          <w:p w14:paraId="755F3C84"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386</w:t>
            </w:r>
          </w:p>
        </w:tc>
        <w:tc>
          <w:tcPr>
            <w:tcW w:w="900" w:type="dxa"/>
            <w:tcBorders>
              <w:top w:val="nil"/>
              <w:left w:val="nil"/>
              <w:bottom w:val="single" w:sz="4" w:space="0" w:color="auto"/>
              <w:right w:val="nil"/>
            </w:tcBorders>
            <w:shd w:val="clear" w:color="auto" w:fill="auto"/>
            <w:noWrap/>
            <w:vAlign w:val="bottom"/>
            <w:hideMark/>
          </w:tcPr>
          <w:p w14:paraId="61A19A73"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322</w:t>
            </w:r>
          </w:p>
        </w:tc>
        <w:tc>
          <w:tcPr>
            <w:tcW w:w="900" w:type="dxa"/>
            <w:tcBorders>
              <w:top w:val="nil"/>
              <w:left w:val="nil"/>
              <w:bottom w:val="single" w:sz="4" w:space="0" w:color="auto"/>
              <w:right w:val="nil"/>
            </w:tcBorders>
            <w:shd w:val="clear" w:color="auto" w:fill="auto"/>
            <w:noWrap/>
            <w:vAlign w:val="bottom"/>
            <w:hideMark/>
          </w:tcPr>
          <w:p w14:paraId="0FAF096B"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256</w:t>
            </w:r>
          </w:p>
        </w:tc>
      </w:tr>
      <w:tr w:rsidR="00637E13" w:rsidRPr="00637E13" w14:paraId="0A2F7568" w14:textId="77777777" w:rsidTr="00637E13">
        <w:trPr>
          <w:trHeight w:val="283"/>
          <w:jc w:val="center"/>
        </w:trPr>
        <w:tc>
          <w:tcPr>
            <w:tcW w:w="2860" w:type="dxa"/>
            <w:tcBorders>
              <w:top w:val="nil"/>
              <w:left w:val="nil"/>
              <w:bottom w:val="nil"/>
              <w:right w:val="nil"/>
            </w:tcBorders>
            <w:shd w:val="clear" w:color="auto" w:fill="auto"/>
            <w:noWrap/>
            <w:vAlign w:val="bottom"/>
            <w:hideMark/>
          </w:tcPr>
          <w:p w14:paraId="7A5D1B4D" w14:textId="77777777" w:rsidR="00637E13" w:rsidRPr="00637E13" w:rsidRDefault="00637E13" w:rsidP="00637E13">
            <w:pPr>
              <w:spacing w:after="0"/>
              <w:ind w:leftChars="75" w:left="150"/>
              <w:rPr>
                <w:rFonts w:ascii="Arial" w:hAnsi="Arial" w:cs="Arial"/>
                <w:b/>
                <w:bCs/>
                <w:color w:val="auto"/>
                <w:sz w:val="16"/>
                <w:szCs w:val="16"/>
              </w:rPr>
            </w:pPr>
            <w:r w:rsidRPr="00637E13">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60ED568D"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32,565 </w:t>
            </w:r>
          </w:p>
        </w:tc>
        <w:tc>
          <w:tcPr>
            <w:tcW w:w="900" w:type="dxa"/>
            <w:tcBorders>
              <w:top w:val="nil"/>
              <w:left w:val="nil"/>
              <w:bottom w:val="single" w:sz="4" w:space="0" w:color="auto"/>
              <w:right w:val="nil"/>
            </w:tcBorders>
            <w:shd w:val="clear" w:color="000000" w:fill="D9D9D9"/>
            <w:noWrap/>
            <w:vAlign w:val="bottom"/>
            <w:hideMark/>
          </w:tcPr>
          <w:p w14:paraId="0C1E498D"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36,040 </w:t>
            </w:r>
          </w:p>
        </w:tc>
        <w:tc>
          <w:tcPr>
            <w:tcW w:w="900" w:type="dxa"/>
            <w:tcBorders>
              <w:top w:val="nil"/>
              <w:left w:val="nil"/>
              <w:bottom w:val="single" w:sz="4" w:space="0" w:color="auto"/>
              <w:right w:val="nil"/>
            </w:tcBorders>
            <w:shd w:val="clear" w:color="auto" w:fill="auto"/>
            <w:noWrap/>
            <w:vAlign w:val="bottom"/>
            <w:hideMark/>
          </w:tcPr>
          <w:p w14:paraId="00F85009"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37,269 </w:t>
            </w:r>
          </w:p>
        </w:tc>
        <w:tc>
          <w:tcPr>
            <w:tcW w:w="900" w:type="dxa"/>
            <w:tcBorders>
              <w:top w:val="nil"/>
              <w:left w:val="nil"/>
              <w:bottom w:val="single" w:sz="4" w:space="0" w:color="auto"/>
              <w:right w:val="nil"/>
            </w:tcBorders>
            <w:shd w:val="clear" w:color="auto" w:fill="auto"/>
            <w:noWrap/>
            <w:vAlign w:val="bottom"/>
            <w:hideMark/>
          </w:tcPr>
          <w:p w14:paraId="51232A62"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41,288 </w:t>
            </w:r>
          </w:p>
        </w:tc>
        <w:tc>
          <w:tcPr>
            <w:tcW w:w="900" w:type="dxa"/>
            <w:tcBorders>
              <w:top w:val="nil"/>
              <w:left w:val="nil"/>
              <w:bottom w:val="single" w:sz="4" w:space="0" w:color="auto"/>
              <w:right w:val="nil"/>
            </w:tcBorders>
            <w:shd w:val="clear" w:color="auto" w:fill="auto"/>
            <w:noWrap/>
            <w:vAlign w:val="bottom"/>
            <w:hideMark/>
          </w:tcPr>
          <w:p w14:paraId="4D1DC586"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41,440 </w:t>
            </w:r>
          </w:p>
        </w:tc>
      </w:tr>
      <w:tr w:rsidR="00637E13" w:rsidRPr="00637E13" w14:paraId="55B7CDF9" w14:textId="77777777" w:rsidTr="00637E13">
        <w:trPr>
          <w:trHeight w:val="283"/>
          <w:jc w:val="center"/>
        </w:trPr>
        <w:tc>
          <w:tcPr>
            <w:tcW w:w="2860" w:type="dxa"/>
            <w:tcBorders>
              <w:top w:val="nil"/>
              <w:left w:val="nil"/>
              <w:bottom w:val="single" w:sz="4" w:space="0" w:color="auto"/>
              <w:right w:val="nil"/>
            </w:tcBorders>
            <w:shd w:val="clear" w:color="auto" w:fill="auto"/>
            <w:noWrap/>
            <w:vAlign w:val="bottom"/>
            <w:hideMark/>
          </w:tcPr>
          <w:p w14:paraId="59B7D472" w14:textId="77777777" w:rsidR="00637E13" w:rsidRPr="00637E13" w:rsidRDefault="00637E13" w:rsidP="00637E13">
            <w:pPr>
              <w:spacing w:after="0"/>
              <w:rPr>
                <w:rFonts w:ascii="Arial" w:hAnsi="Arial" w:cs="Arial"/>
                <w:b/>
                <w:bCs/>
                <w:sz w:val="16"/>
                <w:szCs w:val="16"/>
              </w:rPr>
            </w:pPr>
            <w:r w:rsidRPr="00637E13">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7C5E060F"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32,565 </w:t>
            </w:r>
          </w:p>
        </w:tc>
        <w:tc>
          <w:tcPr>
            <w:tcW w:w="900" w:type="dxa"/>
            <w:tcBorders>
              <w:top w:val="nil"/>
              <w:left w:val="nil"/>
              <w:bottom w:val="single" w:sz="4" w:space="0" w:color="auto"/>
              <w:right w:val="nil"/>
            </w:tcBorders>
            <w:shd w:val="clear" w:color="000000" w:fill="D9D9D9"/>
            <w:noWrap/>
            <w:vAlign w:val="bottom"/>
            <w:hideMark/>
          </w:tcPr>
          <w:p w14:paraId="3E1B55D3"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36,040 </w:t>
            </w:r>
          </w:p>
        </w:tc>
        <w:tc>
          <w:tcPr>
            <w:tcW w:w="900" w:type="dxa"/>
            <w:tcBorders>
              <w:top w:val="nil"/>
              <w:left w:val="nil"/>
              <w:bottom w:val="single" w:sz="4" w:space="0" w:color="auto"/>
              <w:right w:val="nil"/>
            </w:tcBorders>
            <w:shd w:val="clear" w:color="auto" w:fill="auto"/>
            <w:noWrap/>
            <w:vAlign w:val="bottom"/>
            <w:hideMark/>
          </w:tcPr>
          <w:p w14:paraId="39B85A8B"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37,269 </w:t>
            </w:r>
          </w:p>
        </w:tc>
        <w:tc>
          <w:tcPr>
            <w:tcW w:w="900" w:type="dxa"/>
            <w:tcBorders>
              <w:top w:val="nil"/>
              <w:left w:val="nil"/>
              <w:bottom w:val="single" w:sz="4" w:space="0" w:color="auto"/>
              <w:right w:val="nil"/>
            </w:tcBorders>
            <w:shd w:val="clear" w:color="auto" w:fill="auto"/>
            <w:noWrap/>
            <w:vAlign w:val="bottom"/>
            <w:hideMark/>
          </w:tcPr>
          <w:p w14:paraId="707646A2"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41,288 </w:t>
            </w:r>
          </w:p>
        </w:tc>
        <w:tc>
          <w:tcPr>
            <w:tcW w:w="900" w:type="dxa"/>
            <w:tcBorders>
              <w:top w:val="nil"/>
              <w:left w:val="nil"/>
              <w:bottom w:val="single" w:sz="4" w:space="0" w:color="auto"/>
              <w:right w:val="nil"/>
            </w:tcBorders>
            <w:shd w:val="clear" w:color="auto" w:fill="auto"/>
            <w:noWrap/>
            <w:vAlign w:val="bottom"/>
            <w:hideMark/>
          </w:tcPr>
          <w:p w14:paraId="0480A147" w14:textId="77777777" w:rsidR="00637E13" w:rsidRPr="00637E13" w:rsidRDefault="00637E13" w:rsidP="00637E13">
            <w:pPr>
              <w:spacing w:after="0"/>
              <w:jc w:val="right"/>
              <w:rPr>
                <w:rFonts w:ascii="Arial" w:hAnsi="Arial" w:cs="Arial"/>
                <w:b/>
                <w:bCs/>
                <w:color w:val="auto"/>
                <w:sz w:val="16"/>
                <w:szCs w:val="16"/>
              </w:rPr>
            </w:pPr>
            <w:r w:rsidRPr="00637E13">
              <w:rPr>
                <w:rFonts w:ascii="Arial" w:hAnsi="Arial" w:cs="Arial"/>
                <w:b/>
                <w:bCs/>
                <w:color w:val="auto"/>
                <w:sz w:val="16"/>
                <w:szCs w:val="16"/>
              </w:rPr>
              <w:t xml:space="preserve">41,440 </w:t>
            </w:r>
          </w:p>
        </w:tc>
      </w:tr>
      <w:tr w:rsidR="00637E13" w:rsidRPr="00637E13" w14:paraId="2AE12487" w14:textId="77777777" w:rsidTr="00637E13">
        <w:trPr>
          <w:trHeight w:val="225"/>
          <w:jc w:val="center"/>
        </w:trPr>
        <w:tc>
          <w:tcPr>
            <w:tcW w:w="2860" w:type="dxa"/>
            <w:tcBorders>
              <w:top w:val="nil"/>
              <w:left w:val="nil"/>
              <w:bottom w:val="nil"/>
              <w:right w:val="nil"/>
            </w:tcBorders>
            <w:shd w:val="clear" w:color="auto" w:fill="auto"/>
            <w:noWrap/>
            <w:vAlign w:val="center"/>
            <w:hideMark/>
          </w:tcPr>
          <w:p w14:paraId="0765B79B" w14:textId="77777777" w:rsidR="00637E13" w:rsidRPr="00637E13" w:rsidRDefault="00637E13" w:rsidP="00637E1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441693B" w14:textId="77777777" w:rsidR="00637E13" w:rsidRPr="00637E13" w:rsidRDefault="00637E13" w:rsidP="00637E13">
            <w:pPr>
              <w:spacing w:after="0"/>
              <w:ind w:firstLineChars="100" w:firstLine="200"/>
              <w:rPr>
                <w:rFonts w:ascii="Times New Roman" w:hAnsi="Times New Roman"/>
                <w:color w:val="auto"/>
              </w:rPr>
            </w:pPr>
          </w:p>
        </w:tc>
        <w:tc>
          <w:tcPr>
            <w:tcW w:w="900" w:type="dxa"/>
            <w:tcBorders>
              <w:top w:val="nil"/>
              <w:left w:val="nil"/>
              <w:bottom w:val="nil"/>
              <w:right w:val="nil"/>
            </w:tcBorders>
            <w:shd w:val="clear" w:color="000000" w:fill="FFFFFF"/>
            <w:noWrap/>
            <w:vAlign w:val="bottom"/>
            <w:hideMark/>
          </w:tcPr>
          <w:p w14:paraId="3C6EF7EA" w14:textId="77777777" w:rsidR="00637E13" w:rsidRPr="00637E13" w:rsidRDefault="00637E13" w:rsidP="00637E13">
            <w:pPr>
              <w:spacing w:after="0"/>
              <w:jc w:val="right"/>
              <w:rPr>
                <w:rFonts w:ascii="Arial" w:hAnsi="Arial" w:cs="Arial"/>
                <w:color w:val="auto"/>
                <w:sz w:val="16"/>
                <w:szCs w:val="16"/>
              </w:rPr>
            </w:pPr>
            <w:r w:rsidRPr="00637E13">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0829B30A" w14:textId="77777777" w:rsidR="00637E13" w:rsidRPr="00637E13" w:rsidRDefault="00637E13" w:rsidP="00637E1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42C630BE" w14:textId="77777777" w:rsidR="00637E13" w:rsidRPr="00637E13" w:rsidRDefault="00637E13" w:rsidP="00637E1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4848C602" w14:textId="77777777" w:rsidR="00637E13" w:rsidRPr="00637E13" w:rsidRDefault="00637E13" w:rsidP="00637E13">
            <w:pPr>
              <w:spacing w:after="0"/>
              <w:rPr>
                <w:rFonts w:ascii="Times New Roman" w:hAnsi="Times New Roman"/>
                <w:color w:val="auto"/>
              </w:rPr>
            </w:pPr>
          </w:p>
        </w:tc>
      </w:tr>
      <w:tr w:rsidR="00637E13" w:rsidRPr="00637E13" w14:paraId="4CBCF538" w14:textId="77777777" w:rsidTr="00637E13">
        <w:trPr>
          <w:trHeight w:val="225"/>
          <w:jc w:val="center"/>
        </w:trPr>
        <w:tc>
          <w:tcPr>
            <w:tcW w:w="2860" w:type="dxa"/>
            <w:tcBorders>
              <w:top w:val="single" w:sz="4" w:space="0" w:color="auto"/>
              <w:left w:val="nil"/>
              <w:bottom w:val="nil"/>
              <w:right w:val="nil"/>
            </w:tcBorders>
            <w:shd w:val="clear" w:color="auto" w:fill="auto"/>
            <w:noWrap/>
            <w:vAlign w:val="center"/>
            <w:hideMark/>
          </w:tcPr>
          <w:p w14:paraId="1A4314CE" w14:textId="77777777" w:rsidR="00637E13" w:rsidRPr="00637E13" w:rsidRDefault="00637E13" w:rsidP="00637E13">
            <w:pPr>
              <w:spacing w:after="0"/>
              <w:rPr>
                <w:rFonts w:ascii="Arial" w:hAnsi="Arial" w:cs="Arial"/>
                <w:sz w:val="16"/>
                <w:szCs w:val="16"/>
              </w:rPr>
            </w:pPr>
            <w:r w:rsidRPr="00637E13">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1A81DA6F" w14:textId="05A801C4" w:rsidR="00637E13" w:rsidRPr="00637E13" w:rsidRDefault="004C6E42" w:rsidP="00637E13">
            <w:pPr>
              <w:spacing w:after="0"/>
              <w:jc w:val="right"/>
              <w:rPr>
                <w:rFonts w:ascii="Arial" w:hAnsi="Arial" w:cs="Arial"/>
                <w:b/>
                <w:bCs/>
                <w:color w:val="auto"/>
                <w:sz w:val="16"/>
                <w:szCs w:val="16"/>
              </w:rPr>
            </w:pPr>
            <w:r>
              <w:rPr>
                <w:rFonts w:ascii="Arial" w:hAnsi="Arial" w:cs="Arial"/>
                <w:b/>
                <w:bCs/>
                <w:color w:val="auto"/>
                <w:sz w:val="16"/>
                <w:szCs w:val="16"/>
              </w:rPr>
              <w:t>2021–</w:t>
            </w:r>
            <w:r w:rsidR="00637E13" w:rsidRPr="00637E13">
              <w:rPr>
                <w:rFonts w:ascii="Arial" w:hAnsi="Arial" w:cs="Arial"/>
                <w:b/>
                <w:bCs/>
                <w:color w:val="auto"/>
                <w:sz w:val="16"/>
                <w:szCs w:val="16"/>
              </w:rPr>
              <w:t>22</w:t>
            </w:r>
          </w:p>
        </w:tc>
        <w:tc>
          <w:tcPr>
            <w:tcW w:w="900" w:type="dxa"/>
            <w:tcBorders>
              <w:top w:val="single" w:sz="4" w:space="0" w:color="auto"/>
              <w:left w:val="nil"/>
              <w:bottom w:val="single" w:sz="4" w:space="0" w:color="auto"/>
              <w:right w:val="nil"/>
            </w:tcBorders>
            <w:shd w:val="clear" w:color="000000" w:fill="D9D9D9"/>
            <w:vAlign w:val="bottom"/>
            <w:hideMark/>
          </w:tcPr>
          <w:p w14:paraId="02A5A5A0" w14:textId="5794F643" w:rsidR="00637E13" w:rsidRPr="00637E13" w:rsidRDefault="004C6E42" w:rsidP="00637E13">
            <w:pPr>
              <w:spacing w:after="0"/>
              <w:jc w:val="right"/>
              <w:rPr>
                <w:rFonts w:ascii="Arial" w:hAnsi="Arial" w:cs="Arial"/>
                <w:b/>
                <w:bCs/>
                <w:color w:val="auto"/>
                <w:sz w:val="16"/>
                <w:szCs w:val="16"/>
              </w:rPr>
            </w:pPr>
            <w:r>
              <w:rPr>
                <w:rFonts w:ascii="Arial" w:hAnsi="Arial" w:cs="Arial"/>
                <w:b/>
                <w:bCs/>
                <w:color w:val="auto"/>
                <w:sz w:val="16"/>
                <w:szCs w:val="16"/>
              </w:rPr>
              <w:t>2022–</w:t>
            </w:r>
            <w:r w:rsidR="00637E13" w:rsidRPr="00637E13">
              <w:rPr>
                <w:rFonts w:ascii="Arial" w:hAnsi="Arial" w:cs="Arial"/>
                <w:b/>
                <w:bCs/>
                <w:color w:val="auto"/>
                <w:sz w:val="16"/>
                <w:szCs w:val="16"/>
              </w:rPr>
              <w:t>23</w:t>
            </w:r>
          </w:p>
        </w:tc>
        <w:tc>
          <w:tcPr>
            <w:tcW w:w="900" w:type="dxa"/>
            <w:tcBorders>
              <w:top w:val="nil"/>
              <w:left w:val="nil"/>
              <w:bottom w:val="nil"/>
              <w:right w:val="nil"/>
            </w:tcBorders>
            <w:shd w:val="clear" w:color="auto" w:fill="auto"/>
            <w:noWrap/>
            <w:vAlign w:val="center"/>
            <w:hideMark/>
          </w:tcPr>
          <w:p w14:paraId="27CFA1AD" w14:textId="77777777" w:rsidR="00637E13" w:rsidRPr="00637E13" w:rsidRDefault="00637E13" w:rsidP="00637E1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637A2651" w14:textId="77777777" w:rsidR="00637E13" w:rsidRPr="00637E13" w:rsidRDefault="00637E13" w:rsidP="00637E1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601CD24E" w14:textId="77777777" w:rsidR="00637E13" w:rsidRPr="00637E13" w:rsidRDefault="00637E13" w:rsidP="00637E13">
            <w:pPr>
              <w:spacing w:after="0"/>
              <w:rPr>
                <w:rFonts w:ascii="Times New Roman" w:hAnsi="Times New Roman"/>
                <w:color w:val="auto"/>
              </w:rPr>
            </w:pPr>
          </w:p>
        </w:tc>
      </w:tr>
      <w:tr w:rsidR="00637E13" w:rsidRPr="00637E13" w14:paraId="046B3B23" w14:textId="77777777" w:rsidTr="00637E13">
        <w:trPr>
          <w:trHeight w:val="225"/>
          <w:jc w:val="center"/>
        </w:trPr>
        <w:tc>
          <w:tcPr>
            <w:tcW w:w="2860" w:type="dxa"/>
            <w:tcBorders>
              <w:top w:val="nil"/>
              <w:left w:val="nil"/>
              <w:bottom w:val="single" w:sz="4" w:space="0" w:color="auto"/>
              <w:right w:val="nil"/>
            </w:tcBorders>
            <w:shd w:val="clear" w:color="000000" w:fill="FFFFFF"/>
            <w:noWrap/>
            <w:vAlign w:val="bottom"/>
            <w:hideMark/>
          </w:tcPr>
          <w:p w14:paraId="08183AFE" w14:textId="77777777" w:rsidR="00637E13" w:rsidRPr="00637E13" w:rsidRDefault="00637E13" w:rsidP="00637E13">
            <w:pPr>
              <w:spacing w:after="0"/>
              <w:rPr>
                <w:rFonts w:ascii="Arial" w:hAnsi="Arial" w:cs="Arial"/>
                <w:b/>
                <w:bCs/>
                <w:sz w:val="16"/>
                <w:szCs w:val="16"/>
              </w:rPr>
            </w:pPr>
            <w:r w:rsidRPr="00637E13">
              <w:rPr>
                <w:rFonts w:ascii="Arial" w:hAnsi="Arial" w:cs="Arial"/>
                <w:b/>
                <w:bCs/>
                <w:sz w:val="16"/>
                <w:szCs w:val="16"/>
              </w:rPr>
              <w:t xml:space="preserve">Average </w:t>
            </w:r>
            <w:r w:rsidRPr="00637E13">
              <w:rPr>
                <w:rFonts w:ascii="Arial" w:hAnsi="Arial" w:cs="Arial"/>
                <w:b/>
                <w:bCs/>
                <w:color w:val="auto"/>
                <w:sz w:val="16"/>
                <w:szCs w:val="16"/>
              </w:rPr>
              <w:t>s</w:t>
            </w:r>
            <w:r w:rsidRPr="00637E13">
              <w:rPr>
                <w:rFonts w:ascii="Arial" w:hAnsi="Arial" w:cs="Arial"/>
                <w:b/>
                <w:bCs/>
                <w:sz w:val="16"/>
                <w:szCs w:val="16"/>
              </w:rPr>
              <w:t xml:space="preserve">taffing </w:t>
            </w:r>
            <w:r w:rsidRPr="00637E13">
              <w:rPr>
                <w:rFonts w:ascii="Arial" w:hAnsi="Arial" w:cs="Arial"/>
                <w:b/>
                <w:bCs/>
                <w:color w:val="auto"/>
                <w:sz w:val="16"/>
                <w:szCs w:val="16"/>
              </w:rPr>
              <w:t>l</w:t>
            </w:r>
            <w:r w:rsidRPr="00637E13">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249BC6FE" w14:textId="77777777" w:rsidR="00637E13" w:rsidRPr="00637E13" w:rsidRDefault="00637E13" w:rsidP="00637E13">
            <w:pPr>
              <w:spacing w:after="0"/>
              <w:jc w:val="right"/>
              <w:rPr>
                <w:rFonts w:ascii="Arial" w:hAnsi="Arial" w:cs="Arial"/>
                <w:sz w:val="16"/>
                <w:szCs w:val="16"/>
              </w:rPr>
            </w:pPr>
            <w:r w:rsidRPr="00637E13">
              <w:rPr>
                <w:rFonts w:ascii="Arial" w:hAnsi="Arial" w:cs="Arial"/>
                <w:sz w:val="16"/>
                <w:szCs w:val="16"/>
              </w:rPr>
              <w:t xml:space="preserve">1 </w:t>
            </w:r>
          </w:p>
        </w:tc>
        <w:tc>
          <w:tcPr>
            <w:tcW w:w="900" w:type="dxa"/>
            <w:tcBorders>
              <w:top w:val="nil"/>
              <w:left w:val="nil"/>
              <w:bottom w:val="single" w:sz="4" w:space="0" w:color="auto"/>
              <w:right w:val="nil"/>
            </w:tcBorders>
            <w:shd w:val="clear" w:color="000000" w:fill="D9D9D9"/>
            <w:noWrap/>
            <w:vAlign w:val="bottom"/>
            <w:hideMark/>
          </w:tcPr>
          <w:p w14:paraId="072DB1E7" w14:textId="77777777" w:rsidR="00637E13" w:rsidRPr="00637E13" w:rsidRDefault="00637E13" w:rsidP="00637E13">
            <w:pPr>
              <w:spacing w:after="0"/>
              <w:jc w:val="right"/>
              <w:rPr>
                <w:rFonts w:ascii="Arial" w:hAnsi="Arial" w:cs="Arial"/>
                <w:sz w:val="16"/>
                <w:szCs w:val="16"/>
              </w:rPr>
            </w:pPr>
            <w:r w:rsidRPr="00637E13">
              <w:rPr>
                <w:rFonts w:ascii="Arial" w:hAnsi="Arial" w:cs="Arial"/>
                <w:sz w:val="16"/>
                <w:szCs w:val="16"/>
              </w:rPr>
              <w:t xml:space="preserve">1 </w:t>
            </w:r>
          </w:p>
        </w:tc>
        <w:tc>
          <w:tcPr>
            <w:tcW w:w="900" w:type="dxa"/>
            <w:tcBorders>
              <w:top w:val="nil"/>
              <w:left w:val="nil"/>
              <w:bottom w:val="nil"/>
              <w:right w:val="nil"/>
            </w:tcBorders>
            <w:shd w:val="clear" w:color="auto" w:fill="auto"/>
            <w:noWrap/>
            <w:vAlign w:val="center"/>
            <w:hideMark/>
          </w:tcPr>
          <w:p w14:paraId="7F0EA429" w14:textId="77777777" w:rsidR="00637E13" w:rsidRPr="00637E13" w:rsidRDefault="00637E13" w:rsidP="00637E1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6FBCB067" w14:textId="77777777" w:rsidR="00637E13" w:rsidRPr="00637E13" w:rsidRDefault="00637E13" w:rsidP="00637E1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34C854D5" w14:textId="77777777" w:rsidR="00637E13" w:rsidRPr="00637E13" w:rsidRDefault="00637E13" w:rsidP="00637E13">
            <w:pPr>
              <w:spacing w:after="0"/>
              <w:rPr>
                <w:rFonts w:ascii="Times New Roman" w:hAnsi="Times New Roman"/>
                <w:color w:val="auto"/>
              </w:rPr>
            </w:pPr>
          </w:p>
        </w:tc>
      </w:tr>
    </w:tbl>
    <w:p w14:paraId="36A2915F" w14:textId="3EC40B21" w:rsidR="00BC0659" w:rsidRPr="00191F54" w:rsidRDefault="00D30CD1" w:rsidP="00C32C5A">
      <w:pPr>
        <w:pStyle w:val="FootnoteText"/>
        <w:spacing w:before="120"/>
        <w:rPr>
          <w:rFonts w:cs="Arial"/>
          <w:color w:val="000000" w:themeColor="text1"/>
        </w:rPr>
      </w:pPr>
      <w:r>
        <w:rPr>
          <w:color w:val="000000" w:themeColor="text1"/>
          <w:vertAlign w:val="superscript"/>
        </w:rPr>
        <w:t>(</w:t>
      </w:r>
      <w:r w:rsidRPr="00D30CD1">
        <w:rPr>
          <w:color w:val="000000" w:themeColor="text1"/>
          <w:vertAlign w:val="superscript"/>
        </w:rPr>
        <w:t>a)</w:t>
      </w:r>
      <w:r>
        <w:rPr>
          <w:color w:val="000000" w:themeColor="text1"/>
        </w:rPr>
        <w:tab/>
      </w:r>
      <w:r w:rsidRPr="00D30CD1">
        <w:rPr>
          <w:color w:val="000000" w:themeColor="text1"/>
        </w:rPr>
        <w:t xml:space="preserve">Expenses not requiring appropriation in the </w:t>
      </w:r>
      <w:r w:rsidR="007202D2">
        <w:rPr>
          <w:color w:val="000000" w:themeColor="text1"/>
        </w:rPr>
        <w:t>B</w:t>
      </w:r>
      <w:r w:rsidRPr="00D30CD1">
        <w:rPr>
          <w:color w:val="000000" w:themeColor="text1"/>
        </w:rPr>
        <w:t>udget year are primarily comprised of staff salary and shared services received free of charge fro</w:t>
      </w:r>
      <w:r>
        <w:rPr>
          <w:color w:val="000000" w:themeColor="text1"/>
        </w:rPr>
        <w:t>m the Department of Health.</w:t>
      </w:r>
      <w:r w:rsidR="00BC0659" w:rsidRPr="00191F54">
        <w:rPr>
          <w:rFonts w:cs="Arial"/>
          <w:color w:val="000000" w:themeColor="text1"/>
        </w:rPr>
        <w:br w:type="page"/>
      </w:r>
    </w:p>
    <w:p w14:paraId="15AFC41A" w14:textId="1EE7A80E" w:rsidR="00BC0659" w:rsidRPr="00191F54" w:rsidRDefault="00216B26" w:rsidP="00BC0659">
      <w:pPr>
        <w:pStyle w:val="Heading4"/>
        <w:rPr>
          <w:color w:val="000000" w:themeColor="text1"/>
        </w:rPr>
      </w:pPr>
      <w:r>
        <w:rPr>
          <w:color w:val="000000" w:themeColor="text1"/>
        </w:rPr>
        <w:lastRenderedPageBreak/>
        <w:t>Planned Performance for</w:t>
      </w:r>
      <w:r w:rsidR="00A1203F" w:rsidRPr="00191F54">
        <w:rPr>
          <w:color w:val="000000" w:themeColor="text1"/>
        </w:rPr>
        <w:t xml:space="preserve"> </w:t>
      </w:r>
      <w:r w:rsidR="00985D08" w:rsidRPr="00191F54">
        <w:rPr>
          <w:color w:val="000000" w:themeColor="text1"/>
        </w:rPr>
        <w:t>IHPA</w:t>
      </w:r>
    </w:p>
    <w:p w14:paraId="1302E414" w14:textId="0CCECBE0" w:rsidR="00BC0659" w:rsidRPr="00191F54" w:rsidRDefault="00BC0659" w:rsidP="00BC0659">
      <w:pPr>
        <w:rPr>
          <w:i/>
          <w:color w:val="000000" w:themeColor="text1"/>
        </w:rPr>
      </w:pPr>
      <w:r w:rsidRPr="00191F54">
        <w:rPr>
          <w:color w:val="000000" w:themeColor="text1"/>
        </w:rPr>
        <w:t xml:space="preserve">Table 2.1.2 details the performance </w:t>
      </w:r>
      <w:r w:rsidR="00683FD2" w:rsidRPr="00191F54">
        <w:rPr>
          <w:color w:val="000000" w:themeColor="text1"/>
        </w:rPr>
        <w:t>measures</w:t>
      </w:r>
      <w:r w:rsidRPr="00191F54">
        <w:rPr>
          <w:color w:val="000000" w:themeColor="text1"/>
        </w:rPr>
        <w:t xml:space="preserve"> for the program associated with Outcome 1. </w:t>
      </w:r>
      <w:r w:rsidR="007310B9" w:rsidRPr="007310B9">
        <w:rPr>
          <w:color w:val="auto"/>
        </w:rPr>
        <w:t xml:space="preserve">It also provides the related key activities as expressed in the current </w:t>
      </w:r>
      <w:r w:rsidR="00561109">
        <w:rPr>
          <w:color w:val="auto"/>
        </w:rPr>
        <w:t>Corporate P</w:t>
      </w:r>
      <w:r w:rsidR="007310B9" w:rsidRPr="007310B9">
        <w:rPr>
          <w:color w:val="auto"/>
        </w:rPr>
        <w:t xml:space="preserve">lan where further detail is provided about the delivery of the activities related to the program, the context in which these activities are delivered and how the performance of these activities will be measured. </w:t>
      </w:r>
      <w:r w:rsidR="00883696">
        <w:rPr>
          <w:color w:val="auto"/>
        </w:rPr>
        <w:t>Where relevant, details of 2022–</w:t>
      </w:r>
      <w:r w:rsidR="007310B9" w:rsidRPr="007310B9">
        <w:rPr>
          <w:color w:val="auto"/>
        </w:rPr>
        <w:t>23 Budget measures that have created new programs or materially changed existing programs are provided.</w:t>
      </w:r>
    </w:p>
    <w:p w14:paraId="70F48371" w14:textId="0E9DE6D5" w:rsidR="00BC0659" w:rsidRPr="00191F54" w:rsidRDefault="00BC0659" w:rsidP="00BC0659">
      <w:pPr>
        <w:pStyle w:val="Tablenumberandreference"/>
        <w:rPr>
          <w:color w:val="000000" w:themeColor="text1"/>
        </w:rPr>
      </w:pPr>
      <w:r w:rsidRPr="00191F54">
        <w:rPr>
          <w:color w:val="000000" w:themeColor="text1"/>
        </w:rPr>
        <w:t xml:space="preserve">Table 2.1.2: Performance </w:t>
      </w:r>
      <w:r w:rsidR="00E86CDF" w:rsidRPr="00191F54">
        <w:rPr>
          <w:color w:val="000000" w:themeColor="text1"/>
        </w:rPr>
        <w:t>Measure</w:t>
      </w:r>
      <w:r w:rsidR="00BF26B6" w:rsidRPr="00191F54">
        <w:rPr>
          <w:color w:val="000000" w:themeColor="text1"/>
        </w:rPr>
        <w:t>s</w:t>
      </w:r>
      <w:r w:rsidRPr="00191F54">
        <w:rPr>
          <w:color w:val="000000" w:themeColor="text1"/>
        </w:rPr>
        <w:t xml:space="preserve"> </w:t>
      </w:r>
      <w:r w:rsidR="00216B26">
        <w:rPr>
          <w:color w:val="000000" w:themeColor="text1"/>
        </w:rPr>
        <w:t>for</w:t>
      </w:r>
      <w:r w:rsidRPr="00191F54">
        <w:rPr>
          <w:color w:val="000000" w:themeColor="text1"/>
        </w:rPr>
        <w:t xml:space="preserve"> </w:t>
      </w:r>
      <w:r w:rsidR="00985D08" w:rsidRPr="00191F54">
        <w:rPr>
          <w:color w:val="000000" w:themeColor="text1"/>
        </w:rPr>
        <w:t>IHPA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2551"/>
        <w:gridCol w:w="7"/>
        <w:gridCol w:w="2405"/>
        <w:gridCol w:w="15"/>
        <w:gridCol w:w="2410"/>
        <w:gridCol w:w="22"/>
      </w:tblGrid>
      <w:tr w:rsidR="00191F54" w:rsidRPr="00191F54" w14:paraId="56F46B03" w14:textId="77777777" w:rsidTr="006B75B7">
        <w:trPr>
          <w:jc w:val="center"/>
        </w:trPr>
        <w:tc>
          <w:tcPr>
            <w:tcW w:w="5000" w:type="pct"/>
            <w:gridSpan w:val="6"/>
            <w:shd w:val="clear" w:color="auto" w:fill="D9D9D9" w:themeFill="background1" w:themeFillShade="D9"/>
            <w:tcMar>
              <w:left w:w="85" w:type="dxa"/>
            </w:tcMar>
            <w:vAlign w:val="center"/>
          </w:tcPr>
          <w:p w14:paraId="6F637E62" w14:textId="33FAA646" w:rsidR="007D1B3A" w:rsidRPr="0077751E" w:rsidRDefault="00BC0659" w:rsidP="00C32C5A">
            <w:pPr>
              <w:pStyle w:val="Tableheadingrow9pt"/>
              <w:rPr>
                <w:color w:val="000000" w:themeColor="text1"/>
              </w:rPr>
            </w:pPr>
            <w:r w:rsidRPr="00191F54">
              <w:rPr>
                <w:color w:val="000000" w:themeColor="text1"/>
              </w:rPr>
              <w:t>Outcome 1</w:t>
            </w:r>
          </w:p>
        </w:tc>
      </w:tr>
      <w:tr w:rsidR="00191F54" w:rsidRPr="00191F54" w14:paraId="79D7713A" w14:textId="77777777" w:rsidTr="006B75B7">
        <w:trPr>
          <w:jc w:val="center"/>
        </w:trPr>
        <w:tc>
          <w:tcPr>
            <w:tcW w:w="5000" w:type="pct"/>
            <w:gridSpan w:val="6"/>
            <w:shd w:val="clear" w:color="auto" w:fill="auto"/>
            <w:tcMar>
              <w:left w:w="85" w:type="dxa"/>
            </w:tcMar>
          </w:tcPr>
          <w:p w14:paraId="79BA4434" w14:textId="215DD09D" w:rsidR="00BC0659" w:rsidRPr="00191F54" w:rsidRDefault="00985D08" w:rsidP="007D1B3A">
            <w:pPr>
              <w:pStyle w:val="Tabletextnormal9pt"/>
              <w:rPr>
                <w:rFonts w:eastAsiaTheme="minorEastAsia"/>
                <w:color w:val="000000" w:themeColor="text1"/>
              </w:rPr>
            </w:pPr>
            <w:r w:rsidRPr="00191F54">
              <w:rPr>
                <w:rFonts w:eastAsiaTheme="minorEastAsia"/>
                <w:color w:val="000000" w:themeColor="text1"/>
              </w:rPr>
              <w:t>Promote improved efficiency in, and access to, public hospital services primarily through setting efficient national prices and levels of block funding for hospital activities.</w:t>
            </w:r>
          </w:p>
        </w:tc>
      </w:tr>
      <w:tr w:rsidR="00191F54" w:rsidRPr="00191F54" w14:paraId="32E748C3" w14:textId="77777777" w:rsidTr="006B75B7">
        <w:trPr>
          <w:jc w:val="center"/>
        </w:trPr>
        <w:tc>
          <w:tcPr>
            <w:tcW w:w="5000" w:type="pct"/>
            <w:gridSpan w:val="6"/>
            <w:shd w:val="clear" w:color="auto" w:fill="D9D9D9" w:themeFill="background1" w:themeFillShade="D9"/>
            <w:tcMar>
              <w:left w:w="85" w:type="dxa"/>
            </w:tcMar>
          </w:tcPr>
          <w:p w14:paraId="591FC577" w14:textId="4ED25013" w:rsidR="00BC0659" w:rsidRPr="00191F54" w:rsidRDefault="00BC0659" w:rsidP="00000DFF">
            <w:pPr>
              <w:pStyle w:val="Tableheadingrow9pt"/>
              <w:rPr>
                <w:color w:val="000000" w:themeColor="text1"/>
              </w:rPr>
            </w:pPr>
            <w:r w:rsidRPr="00191F54">
              <w:rPr>
                <w:color w:val="000000" w:themeColor="text1"/>
              </w:rPr>
              <w:t xml:space="preserve">Program Objective – Program 1.1: </w:t>
            </w:r>
            <w:r w:rsidR="00985D08" w:rsidRPr="00191F54">
              <w:rPr>
                <w:color w:val="000000" w:themeColor="text1"/>
              </w:rPr>
              <w:t>Public Hospital Price Determinations</w:t>
            </w:r>
          </w:p>
        </w:tc>
      </w:tr>
      <w:tr w:rsidR="00191F54" w:rsidRPr="00191F54" w14:paraId="27092053" w14:textId="77777777" w:rsidTr="006B75B7">
        <w:trPr>
          <w:jc w:val="center"/>
        </w:trPr>
        <w:tc>
          <w:tcPr>
            <w:tcW w:w="5000" w:type="pct"/>
            <w:gridSpan w:val="6"/>
            <w:shd w:val="clear" w:color="auto" w:fill="auto"/>
            <w:tcMar>
              <w:left w:w="85" w:type="dxa"/>
            </w:tcMar>
          </w:tcPr>
          <w:p w14:paraId="6DDF3535" w14:textId="77777777" w:rsidR="00BC0659" w:rsidRPr="00191F54" w:rsidRDefault="00985D08" w:rsidP="00C32C5A">
            <w:pPr>
              <w:pStyle w:val="Tabletextnormal9pt"/>
              <w:rPr>
                <w:rFonts w:eastAsiaTheme="minorEastAsia"/>
                <w:color w:val="000000" w:themeColor="text1"/>
              </w:rPr>
            </w:pPr>
            <w:r w:rsidRPr="00191F54">
              <w:rPr>
                <w:rFonts w:eastAsiaTheme="minorEastAsia"/>
                <w:color w:val="000000" w:themeColor="text1"/>
              </w:rPr>
              <w:t xml:space="preserve">IHPA promotes improved efficiency in, and access to, public hospital services by providing independent advice to the Commonwealth and state and territory governments regarding the efficient price of healthcare services, and by developing and implementing robust systems to support </w:t>
            </w:r>
            <w:r w:rsidR="001019C5" w:rsidRPr="00191F54">
              <w:rPr>
                <w:color w:val="000000" w:themeColor="text1"/>
              </w:rPr>
              <w:t xml:space="preserve">activity based funding </w:t>
            </w:r>
            <w:r w:rsidRPr="00191F54">
              <w:rPr>
                <w:rFonts w:eastAsiaTheme="minorEastAsia"/>
                <w:color w:val="000000" w:themeColor="text1"/>
              </w:rPr>
              <w:t>for those services.</w:t>
            </w:r>
          </w:p>
        </w:tc>
      </w:tr>
      <w:tr w:rsidR="00191F54" w:rsidRPr="00191F54" w14:paraId="760B5210" w14:textId="77777777" w:rsidTr="006B75B7">
        <w:trPr>
          <w:jc w:val="center"/>
        </w:trPr>
        <w:tc>
          <w:tcPr>
            <w:tcW w:w="5000" w:type="pct"/>
            <w:gridSpan w:val="6"/>
            <w:shd w:val="clear" w:color="auto" w:fill="D9D9D9" w:themeFill="background1" w:themeFillShade="D9"/>
            <w:tcMar>
              <w:left w:w="85" w:type="dxa"/>
            </w:tcMar>
            <w:vAlign w:val="center"/>
          </w:tcPr>
          <w:p w14:paraId="2429E38D" w14:textId="4857BAC5" w:rsidR="007D1B3A" w:rsidRPr="00191F54" w:rsidRDefault="00DB51D3" w:rsidP="00BC0397">
            <w:pPr>
              <w:pStyle w:val="Tableheadingrow9pt"/>
              <w:rPr>
                <w:color w:val="000000" w:themeColor="text1"/>
              </w:rPr>
            </w:pPr>
            <w:r>
              <w:rPr>
                <w:color w:val="000000" w:themeColor="text1"/>
              </w:rPr>
              <w:t>Key Activities</w:t>
            </w:r>
          </w:p>
        </w:tc>
      </w:tr>
      <w:tr w:rsidR="00BC0659" w:rsidRPr="00191F54" w14:paraId="506E23B5" w14:textId="77777777" w:rsidTr="006B75B7">
        <w:trPr>
          <w:trHeight w:val="2162"/>
          <w:jc w:val="center"/>
        </w:trPr>
        <w:tc>
          <w:tcPr>
            <w:tcW w:w="5000" w:type="pct"/>
            <w:gridSpan w:val="6"/>
            <w:tcBorders>
              <w:bottom w:val="single" w:sz="4" w:space="0" w:color="auto"/>
            </w:tcBorders>
            <w:shd w:val="clear" w:color="auto" w:fill="auto"/>
            <w:tcMar>
              <w:left w:w="85" w:type="dxa"/>
            </w:tcMar>
          </w:tcPr>
          <w:p w14:paraId="0751C2D3" w14:textId="4E1550F0" w:rsidR="00BC0397" w:rsidRPr="00000DFF" w:rsidRDefault="00BC0397" w:rsidP="000A1A1D">
            <w:pPr>
              <w:pStyle w:val="ListParagraph"/>
              <w:numPr>
                <w:ilvl w:val="0"/>
                <w:numId w:val="17"/>
              </w:numPr>
              <w:tabs>
                <w:tab w:val="left" w:pos="644"/>
              </w:tabs>
              <w:autoSpaceDE w:val="0"/>
              <w:autoSpaceDN w:val="0"/>
              <w:adjustRightInd w:val="0"/>
              <w:spacing w:before="40" w:after="40"/>
              <w:ind w:left="284" w:hanging="284"/>
              <w:contextualSpacing w:val="0"/>
              <w:rPr>
                <w:rFonts w:ascii="Arial" w:hAnsi="Arial" w:cs="Arial"/>
                <w:sz w:val="18"/>
                <w:szCs w:val="18"/>
              </w:rPr>
            </w:pPr>
            <w:r w:rsidRPr="00000DFF">
              <w:rPr>
                <w:rFonts w:ascii="Arial" w:hAnsi="Arial" w:cs="Arial"/>
                <w:sz w:val="18"/>
                <w:szCs w:val="18"/>
              </w:rPr>
              <w:t>Perform pricing functions</w:t>
            </w:r>
          </w:p>
          <w:p w14:paraId="6583F986" w14:textId="0DBFE5E2" w:rsidR="00BC0397" w:rsidRPr="00000DFF" w:rsidRDefault="00F91EB8" w:rsidP="009D0F60">
            <w:pPr>
              <w:pStyle w:val="ListParagraph"/>
              <w:numPr>
                <w:ilvl w:val="0"/>
                <w:numId w:val="19"/>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Pr>
                <w:rFonts w:ascii="Arial" w:hAnsi="Arial" w:cs="Arial"/>
                <w:sz w:val="18"/>
                <w:szCs w:val="18"/>
              </w:rPr>
              <w:t>d</w:t>
            </w:r>
            <w:r w:rsidR="00BC0397" w:rsidRPr="00000DFF">
              <w:rPr>
                <w:rFonts w:ascii="Arial" w:hAnsi="Arial" w:cs="Arial"/>
                <w:sz w:val="18"/>
                <w:szCs w:val="18"/>
              </w:rPr>
              <w:t>eliver</w:t>
            </w:r>
            <w:proofErr w:type="gramEnd"/>
            <w:r w:rsidR="00BC0397" w:rsidRPr="00000DFF">
              <w:rPr>
                <w:rFonts w:ascii="Arial" w:hAnsi="Arial" w:cs="Arial"/>
                <w:sz w:val="18"/>
                <w:szCs w:val="18"/>
              </w:rPr>
              <w:t xml:space="preserve"> and publish the Pricing Framework for Australian Public Hospital Services following public consultation</w:t>
            </w:r>
            <w:r>
              <w:rPr>
                <w:rFonts w:ascii="Arial" w:hAnsi="Arial" w:cs="Arial"/>
                <w:sz w:val="18"/>
                <w:szCs w:val="18"/>
              </w:rPr>
              <w:t>,</w:t>
            </w:r>
            <w:r w:rsidR="00BC0397" w:rsidRPr="00000DFF">
              <w:rPr>
                <w:rFonts w:ascii="Arial" w:hAnsi="Arial" w:cs="Arial"/>
                <w:sz w:val="18"/>
                <w:szCs w:val="18"/>
              </w:rPr>
              <w:t xml:space="preserve"> and determine the National Efficient Price (NEP) and National Efficient Cost (NEC) for public hospital services</w:t>
            </w:r>
            <w:r>
              <w:rPr>
                <w:rFonts w:ascii="Arial" w:hAnsi="Arial" w:cs="Arial"/>
                <w:sz w:val="18"/>
                <w:szCs w:val="18"/>
              </w:rPr>
              <w:t>.</w:t>
            </w:r>
          </w:p>
          <w:p w14:paraId="130875A8" w14:textId="77777777" w:rsidR="00BC0397" w:rsidRPr="00000DFF" w:rsidRDefault="00BC0397" w:rsidP="000A1A1D">
            <w:pPr>
              <w:pStyle w:val="ListParagraph"/>
              <w:numPr>
                <w:ilvl w:val="0"/>
                <w:numId w:val="17"/>
              </w:numPr>
              <w:tabs>
                <w:tab w:val="left" w:pos="644"/>
              </w:tabs>
              <w:autoSpaceDE w:val="0"/>
              <w:autoSpaceDN w:val="0"/>
              <w:adjustRightInd w:val="0"/>
              <w:spacing w:before="40" w:after="40"/>
              <w:ind w:left="284" w:hanging="284"/>
              <w:contextualSpacing w:val="0"/>
              <w:rPr>
                <w:rFonts w:ascii="Arial" w:hAnsi="Arial" w:cs="Arial"/>
                <w:sz w:val="18"/>
                <w:szCs w:val="18"/>
              </w:rPr>
            </w:pPr>
            <w:r w:rsidRPr="00000DFF">
              <w:rPr>
                <w:rFonts w:ascii="Arial" w:hAnsi="Arial" w:cs="Arial"/>
                <w:sz w:val="18"/>
                <w:szCs w:val="18"/>
              </w:rPr>
              <w:t>Refine and develop hospital activity classification systems</w:t>
            </w:r>
          </w:p>
          <w:p w14:paraId="10AEFAD8" w14:textId="15E2D589" w:rsidR="00BC0397" w:rsidRPr="00000DFF" w:rsidRDefault="00F91EB8" w:rsidP="00F91EB8">
            <w:pPr>
              <w:pStyle w:val="ListParagraph"/>
              <w:numPr>
                <w:ilvl w:val="0"/>
                <w:numId w:val="19"/>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Pr>
                <w:rFonts w:ascii="Arial" w:hAnsi="Arial" w:cs="Arial"/>
                <w:sz w:val="18"/>
                <w:szCs w:val="18"/>
              </w:rPr>
              <w:t>r</w:t>
            </w:r>
            <w:r w:rsidR="00BC0397" w:rsidRPr="00000DFF">
              <w:rPr>
                <w:rFonts w:ascii="Arial" w:hAnsi="Arial" w:cs="Arial"/>
                <w:sz w:val="18"/>
                <w:szCs w:val="18"/>
              </w:rPr>
              <w:t>efine</w:t>
            </w:r>
            <w:proofErr w:type="gramEnd"/>
            <w:r w:rsidR="00BC0397" w:rsidRPr="00000DFF">
              <w:rPr>
                <w:rFonts w:ascii="Arial" w:hAnsi="Arial" w:cs="Arial"/>
                <w:sz w:val="18"/>
                <w:szCs w:val="18"/>
              </w:rPr>
              <w:t xml:space="preserve"> and develop classification systems and support implementation for admitted acute, mental health, subacute and non-acute, non-admitted, emergency care</w:t>
            </w:r>
            <w:r>
              <w:rPr>
                <w:rFonts w:ascii="Arial" w:hAnsi="Arial" w:cs="Arial"/>
                <w:sz w:val="18"/>
                <w:szCs w:val="18"/>
              </w:rPr>
              <w:t>,</w:t>
            </w:r>
            <w:r w:rsidR="00BC0397" w:rsidRPr="00000DFF">
              <w:rPr>
                <w:rFonts w:ascii="Arial" w:hAnsi="Arial" w:cs="Arial"/>
                <w:sz w:val="18"/>
                <w:szCs w:val="18"/>
              </w:rPr>
              <w:t xml:space="preserve"> and teaching, training and research.</w:t>
            </w:r>
          </w:p>
          <w:p w14:paraId="23D9E645" w14:textId="77777777" w:rsidR="00BC0397" w:rsidRPr="00000DFF" w:rsidRDefault="00BC0397" w:rsidP="000A1A1D">
            <w:pPr>
              <w:pStyle w:val="ListParagraph"/>
              <w:numPr>
                <w:ilvl w:val="0"/>
                <w:numId w:val="17"/>
              </w:numPr>
              <w:spacing w:before="40" w:after="40"/>
              <w:ind w:left="284" w:hanging="284"/>
              <w:contextualSpacing w:val="0"/>
              <w:rPr>
                <w:rFonts w:ascii="Arial" w:hAnsi="Arial" w:cs="Arial"/>
                <w:sz w:val="18"/>
                <w:szCs w:val="18"/>
              </w:rPr>
            </w:pPr>
            <w:r w:rsidRPr="00000DFF">
              <w:rPr>
                <w:rFonts w:ascii="Arial" w:hAnsi="Arial" w:cs="Arial"/>
                <w:sz w:val="18"/>
                <w:szCs w:val="18"/>
              </w:rPr>
              <w:t>Refine and improve hospital costing</w:t>
            </w:r>
          </w:p>
          <w:p w14:paraId="7F47027D" w14:textId="3A26B8B8" w:rsidR="00BC0397" w:rsidRPr="00000DFF" w:rsidRDefault="00F91EB8" w:rsidP="00F91EB8">
            <w:pPr>
              <w:pStyle w:val="ListParagraph"/>
              <w:numPr>
                <w:ilvl w:val="0"/>
                <w:numId w:val="19"/>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Pr>
                <w:rFonts w:ascii="Arial" w:hAnsi="Arial" w:cs="Arial"/>
                <w:sz w:val="18"/>
                <w:szCs w:val="18"/>
              </w:rPr>
              <w:t>e</w:t>
            </w:r>
            <w:r w:rsidR="00BC0397" w:rsidRPr="00000DFF">
              <w:rPr>
                <w:rFonts w:ascii="Arial" w:hAnsi="Arial" w:cs="Arial"/>
                <w:sz w:val="18"/>
                <w:szCs w:val="18"/>
              </w:rPr>
              <w:t>stablish</w:t>
            </w:r>
            <w:proofErr w:type="gramEnd"/>
            <w:r w:rsidR="00BC0397" w:rsidRPr="00000DFF">
              <w:rPr>
                <w:rFonts w:ascii="Arial" w:hAnsi="Arial" w:cs="Arial"/>
                <w:sz w:val="18"/>
                <w:szCs w:val="18"/>
              </w:rPr>
              <w:t xml:space="preserve"> and maintain national costing standards, and ensure effective collection and processing of costing information to support activity based funding outcomes.</w:t>
            </w:r>
          </w:p>
          <w:p w14:paraId="6237759C" w14:textId="77777777" w:rsidR="00BC0397" w:rsidRPr="00000DFF" w:rsidRDefault="00BC0397" w:rsidP="000A1A1D">
            <w:pPr>
              <w:pStyle w:val="ListParagraph"/>
              <w:numPr>
                <w:ilvl w:val="0"/>
                <w:numId w:val="17"/>
              </w:numPr>
              <w:tabs>
                <w:tab w:val="left" w:pos="644"/>
              </w:tabs>
              <w:autoSpaceDE w:val="0"/>
              <w:autoSpaceDN w:val="0"/>
              <w:adjustRightInd w:val="0"/>
              <w:spacing w:before="40" w:after="40"/>
              <w:ind w:left="284" w:hanging="284"/>
              <w:contextualSpacing w:val="0"/>
              <w:rPr>
                <w:rFonts w:ascii="Arial" w:hAnsi="Arial" w:cs="Arial"/>
                <w:sz w:val="18"/>
                <w:szCs w:val="18"/>
              </w:rPr>
            </w:pPr>
            <w:r w:rsidRPr="00000DFF">
              <w:rPr>
                <w:rFonts w:ascii="Arial" w:hAnsi="Arial" w:cs="Arial"/>
                <w:sz w:val="18"/>
                <w:szCs w:val="18"/>
              </w:rPr>
              <w:t>Determine data requirements and collect data</w:t>
            </w:r>
          </w:p>
          <w:p w14:paraId="365AAE04" w14:textId="7E05EBCA" w:rsidR="00BC0397" w:rsidRPr="00000DFF" w:rsidRDefault="00F91EB8" w:rsidP="00F91EB8">
            <w:pPr>
              <w:pStyle w:val="ListParagraph"/>
              <w:numPr>
                <w:ilvl w:val="0"/>
                <w:numId w:val="19"/>
              </w:numPr>
              <w:tabs>
                <w:tab w:val="left" w:pos="644"/>
              </w:tabs>
              <w:autoSpaceDE w:val="0"/>
              <w:autoSpaceDN w:val="0"/>
              <w:adjustRightInd w:val="0"/>
              <w:spacing w:before="40" w:after="40"/>
              <w:ind w:left="568" w:hanging="284"/>
              <w:contextualSpacing w:val="0"/>
              <w:rPr>
                <w:rFonts w:ascii="Arial" w:hAnsi="Arial" w:cs="Arial"/>
                <w:sz w:val="18"/>
                <w:szCs w:val="18"/>
              </w:rPr>
            </w:pPr>
            <w:proofErr w:type="gramStart"/>
            <w:r>
              <w:rPr>
                <w:rFonts w:ascii="Arial" w:hAnsi="Arial" w:cs="Arial"/>
                <w:sz w:val="18"/>
                <w:szCs w:val="18"/>
              </w:rPr>
              <w:t>d</w:t>
            </w:r>
            <w:r w:rsidR="00BC0397" w:rsidRPr="00000DFF">
              <w:rPr>
                <w:rFonts w:ascii="Arial" w:hAnsi="Arial" w:cs="Arial"/>
                <w:sz w:val="18"/>
                <w:szCs w:val="18"/>
              </w:rPr>
              <w:t>evelop</w:t>
            </w:r>
            <w:proofErr w:type="gramEnd"/>
            <w:r w:rsidR="00BC0397" w:rsidRPr="00000DFF">
              <w:rPr>
                <w:rFonts w:ascii="Arial" w:hAnsi="Arial" w:cs="Arial"/>
                <w:sz w:val="18"/>
                <w:szCs w:val="18"/>
              </w:rPr>
              <w:t xml:space="preserve"> and maintain standards for activity data collections. Requirements will be outlined and published through a </w:t>
            </w:r>
            <w:r>
              <w:rPr>
                <w:rFonts w:ascii="Arial" w:hAnsi="Arial" w:cs="Arial"/>
                <w:sz w:val="18"/>
                <w:szCs w:val="18"/>
              </w:rPr>
              <w:t xml:space="preserve">3 </w:t>
            </w:r>
            <w:r w:rsidR="00BC0397" w:rsidRPr="00000DFF">
              <w:rPr>
                <w:rFonts w:ascii="Arial" w:hAnsi="Arial" w:cs="Arial"/>
                <w:sz w:val="18"/>
                <w:szCs w:val="18"/>
              </w:rPr>
              <w:t xml:space="preserve">year rolling data plan. </w:t>
            </w:r>
          </w:p>
          <w:p w14:paraId="5D59CF13" w14:textId="482B06AA" w:rsidR="00BC0397" w:rsidRPr="00000DFF" w:rsidRDefault="00BC0397" w:rsidP="000A1A1D">
            <w:pPr>
              <w:pStyle w:val="ListParagraph"/>
              <w:numPr>
                <w:ilvl w:val="0"/>
                <w:numId w:val="17"/>
              </w:numPr>
              <w:spacing w:before="40" w:after="40"/>
              <w:ind w:left="284" w:hanging="284"/>
              <w:contextualSpacing w:val="0"/>
              <w:rPr>
                <w:rFonts w:ascii="Arial" w:hAnsi="Arial" w:cs="Arial"/>
                <w:sz w:val="18"/>
                <w:szCs w:val="18"/>
              </w:rPr>
            </w:pPr>
            <w:r w:rsidRPr="00000DFF">
              <w:rPr>
                <w:rFonts w:ascii="Arial" w:hAnsi="Arial" w:cs="Arial"/>
                <w:sz w:val="18"/>
                <w:szCs w:val="18"/>
              </w:rPr>
              <w:t xml:space="preserve">Investigate and make recommendations concerning cost-shifting disputes and </w:t>
            </w:r>
            <w:r w:rsidR="00F91EB8">
              <w:rPr>
                <w:rFonts w:ascii="Arial" w:hAnsi="Arial" w:cs="Arial"/>
                <w:sz w:val="18"/>
                <w:szCs w:val="18"/>
              </w:rPr>
              <w:br/>
            </w:r>
            <w:r w:rsidRPr="00000DFF">
              <w:rPr>
                <w:rFonts w:ascii="Arial" w:hAnsi="Arial" w:cs="Arial"/>
                <w:sz w:val="18"/>
                <w:szCs w:val="18"/>
              </w:rPr>
              <w:t>cross-border disputes between states and territories</w:t>
            </w:r>
            <w:r w:rsidR="00F91EB8">
              <w:rPr>
                <w:rFonts w:ascii="Arial" w:hAnsi="Arial" w:cs="Arial"/>
                <w:sz w:val="18"/>
                <w:szCs w:val="18"/>
              </w:rPr>
              <w:t>.</w:t>
            </w:r>
          </w:p>
          <w:p w14:paraId="44ECEDDD" w14:textId="75260B03" w:rsidR="003074FF" w:rsidRPr="00DB51D3" w:rsidRDefault="00BC0397" w:rsidP="000A1A1D">
            <w:pPr>
              <w:pStyle w:val="ListParagraph"/>
              <w:numPr>
                <w:ilvl w:val="0"/>
                <w:numId w:val="17"/>
              </w:numPr>
              <w:tabs>
                <w:tab w:val="left" w:pos="644"/>
              </w:tabs>
              <w:autoSpaceDE w:val="0"/>
              <w:autoSpaceDN w:val="0"/>
              <w:adjustRightInd w:val="0"/>
              <w:spacing w:before="40" w:after="40"/>
              <w:ind w:left="284" w:hanging="284"/>
              <w:contextualSpacing w:val="0"/>
              <w:rPr>
                <w:rFonts w:ascii="ArialMT" w:hAnsi="ArialMT" w:cs="ArialMT"/>
              </w:rPr>
            </w:pPr>
            <w:r w:rsidRPr="00000DFF">
              <w:rPr>
                <w:rFonts w:ascii="Arial" w:hAnsi="Arial" w:cs="Arial"/>
                <w:sz w:val="18"/>
                <w:szCs w:val="18"/>
              </w:rPr>
              <w:t>Conduct independent and transparent decision</w:t>
            </w:r>
            <w:r w:rsidR="00F91EB8">
              <w:rPr>
                <w:rFonts w:ascii="Arial" w:hAnsi="Arial" w:cs="Arial"/>
                <w:sz w:val="18"/>
                <w:szCs w:val="18"/>
              </w:rPr>
              <w:t xml:space="preserve"> </w:t>
            </w:r>
            <w:r w:rsidRPr="00000DFF">
              <w:rPr>
                <w:rFonts w:ascii="Arial" w:hAnsi="Arial" w:cs="Arial"/>
                <w:sz w:val="18"/>
                <w:szCs w:val="18"/>
              </w:rPr>
              <w:t>making</w:t>
            </w:r>
            <w:r w:rsidR="00D81C4A">
              <w:rPr>
                <w:rFonts w:ascii="Arial" w:hAnsi="Arial" w:cs="Arial"/>
                <w:sz w:val="18"/>
                <w:szCs w:val="18"/>
              </w:rPr>
              <w:t>,</w:t>
            </w:r>
            <w:r w:rsidRPr="00000DFF">
              <w:rPr>
                <w:rFonts w:ascii="Arial" w:hAnsi="Arial" w:cs="Arial"/>
                <w:sz w:val="18"/>
                <w:szCs w:val="18"/>
              </w:rPr>
              <w:t xml:space="preserve"> and engage with stakeholders</w:t>
            </w:r>
            <w:r w:rsidR="00F91EB8">
              <w:rPr>
                <w:rFonts w:ascii="Arial" w:hAnsi="Arial" w:cs="Arial"/>
                <w:sz w:val="18"/>
                <w:szCs w:val="18"/>
              </w:rPr>
              <w:t>.</w:t>
            </w:r>
          </w:p>
        </w:tc>
      </w:tr>
      <w:tr w:rsidR="00191F54" w:rsidRPr="00191F54" w14:paraId="35024383" w14:textId="77777777" w:rsidTr="006B75B7">
        <w:trPr>
          <w:trHeight w:val="104"/>
          <w:jc w:val="center"/>
        </w:trPr>
        <w:tc>
          <w:tcPr>
            <w:tcW w:w="5000" w:type="pct"/>
            <w:gridSpan w:val="6"/>
            <w:shd w:val="clear" w:color="auto" w:fill="D9D9D9" w:themeFill="background1" w:themeFillShade="D9"/>
            <w:tcMar>
              <w:left w:w="85" w:type="dxa"/>
            </w:tcMar>
          </w:tcPr>
          <w:p w14:paraId="79FB33E1" w14:textId="33BF0561" w:rsidR="00DB51D3" w:rsidRPr="00191F54" w:rsidRDefault="00BC0659" w:rsidP="006B75B7">
            <w:pPr>
              <w:pStyle w:val="Tableheadingrow9pt"/>
              <w:keepNext/>
              <w:keepLines/>
              <w:rPr>
                <w:color w:val="000000" w:themeColor="text1"/>
              </w:rPr>
            </w:pPr>
            <w:r w:rsidRPr="00191F54">
              <w:rPr>
                <w:color w:val="000000" w:themeColor="text1"/>
              </w:rPr>
              <w:t>Performance</w:t>
            </w:r>
            <w:r w:rsidR="002768D6" w:rsidRPr="00191F54">
              <w:rPr>
                <w:color w:val="000000" w:themeColor="text1"/>
              </w:rPr>
              <w:t xml:space="preserve"> Measure</w:t>
            </w:r>
            <w:r w:rsidR="0057586E" w:rsidRPr="00191F54">
              <w:rPr>
                <w:color w:val="000000" w:themeColor="text1"/>
              </w:rPr>
              <w:t>s</w:t>
            </w:r>
          </w:p>
        </w:tc>
      </w:tr>
      <w:tr w:rsidR="00191F54" w:rsidRPr="00191F54" w14:paraId="0EA6206E" w14:textId="77777777" w:rsidTr="006B75B7">
        <w:tblPrEx>
          <w:tblCellMar>
            <w:top w:w="0" w:type="dxa"/>
            <w:left w:w="108" w:type="dxa"/>
            <w:bottom w:w="0" w:type="dxa"/>
            <w:right w:w="108" w:type="dxa"/>
          </w:tblCellMar>
        </w:tblPrEx>
        <w:trPr>
          <w:trHeight w:val="283"/>
          <w:jc w:val="center"/>
        </w:trPr>
        <w:tc>
          <w:tcPr>
            <w:tcW w:w="5000" w:type="pct"/>
            <w:gridSpan w:val="6"/>
            <w:shd w:val="clear" w:color="auto" w:fill="D9D9D9" w:themeFill="background1" w:themeFillShade="D9"/>
            <w:tcMar>
              <w:left w:w="85" w:type="dxa"/>
            </w:tcMar>
          </w:tcPr>
          <w:p w14:paraId="32E4CD56" w14:textId="7668CD23" w:rsidR="00DB51D3" w:rsidRPr="00A673DE" w:rsidRDefault="00985D08" w:rsidP="00DB51D3">
            <w:pPr>
              <w:pStyle w:val="Tableheadingrowmeasures85pt"/>
              <w:rPr>
                <w:color w:val="000000" w:themeColor="text1"/>
              </w:rPr>
            </w:pPr>
            <w:r w:rsidRPr="00191F54">
              <w:rPr>
                <w:color w:val="000000" w:themeColor="text1"/>
              </w:rPr>
              <w:t>Publish the Pricing Framework for Australian Public Hospital Services</w:t>
            </w:r>
            <w:r w:rsidRPr="00191F54">
              <w:rPr>
                <w:i/>
                <w:color w:val="000000" w:themeColor="text1"/>
              </w:rPr>
              <w:t xml:space="preserve"> </w:t>
            </w:r>
            <w:r w:rsidRPr="00191F54">
              <w:rPr>
                <w:color w:val="000000" w:themeColor="text1"/>
              </w:rPr>
              <w:t>(Pricing Framework) outlining the principles, scope and me</w:t>
            </w:r>
            <w:r w:rsidR="001019C5" w:rsidRPr="00191F54">
              <w:rPr>
                <w:color w:val="000000" w:themeColor="text1"/>
              </w:rPr>
              <w:t>thodology to be adopted in the d</w:t>
            </w:r>
            <w:r w:rsidRPr="00191F54">
              <w:rPr>
                <w:color w:val="000000" w:themeColor="text1"/>
              </w:rPr>
              <w:t>etermination of the NEP and NEC.</w:t>
            </w:r>
          </w:p>
        </w:tc>
      </w:tr>
      <w:tr w:rsidR="00AA4DB3" w:rsidRPr="00191F54" w14:paraId="3F55C734" w14:textId="77777777" w:rsidTr="006B75B7">
        <w:tblPrEx>
          <w:tblCellMar>
            <w:top w:w="0" w:type="dxa"/>
            <w:left w:w="108" w:type="dxa"/>
            <w:bottom w:w="0" w:type="dxa"/>
            <w:right w:w="108" w:type="dxa"/>
          </w:tblCellMar>
        </w:tblPrEx>
        <w:trPr>
          <w:trHeight w:val="283"/>
          <w:jc w:val="center"/>
        </w:trPr>
        <w:tc>
          <w:tcPr>
            <w:tcW w:w="1726" w:type="pct"/>
            <w:gridSpan w:val="2"/>
            <w:tcMar>
              <w:left w:w="85" w:type="dxa"/>
            </w:tcMar>
          </w:tcPr>
          <w:p w14:paraId="1636DAAE" w14:textId="5C08BC4F" w:rsidR="00AA4DB3" w:rsidRPr="00191F54" w:rsidRDefault="00883696" w:rsidP="00AA4DB3">
            <w:pPr>
              <w:pStyle w:val="Tableheadingrowmeasures85pt"/>
              <w:keepNext/>
              <w:rPr>
                <w:color w:val="000000" w:themeColor="text1"/>
              </w:rPr>
            </w:pPr>
            <w:r>
              <w:t>Current Year</w:t>
            </w:r>
            <w:r>
              <w:br/>
              <w:t>2021–</w:t>
            </w:r>
            <w:r w:rsidR="00AA4DB3">
              <w:t>22 Expected Performance</w:t>
            </w:r>
            <w:r w:rsidR="00AA4DB3" w:rsidRPr="00C004D1">
              <w:t xml:space="preserve"> </w:t>
            </w:r>
            <w:r w:rsidR="00AA4DB3">
              <w:t>R</w:t>
            </w:r>
            <w:r w:rsidR="00AA4DB3" w:rsidRPr="00C004D1">
              <w:t>esult</w:t>
            </w:r>
            <w:r w:rsidR="00AA4DB3">
              <w:t>s</w:t>
            </w:r>
          </w:p>
        </w:tc>
        <w:tc>
          <w:tcPr>
            <w:tcW w:w="1633" w:type="pct"/>
            <w:gridSpan w:val="2"/>
            <w:shd w:val="clear" w:color="auto" w:fill="auto"/>
            <w:tcMar>
              <w:left w:w="85" w:type="dxa"/>
            </w:tcMar>
          </w:tcPr>
          <w:p w14:paraId="516FF9F6" w14:textId="3F29CB40" w:rsidR="00AA4DB3" w:rsidRPr="00191F54" w:rsidRDefault="00AA4DB3" w:rsidP="00AA4DB3">
            <w:pPr>
              <w:pStyle w:val="Tableheadingrowmeasures85pt"/>
              <w:keepNext/>
              <w:rPr>
                <w:color w:val="000000" w:themeColor="text1"/>
              </w:rPr>
            </w:pPr>
            <w:r>
              <w:t>Budget Year</w:t>
            </w:r>
            <w:r>
              <w:br/>
            </w:r>
            <w:r w:rsidR="00883696">
              <w:t>2022–</w:t>
            </w:r>
            <w:r>
              <w:t xml:space="preserve">23 Planned Performance Results </w:t>
            </w:r>
          </w:p>
        </w:tc>
        <w:tc>
          <w:tcPr>
            <w:tcW w:w="1641" w:type="pct"/>
            <w:gridSpan w:val="2"/>
            <w:shd w:val="clear" w:color="auto" w:fill="auto"/>
            <w:tcMar>
              <w:left w:w="85" w:type="dxa"/>
            </w:tcMar>
          </w:tcPr>
          <w:p w14:paraId="4FD52769" w14:textId="1DEED749" w:rsidR="00AA4DB3" w:rsidRPr="00191F54" w:rsidRDefault="00AA4DB3" w:rsidP="00AA4DB3">
            <w:pPr>
              <w:pStyle w:val="Tableheadingrowmeasures85pt"/>
              <w:keepNext/>
              <w:rPr>
                <w:color w:val="000000" w:themeColor="text1"/>
              </w:rPr>
            </w:pPr>
            <w:r>
              <w:t>Forward Estimates</w:t>
            </w:r>
            <w:r>
              <w:br/>
            </w:r>
            <w:r w:rsidR="00883696">
              <w:t>2023–</w:t>
            </w:r>
            <w:r w:rsidRPr="00C004D1">
              <w:t>2</w:t>
            </w:r>
            <w:r>
              <w:t>6</w:t>
            </w:r>
            <w:r w:rsidRPr="00C004D1">
              <w:t xml:space="preserve"> </w:t>
            </w:r>
            <w:r>
              <w:t>Planned Performance Results</w:t>
            </w:r>
          </w:p>
        </w:tc>
      </w:tr>
      <w:tr w:rsidR="00191F54" w:rsidRPr="00191F54" w14:paraId="39A2140F" w14:textId="77777777" w:rsidTr="006B75B7">
        <w:tblPrEx>
          <w:tblCellMar>
            <w:top w:w="0" w:type="dxa"/>
            <w:left w:w="108" w:type="dxa"/>
            <w:bottom w:w="0" w:type="dxa"/>
            <w:right w:w="108" w:type="dxa"/>
          </w:tblCellMar>
        </w:tblPrEx>
        <w:trPr>
          <w:trHeight w:val="283"/>
          <w:jc w:val="center"/>
        </w:trPr>
        <w:tc>
          <w:tcPr>
            <w:tcW w:w="1726" w:type="pct"/>
            <w:gridSpan w:val="2"/>
            <w:tcMar>
              <w:left w:w="85" w:type="dxa"/>
            </w:tcMar>
          </w:tcPr>
          <w:p w14:paraId="58C7EA7C" w14:textId="08D9C74D" w:rsidR="00E866CB" w:rsidRPr="00191F54" w:rsidRDefault="00A673DE" w:rsidP="00DE428D">
            <w:pPr>
              <w:pStyle w:val="Tabletextmeasures85pt"/>
              <w:rPr>
                <w:color w:val="000000" w:themeColor="text1"/>
              </w:rPr>
            </w:pPr>
            <w:r w:rsidRPr="00191F54">
              <w:rPr>
                <w:color w:val="000000" w:themeColor="text1"/>
              </w:rPr>
              <w:t>Publish</w:t>
            </w:r>
            <w:r w:rsidR="00935F1F">
              <w:rPr>
                <w:color w:val="000000" w:themeColor="text1"/>
              </w:rPr>
              <w:t>ed</w:t>
            </w:r>
            <w:r w:rsidRPr="00191F54">
              <w:rPr>
                <w:color w:val="000000" w:themeColor="text1"/>
              </w:rPr>
              <w:t xml:space="preserve"> the Pricing Framework by 31 December</w:t>
            </w:r>
            <w:r>
              <w:rPr>
                <w:color w:val="000000" w:themeColor="text1"/>
              </w:rPr>
              <w:t xml:space="preserve"> 2021</w:t>
            </w:r>
            <w:r w:rsidRPr="00191F54">
              <w:rPr>
                <w:color w:val="000000" w:themeColor="text1"/>
              </w:rPr>
              <w:t>.</w:t>
            </w:r>
          </w:p>
        </w:tc>
        <w:tc>
          <w:tcPr>
            <w:tcW w:w="1633" w:type="pct"/>
            <w:gridSpan w:val="2"/>
            <w:shd w:val="clear" w:color="auto" w:fill="auto"/>
            <w:tcMar>
              <w:left w:w="85" w:type="dxa"/>
            </w:tcMar>
          </w:tcPr>
          <w:p w14:paraId="087B73A9" w14:textId="77777777" w:rsidR="00AE4EC1" w:rsidRPr="00191F54" w:rsidRDefault="00985D08" w:rsidP="00CC6280">
            <w:pPr>
              <w:pStyle w:val="Tabletextmeasures85pt"/>
              <w:rPr>
                <w:color w:val="000000" w:themeColor="text1"/>
              </w:rPr>
            </w:pPr>
            <w:r w:rsidRPr="00191F54">
              <w:rPr>
                <w:color w:val="000000" w:themeColor="text1"/>
              </w:rPr>
              <w:t>Publish the Pricing Framework annually by 31 December.</w:t>
            </w:r>
          </w:p>
        </w:tc>
        <w:tc>
          <w:tcPr>
            <w:tcW w:w="1641" w:type="pct"/>
            <w:gridSpan w:val="2"/>
            <w:shd w:val="clear" w:color="auto" w:fill="auto"/>
            <w:tcMar>
              <w:left w:w="85" w:type="dxa"/>
            </w:tcMar>
          </w:tcPr>
          <w:p w14:paraId="529B9602" w14:textId="53413199" w:rsidR="00AA4DB3" w:rsidRPr="00A673DE" w:rsidRDefault="00883696" w:rsidP="00AA4DB3">
            <w:pPr>
              <w:pStyle w:val="Tabletextmeasures85pt"/>
              <w:rPr>
                <w:color w:val="000000" w:themeColor="text1"/>
              </w:rPr>
            </w:pPr>
            <w:r>
              <w:rPr>
                <w:color w:val="000000" w:themeColor="text1"/>
              </w:rPr>
              <w:t>As per 2022–</w:t>
            </w:r>
            <w:r w:rsidR="00A673DE" w:rsidRPr="00A673DE">
              <w:rPr>
                <w:color w:val="000000" w:themeColor="text1"/>
              </w:rPr>
              <w:t>23</w:t>
            </w:r>
            <w:r w:rsidR="00A673DE">
              <w:rPr>
                <w:color w:val="000000" w:themeColor="text1"/>
              </w:rPr>
              <w:t>.</w:t>
            </w:r>
          </w:p>
          <w:p w14:paraId="0310E15B" w14:textId="4E3A7B6D" w:rsidR="00BC0659" w:rsidRPr="00191F54" w:rsidRDefault="00BC0659" w:rsidP="006E0308">
            <w:pPr>
              <w:pStyle w:val="Tabletextmeasures85pt"/>
              <w:rPr>
                <w:color w:val="000000" w:themeColor="text1"/>
                <w:highlight w:val="yellow"/>
              </w:rPr>
            </w:pPr>
          </w:p>
        </w:tc>
      </w:tr>
      <w:tr w:rsidR="00191F54" w:rsidRPr="00191F54" w14:paraId="02A604AF" w14:textId="77777777" w:rsidTr="006B75B7">
        <w:tblPrEx>
          <w:tblCellMar>
            <w:top w:w="0" w:type="dxa"/>
            <w:left w:w="108" w:type="dxa"/>
            <w:bottom w:w="0" w:type="dxa"/>
            <w:right w:w="108" w:type="dxa"/>
          </w:tblCellMar>
        </w:tblPrEx>
        <w:trPr>
          <w:trHeight w:val="70"/>
          <w:jc w:val="center"/>
        </w:trPr>
        <w:tc>
          <w:tcPr>
            <w:tcW w:w="5000" w:type="pct"/>
            <w:gridSpan w:val="6"/>
            <w:shd w:val="clear" w:color="auto" w:fill="D9D9D9" w:themeFill="background1" w:themeFillShade="D9"/>
            <w:tcMar>
              <w:left w:w="85" w:type="dxa"/>
            </w:tcMar>
            <w:vAlign w:val="center"/>
          </w:tcPr>
          <w:p w14:paraId="19E85F8B" w14:textId="03318E94" w:rsidR="00DB51D3" w:rsidRPr="00191F54" w:rsidRDefault="001019C5" w:rsidP="00DB51D3">
            <w:pPr>
              <w:pStyle w:val="Tableheadingrowmeasures85pt"/>
              <w:rPr>
                <w:color w:val="000000" w:themeColor="text1"/>
              </w:rPr>
            </w:pPr>
            <w:r w:rsidRPr="00191F54">
              <w:rPr>
                <w:color w:val="000000" w:themeColor="text1"/>
              </w:rPr>
              <w:lastRenderedPageBreak/>
              <w:t>Publish an annual d</w:t>
            </w:r>
            <w:r w:rsidR="000F6489" w:rsidRPr="00191F54">
              <w:rPr>
                <w:color w:val="000000" w:themeColor="text1"/>
              </w:rPr>
              <w:t>etermination of the NEP and NEC for the coming financial year, along with other information supporting the efficient funding of public hospital services</w:t>
            </w:r>
            <w:r w:rsidR="001519C3" w:rsidRPr="00191F54">
              <w:rPr>
                <w:color w:val="000000" w:themeColor="text1"/>
              </w:rPr>
              <w:t>.</w:t>
            </w:r>
          </w:p>
        </w:tc>
      </w:tr>
      <w:tr w:rsidR="00AA4DB3" w:rsidRPr="00191F54" w14:paraId="22994049" w14:textId="77777777" w:rsidTr="006B75B7">
        <w:tblPrEx>
          <w:tblCellMar>
            <w:top w:w="0" w:type="dxa"/>
            <w:left w:w="108" w:type="dxa"/>
            <w:bottom w:w="0" w:type="dxa"/>
            <w:right w:w="108" w:type="dxa"/>
          </w:tblCellMar>
        </w:tblPrEx>
        <w:trPr>
          <w:trHeight w:val="283"/>
          <w:jc w:val="center"/>
        </w:trPr>
        <w:tc>
          <w:tcPr>
            <w:tcW w:w="1726" w:type="pct"/>
            <w:gridSpan w:val="2"/>
            <w:tcMar>
              <w:left w:w="85" w:type="dxa"/>
            </w:tcMar>
          </w:tcPr>
          <w:p w14:paraId="360E4EFE" w14:textId="3A0F9430" w:rsidR="00AA4DB3" w:rsidRPr="00191F54" w:rsidRDefault="00883696" w:rsidP="00AA4DB3">
            <w:pPr>
              <w:pStyle w:val="Tableheadingrowmeasures85pt"/>
              <w:keepNext/>
              <w:rPr>
                <w:color w:val="000000" w:themeColor="text1"/>
              </w:rPr>
            </w:pPr>
            <w:r>
              <w:t>Current Year</w:t>
            </w:r>
            <w:r>
              <w:br/>
              <w:t>2021–</w:t>
            </w:r>
            <w:r w:rsidR="00AA4DB3">
              <w:t>22 Expected Performance</w:t>
            </w:r>
            <w:r w:rsidR="00AA4DB3" w:rsidRPr="00C004D1">
              <w:t xml:space="preserve"> </w:t>
            </w:r>
            <w:r w:rsidR="00AA4DB3">
              <w:t>R</w:t>
            </w:r>
            <w:r w:rsidR="00AA4DB3" w:rsidRPr="00C004D1">
              <w:t>esult</w:t>
            </w:r>
            <w:r w:rsidR="00AA4DB3">
              <w:t>s</w:t>
            </w:r>
          </w:p>
        </w:tc>
        <w:tc>
          <w:tcPr>
            <w:tcW w:w="1633" w:type="pct"/>
            <w:gridSpan w:val="2"/>
            <w:shd w:val="clear" w:color="auto" w:fill="auto"/>
            <w:tcMar>
              <w:left w:w="85" w:type="dxa"/>
            </w:tcMar>
          </w:tcPr>
          <w:p w14:paraId="5DF94090" w14:textId="4D255FAB" w:rsidR="00AA4DB3" w:rsidRPr="00191F54" w:rsidRDefault="00883696" w:rsidP="00AA4DB3">
            <w:pPr>
              <w:pStyle w:val="Tableheadingrowmeasures85pt"/>
              <w:keepNext/>
              <w:rPr>
                <w:color w:val="000000" w:themeColor="text1"/>
              </w:rPr>
            </w:pPr>
            <w:r>
              <w:t>Budget Year</w:t>
            </w:r>
            <w:r>
              <w:br/>
              <w:t>2022–</w:t>
            </w:r>
            <w:r w:rsidR="00AA4DB3">
              <w:t xml:space="preserve">23 Planned Performance Results </w:t>
            </w:r>
          </w:p>
        </w:tc>
        <w:tc>
          <w:tcPr>
            <w:tcW w:w="1641" w:type="pct"/>
            <w:gridSpan w:val="2"/>
            <w:shd w:val="clear" w:color="auto" w:fill="auto"/>
            <w:tcMar>
              <w:left w:w="85" w:type="dxa"/>
            </w:tcMar>
          </w:tcPr>
          <w:p w14:paraId="3E2EC06F" w14:textId="5FE7CBBC" w:rsidR="00AA4DB3" w:rsidRPr="00191F54" w:rsidRDefault="00AA4DB3" w:rsidP="00AA4DB3">
            <w:pPr>
              <w:pStyle w:val="Tableheadingrowmeasures85pt"/>
              <w:keepNext/>
              <w:rPr>
                <w:color w:val="000000" w:themeColor="text1"/>
              </w:rPr>
            </w:pPr>
            <w:r>
              <w:t>Forward Estimates</w:t>
            </w:r>
            <w:r>
              <w:br/>
            </w:r>
            <w:r w:rsidR="00883696">
              <w:t>2023–</w:t>
            </w:r>
            <w:r w:rsidRPr="00C004D1">
              <w:t>2</w:t>
            </w:r>
            <w:r>
              <w:t>6</w:t>
            </w:r>
            <w:r w:rsidRPr="00C004D1">
              <w:t xml:space="preserve"> </w:t>
            </w:r>
            <w:r>
              <w:t>Planned Performance Results</w:t>
            </w:r>
          </w:p>
        </w:tc>
      </w:tr>
      <w:tr w:rsidR="00191F54" w:rsidRPr="00191F54" w14:paraId="7D719847" w14:textId="77777777" w:rsidTr="006B75B7">
        <w:tblPrEx>
          <w:tblCellMar>
            <w:top w:w="0" w:type="dxa"/>
            <w:left w:w="108" w:type="dxa"/>
            <w:bottom w:w="0" w:type="dxa"/>
            <w:right w:w="108" w:type="dxa"/>
          </w:tblCellMar>
        </w:tblPrEx>
        <w:trPr>
          <w:trHeight w:val="283"/>
          <w:jc w:val="center"/>
        </w:trPr>
        <w:tc>
          <w:tcPr>
            <w:tcW w:w="1726" w:type="pct"/>
            <w:gridSpan w:val="2"/>
            <w:tcMar>
              <w:left w:w="85" w:type="dxa"/>
            </w:tcMar>
          </w:tcPr>
          <w:p w14:paraId="6C4401D0" w14:textId="3DA66F2F" w:rsidR="00E866CB" w:rsidRPr="00191F54" w:rsidRDefault="00935F1F" w:rsidP="00C53732">
            <w:pPr>
              <w:pStyle w:val="Tabletextmeasures85pt"/>
              <w:rPr>
                <w:color w:val="000000" w:themeColor="text1"/>
                <w:highlight w:val="yellow"/>
              </w:rPr>
            </w:pPr>
            <w:r>
              <w:rPr>
                <w:color w:val="000000" w:themeColor="text1"/>
              </w:rPr>
              <w:t>On schedule to p</w:t>
            </w:r>
            <w:r w:rsidR="00A673DE" w:rsidRPr="00191F54">
              <w:rPr>
                <w:color w:val="000000" w:themeColor="text1"/>
              </w:rPr>
              <w:t>ublish the NEP and NEC Determinations by 31 March</w:t>
            </w:r>
            <w:r w:rsidR="00A673DE">
              <w:rPr>
                <w:color w:val="000000" w:themeColor="text1"/>
              </w:rPr>
              <w:t xml:space="preserve"> 2022</w:t>
            </w:r>
            <w:r w:rsidR="00A673DE" w:rsidRPr="00191F54">
              <w:rPr>
                <w:color w:val="000000" w:themeColor="text1"/>
              </w:rPr>
              <w:t>.</w:t>
            </w:r>
          </w:p>
        </w:tc>
        <w:tc>
          <w:tcPr>
            <w:tcW w:w="1633" w:type="pct"/>
            <w:gridSpan w:val="2"/>
            <w:shd w:val="clear" w:color="auto" w:fill="auto"/>
            <w:tcMar>
              <w:left w:w="85" w:type="dxa"/>
            </w:tcMar>
          </w:tcPr>
          <w:p w14:paraId="08068BD7" w14:textId="77777777" w:rsidR="003227A0" w:rsidRPr="00191F54" w:rsidRDefault="000F6489" w:rsidP="00CC6280">
            <w:pPr>
              <w:pStyle w:val="Tabletextmeasures85pt"/>
              <w:rPr>
                <w:color w:val="000000" w:themeColor="text1"/>
              </w:rPr>
            </w:pPr>
            <w:r w:rsidRPr="00191F54">
              <w:rPr>
                <w:color w:val="000000" w:themeColor="text1"/>
              </w:rPr>
              <w:t>Publish the NEP and NEC Determinations annually by 31 March.</w:t>
            </w:r>
          </w:p>
        </w:tc>
        <w:tc>
          <w:tcPr>
            <w:tcW w:w="1641" w:type="pct"/>
            <w:gridSpan w:val="2"/>
            <w:shd w:val="clear" w:color="auto" w:fill="auto"/>
            <w:tcMar>
              <w:left w:w="85" w:type="dxa"/>
            </w:tcMar>
          </w:tcPr>
          <w:p w14:paraId="7D62C40B" w14:textId="1146A3F0" w:rsidR="00A673DE" w:rsidRPr="00A673DE" w:rsidRDefault="00883696" w:rsidP="00A673DE">
            <w:pPr>
              <w:pStyle w:val="Tabletextmeasures85pt"/>
              <w:rPr>
                <w:color w:val="000000" w:themeColor="text1"/>
              </w:rPr>
            </w:pPr>
            <w:r>
              <w:rPr>
                <w:color w:val="000000" w:themeColor="text1"/>
              </w:rPr>
              <w:t>As per 2022–</w:t>
            </w:r>
            <w:r w:rsidR="00A673DE" w:rsidRPr="00A673DE">
              <w:rPr>
                <w:color w:val="000000" w:themeColor="text1"/>
              </w:rPr>
              <w:t>23</w:t>
            </w:r>
            <w:r w:rsidR="00A673DE">
              <w:rPr>
                <w:color w:val="000000" w:themeColor="text1"/>
              </w:rPr>
              <w:t>.</w:t>
            </w:r>
          </w:p>
          <w:p w14:paraId="7E2F7392" w14:textId="36700AE1" w:rsidR="00BC0659" w:rsidRPr="00191F54" w:rsidRDefault="00BC0659" w:rsidP="006E0308">
            <w:pPr>
              <w:pStyle w:val="Tabletextmeasures85pt"/>
              <w:rPr>
                <w:color w:val="000000" w:themeColor="text1"/>
                <w:highlight w:val="yellow"/>
              </w:rPr>
            </w:pPr>
          </w:p>
        </w:tc>
      </w:tr>
      <w:tr w:rsidR="00191F54" w:rsidRPr="00191F54" w14:paraId="38F910A9" w14:textId="77777777" w:rsidTr="006B75B7">
        <w:tblPrEx>
          <w:tblCellMar>
            <w:top w:w="0" w:type="dxa"/>
            <w:left w:w="108" w:type="dxa"/>
            <w:bottom w:w="0" w:type="dxa"/>
            <w:right w:w="108" w:type="dxa"/>
          </w:tblCellMar>
        </w:tblPrEx>
        <w:trPr>
          <w:cantSplit/>
          <w:trHeight w:val="283"/>
          <w:jc w:val="center"/>
        </w:trPr>
        <w:tc>
          <w:tcPr>
            <w:tcW w:w="5000" w:type="pct"/>
            <w:gridSpan w:val="6"/>
            <w:shd w:val="clear" w:color="auto" w:fill="D9D9D9" w:themeFill="background1" w:themeFillShade="D9"/>
            <w:tcMar>
              <w:left w:w="85" w:type="dxa"/>
            </w:tcMar>
          </w:tcPr>
          <w:p w14:paraId="09EBDFE5" w14:textId="029D9550" w:rsidR="00DB51D3" w:rsidRPr="00191F54" w:rsidRDefault="003227A0" w:rsidP="00DB51D3">
            <w:pPr>
              <w:pStyle w:val="Tableheadingrowmeasures85pt"/>
              <w:keepNext/>
              <w:rPr>
                <w:color w:val="000000" w:themeColor="text1"/>
              </w:rPr>
            </w:pPr>
            <w:r w:rsidRPr="00191F54">
              <w:rPr>
                <w:color w:val="000000" w:themeColor="text1"/>
              </w:rPr>
              <w:t xml:space="preserve">Develop and maintain </w:t>
            </w:r>
            <w:r w:rsidR="001019C5" w:rsidRPr="00191F54">
              <w:rPr>
                <w:color w:val="000000" w:themeColor="text1"/>
              </w:rPr>
              <w:t xml:space="preserve">activity based funding </w:t>
            </w:r>
            <w:r w:rsidRPr="00191F54">
              <w:rPr>
                <w:color w:val="000000" w:themeColor="text1"/>
              </w:rPr>
              <w:t>classifications.</w:t>
            </w:r>
          </w:p>
        </w:tc>
      </w:tr>
      <w:tr w:rsidR="00AA4DB3" w:rsidRPr="00191F54" w14:paraId="43FE5295" w14:textId="77777777" w:rsidTr="006B75B7">
        <w:tblPrEx>
          <w:tblCellMar>
            <w:top w:w="0" w:type="dxa"/>
            <w:left w:w="108" w:type="dxa"/>
            <w:bottom w:w="0" w:type="dxa"/>
            <w:right w:w="108" w:type="dxa"/>
          </w:tblCellMar>
        </w:tblPrEx>
        <w:trPr>
          <w:cantSplit/>
          <w:trHeight w:val="283"/>
          <w:jc w:val="center"/>
        </w:trPr>
        <w:tc>
          <w:tcPr>
            <w:tcW w:w="1726" w:type="pct"/>
            <w:gridSpan w:val="2"/>
            <w:tcMar>
              <w:left w:w="85" w:type="dxa"/>
            </w:tcMar>
          </w:tcPr>
          <w:p w14:paraId="4600ED46" w14:textId="1F8AEE8C" w:rsidR="00AA4DB3" w:rsidRPr="00191F54" w:rsidRDefault="00883696" w:rsidP="00AA4DB3">
            <w:pPr>
              <w:pStyle w:val="Tableheadingrowmeasures85pt"/>
              <w:keepNext/>
              <w:rPr>
                <w:color w:val="000000" w:themeColor="text1"/>
              </w:rPr>
            </w:pPr>
            <w:r>
              <w:t>Current Year</w:t>
            </w:r>
            <w:r>
              <w:br/>
              <w:t>2021–</w:t>
            </w:r>
            <w:r w:rsidR="00AA4DB3">
              <w:t>22 Expected Performance</w:t>
            </w:r>
            <w:r w:rsidR="00AA4DB3" w:rsidRPr="00C004D1">
              <w:t xml:space="preserve"> </w:t>
            </w:r>
            <w:r w:rsidR="00AA4DB3">
              <w:t>R</w:t>
            </w:r>
            <w:r w:rsidR="00AA4DB3" w:rsidRPr="00C004D1">
              <w:t>esult</w:t>
            </w:r>
            <w:r w:rsidR="00AA4DB3">
              <w:t>s</w:t>
            </w:r>
          </w:p>
        </w:tc>
        <w:tc>
          <w:tcPr>
            <w:tcW w:w="1633" w:type="pct"/>
            <w:gridSpan w:val="2"/>
            <w:shd w:val="clear" w:color="auto" w:fill="auto"/>
            <w:tcMar>
              <w:left w:w="85" w:type="dxa"/>
            </w:tcMar>
          </w:tcPr>
          <w:p w14:paraId="2C9B7404" w14:textId="435FCB47" w:rsidR="00AA4DB3" w:rsidRPr="00191F54" w:rsidRDefault="00883696" w:rsidP="00AA4DB3">
            <w:pPr>
              <w:pStyle w:val="Tableheadingrowmeasures85pt"/>
              <w:keepNext/>
              <w:rPr>
                <w:color w:val="000000" w:themeColor="text1"/>
              </w:rPr>
            </w:pPr>
            <w:r>
              <w:t>Budget Year</w:t>
            </w:r>
            <w:r>
              <w:br/>
              <w:t>2022–</w:t>
            </w:r>
            <w:r w:rsidR="00AA4DB3">
              <w:t xml:space="preserve">23 Planned Performance Results </w:t>
            </w:r>
          </w:p>
        </w:tc>
        <w:tc>
          <w:tcPr>
            <w:tcW w:w="1641" w:type="pct"/>
            <w:gridSpan w:val="2"/>
            <w:shd w:val="clear" w:color="auto" w:fill="auto"/>
            <w:tcMar>
              <w:left w:w="85" w:type="dxa"/>
            </w:tcMar>
          </w:tcPr>
          <w:p w14:paraId="62BE9245" w14:textId="580F3F32" w:rsidR="00AA4DB3" w:rsidRPr="00191F54" w:rsidRDefault="00AA4DB3" w:rsidP="00AA4DB3">
            <w:pPr>
              <w:pStyle w:val="Tableheadingrowmeasures85pt"/>
              <w:keepNext/>
              <w:rPr>
                <w:color w:val="000000" w:themeColor="text1"/>
              </w:rPr>
            </w:pPr>
            <w:r>
              <w:t>Forward Estimates</w:t>
            </w:r>
            <w:r>
              <w:br/>
            </w:r>
            <w:r w:rsidR="00883696">
              <w:t>2023–</w:t>
            </w:r>
            <w:r w:rsidRPr="00C004D1">
              <w:t>2</w:t>
            </w:r>
            <w:r>
              <w:t>6</w:t>
            </w:r>
            <w:r w:rsidRPr="00C004D1">
              <w:t xml:space="preserve"> </w:t>
            </w:r>
            <w:r>
              <w:t>Planned Performance Results</w:t>
            </w:r>
          </w:p>
        </w:tc>
      </w:tr>
      <w:tr w:rsidR="00191F54" w:rsidRPr="00191F54" w14:paraId="4F0D4001" w14:textId="77777777" w:rsidTr="006B75B7">
        <w:tblPrEx>
          <w:tblCellMar>
            <w:top w:w="0" w:type="dxa"/>
            <w:left w:w="108" w:type="dxa"/>
            <w:bottom w:w="0" w:type="dxa"/>
            <w:right w:w="108" w:type="dxa"/>
          </w:tblCellMar>
        </w:tblPrEx>
        <w:trPr>
          <w:trHeight w:val="283"/>
          <w:jc w:val="center"/>
        </w:trPr>
        <w:tc>
          <w:tcPr>
            <w:tcW w:w="1726" w:type="pct"/>
            <w:gridSpan w:val="2"/>
            <w:tcMar>
              <w:left w:w="85" w:type="dxa"/>
            </w:tcMar>
          </w:tcPr>
          <w:p w14:paraId="586D1D59" w14:textId="0B843E74" w:rsidR="005540B8" w:rsidRPr="00191F54" w:rsidRDefault="005540B8" w:rsidP="00E55B66">
            <w:pPr>
              <w:pStyle w:val="Tabletextmeasures85pt0"/>
              <w:keepNext/>
              <w:keepLines/>
              <w:rPr>
                <w:color w:val="000000" w:themeColor="text1"/>
              </w:rPr>
            </w:pPr>
            <w:r w:rsidRPr="00191F54">
              <w:rPr>
                <w:color w:val="000000" w:themeColor="text1"/>
              </w:rPr>
              <w:t>Finalise</w:t>
            </w:r>
            <w:r w:rsidR="005F411F">
              <w:rPr>
                <w:color w:val="000000" w:themeColor="text1"/>
              </w:rPr>
              <w:t>d</w:t>
            </w:r>
            <w:r w:rsidRPr="00191F54">
              <w:rPr>
                <w:color w:val="000000" w:themeColor="text1"/>
              </w:rPr>
              <w:t xml:space="preserve"> the:</w:t>
            </w:r>
          </w:p>
          <w:p w14:paraId="6D0BC263" w14:textId="00F677D2" w:rsidR="005540B8" w:rsidRPr="00F46FA5" w:rsidRDefault="005540B8" w:rsidP="00E55B66">
            <w:pPr>
              <w:pStyle w:val="Tabletextmeasures85pt"/>
              <w:keepNext/>
              <w:keepLines/>
              <w:numPr>
                <w:ilvl w:val="0"/>
                <w:numId w:val="9"/>
              </w:numPr>
              <w:ind w:left="142" w:hanging="142"/>
              <w:rPr>
                <w:color w:val="000000" w:themeColor="text1"/>
              </w:rPr>
            </w:pPr>
            <w:r w:rsidRPr="00605CFA">
              <w:rPr>
                <w:rStyle w:val="CommentReference"/>
                <w:sz w:val="17"/>
                <w:szCs w:val="17"/>
              </w:rPr>
              <w:t>Australian classifications used for reporting diseases (ICD-10-AM) and interventions (ACHI</w:t>
            </w:r>
            <w:r w:rsidR="00691B83">
              <w:rPr>
                <w:rStyle w:val="FootnoteReference"/>
              </w:rPr>
              <w:footnoteReference w:id="6"/>
            </w:r>
            <w:r w:rsidRPr="00605CFA">
              <w:rPr>
                <w:rStyle w:val="CommentReference"/>
                <w:sz w:val="17"/>
                <w:szCs w:val="17"/>
              </w:rPr>
              <w:t>), Twelfth Edition</w:t>
            </w:r>
          </w:p>
          <w:p w14:paraId="772D2EBF" w14:textId="77777777" w:rsidR="005540B8" w:rsidRDefault="005540B8" w:rsidP="00E55B66">
            <w:pPr>
              <w:pStyle w:val="Tabletextmeasures85pt"/>
              <w:keepNext/>
              <w:keepLines/>
              <w:numPr>
                <w:ilvl w:val="0"/>
                <w:numId w:val="9"/>
              </w:numPr>
              <w:ind w:left="142" w:hanging="142"/>
              <w:rPr>
                <w:color w:val="000000" w:themeColor="text1"/>
              </w:rPr>
            </w:pPr>
            <w:r w:rsidRPr="00191F54">
              <w:rPr>
                <w:color w:val="000000" w:themeColor="text1"/>
              </w:rPr>
              <w:t>Australian Refined Diagnosis Related Groups Version 11.0</w:t>
            </w:r>
            <w:r>
              <w:rPr>
                <w:color w:val="000000" w:themeColor="text1"/>
              </w:rPr>
              <w:t>.</w:t>
            </w:r>
          </w:p>
          <w:p w14:paraId="1B674D0D" w14:textId="5FFD44C1" w:rsidR="005540B8" w:rsidRPr="00191F54" w:rsidRDefault="005540B8" w:rsidP="00E55B66">
            <w:pPr>
              <w:pStyle w:val="Tabletextmeasures85pt"/>
              <w:keepNext/>
              <w:keepLines/>
              <w:rPr>
                <w:color w:val="000000" w:themeColor="text1"/>
              </w:rPr>
            </w:pPr>
            <w:r>
              <w:rPr>
                <w:color w:val="000000" w:themeColor="text1"/>
              </w:rPr>
              <w:t>Release</w:t>
            </w:r>
            <w:r w:rsidR="005F411F">
              <w:rPr>
                <w:color w:val="000000" w:themeColor="text1"/>
              </w:rPr>
              <w:t>d</w:t>
            </w:r>
            <w:r>
              <w:rPr>
                <w:color w:val="000000" w:themeColor="text1"/>
              </w:rPr>
              <w:t xml:space="preserve"> the:</w:t>
            </w:r>
          </w:p>
          <w:p w14:paraId="2C1F96B5" w14:textId="6503A258" w:rsidR="00423892" w:rsidRPr="00191F54" w:rsidRDefault="005540B8" w:rsidP="00E55B66">
            <w:pPr>
              <w:pStyle w:val="Tabletextmeasures85pt"/>
              <w:keepNext/>
              <w:keepLines/>
              <w:numPr>
                <w:ilvl w:val="0"/>
                <w:numId w:val="9"/>
              </w:numPr>
              <w:ind w:left="142" w:hanging="142"/>
              <w:rPr>
                <w:color w:val="000000" w:themeColor="text1"/>
              </w:rPr>
            </w:pPr>
            <w:r>
              <w:rPr>
                <w:color w:val="000000" w:themeColor="text1"/>
              </w:rPr>
              <w:t xml:space="preserve">Australian National </w:t>
            </w:r>
            <w:r w:rsidRPr="00191F54">
              <w:rPr>
                <w:color w:val="000000" w:themeColor="text1"/>
              </w:rPr>
              <w:t xml:space="preserve">Subacute and Non-Acute Patient Classification Version 5.0 </w:t>
            </w:r>
            <w:r>
              <w:rPr>
                <w:color w:val="000000" w:themeColor="text1"/>
              </w:rPr>
              <w:t>in</w:t>
            </w:r>
            <w:r w:rsidRPr="00191F54">
              <w:rPr>
                <w:color w:val="000000" w:themeColor="text1"/>
              </w:rPr>
              <w:t xml:space="preserve"> </w:t>
            </w:r>
            <w:r>
              <w:rPr>
                <w:color w:val="000000" w:themeColor="text1"/>
              </w:rPr>
              <w:t>December</w:t>
            </w:r>
            <w:r w:rsidRPr="00191F54">
              <w:rPr>
                <w:color w:val="000000" w:themeColor="text1"/>
              </w:rPr>
              <w:t> 202</w:t>
            </w:r>
            <w:r>
              <w:rPr>
                <w:color w:val="000000" w:themeColor="text1"/>
              </w:rPr>
              <w:t>1</w:t>
            </w:r>
            <w:r w:rsidRPr="00191F54">
              <w:rPr>
                <w:color w:val="000000" w:themeColor="text1"/>
              </w:rPr>
              <w:t>.</w:t>
            </w:r>
          </w:p>
        </w:tc>
        <w:tc>
          <w:tcPr>
            <w:tcW w:w="1633" w:type="pct"/>
            <w:gridSpan w:val="2"/>
            <w:shd w:val="clear" w:color="auto" w:fill="auto"/>
            <w:tcMar>
              <w:left w:w="85" w:type="dxa"/>
            </w:tcMar>
          </w:tcPr>
          <w:p w14:paraId="1F57F641" w14:textId="77777777" w:rsidR="005540B8" w:rsidRPr="00191F54" w:rsidRDefault="005540B8" w:rsidP="00E55B66">
            <w:pPr>
              <w:pStyle w:val="Tabletextmeasures85pt0"/>
              <w:keepNext/>
              <w:keepLines/>
              <w:rPr>
                <w:color w:val="000000" w:themeColor="text1"/>
              </w:rPr>
            </w:pPr>
            <w:r>
              <w:rPr>
                <w:color w:val="000000" w:themeColor="text1"/>
              </w:rPr>
              <w:t>Commence development of</w:t>
            </w:r>
            <w:r w:rsidRPr="00191F54">
              <w:rPr>
                <w:color w:val="000000" w:themeColor="text1"/>
              </w:rPr>
              <w:t xml:space="preserve"> the:</w:t>
            </w:r>
          </w:p>
          <w:p w14:paraId="0C8EE39F" w14:textId="350445ED" w:rsidR="005540B8" w:rsidRPr="00F46FA5" w:rsidRDefault="005540B8" w:rsidP="00E55B66">
            <w:pPr>
              <w:pStyle w:val="Tabletextmeasures85pt"/>
              <w:keepNext/>
              <w:keepLines/>
              <w:numPr>
                <w:ilvl w:val="0"/>
                <w:numId w:val="9"/>
              </w:numPr>
              <w:ind w:left="142" w:hanging="142"/>
              <w:rPr>
                <w:color w:val="000000" w:themeColor="text1"/>
              </w:rPr>
            </w:pPr>
            <w:r w:rsidRPr="00C31143">
              <w:rPr>
                <w:rStyle w:val="CommentReference"/>
                <w:sz w:val="17"/>
                <w:szCs w:val="17"/>
              </w:rPr>
              <w:t xml:space="preserve">Australian classifications used for reporting diseases (ICD-10-AM) and interventions (ACHI), </w:t>
            </w:r>
            <w:r w:rsidRPr="00F46FA5">
              <w:rPr>
                <w:color w:val="000000" w:themeColor="text1"/>
              </w:rPr>
              <w:t xml:space="preserve">Thirteenth </w:t>
            </w:r>
            <w:r>
              <w:rPr>
                <w:color w:val="000000" w:themeColor="text1"/>
              </w:rPr>
              <w:t>E</w:t>
            </w:r>
            <w:r w:rsidRPr="00C31143">
              <w:rPr>
                <w:color w:val="000000" w:themeColor="text1"/>
              </w:rPr>
              <w:t>dition</w:t>
            </w:r>
          </w:p>
          <w:p w14:paraId="60BF1397" w14:textId="77777777" w:rsidR="005540B8" w:rsidRDefault="005540B8" w:rsidP="00E55B66">
            <w:pPr>
              <w:pStyle w:val="Tabletextmeasures85pt"/>
              <w:keepNext/>
              <w:keepLines/>
              <w:numPr>
                <w:ilvl w:val="0"/>
                <w:numId w:val="9"/>
              </w:numPr>
              <w:ind w:left="142" w:hanging="142"/>
              <w:rPr>
                <w:color w:val="000000" w:themeColor="text1"/>
              </w:rPr>
            </w:pPr>
            <w:r w:rsidRPr="00191F54">
              <w:rPr>
                <w:color w:val="000000" w:themeColor="text1"/>
              </w:rPr>
              <w:t>Australian Refined Diagnosis Related Groups Version 12.0</w:t>
            </w:r>
            <w:r>
              <w:rPr>
                <w:color w:val="000000" w:themeColor="text1"/>
              </w:rPr>
              <w:t>.</w:t>
            </w:r>
          </w:p>
          <w:p w14:paraId="1D5F76FA" w14:textId="77777777" w:rsidR="005540B8" w:rsidRPr="00191F54" w:rsidRDefault="005540B8" w:rsidP="00E55B66">
            <w:pPr>
              <w:pStyle w:val="Tabletextmeasures85pt0"/>
              <w:keepNext/>
              <w:keepLines/>
              <w:rPr>
                <w:color w:val="000000" w:themeColor="text1"/>
              </w:rPr>
            </w:pPr>
            <w:r w:rsidRPr="00191F54">
              <w:rPr>
                <w:color w:val="000000" w:themeColor="text1"/>
              </w:rPr>
              <w:t>Finalise the:</w:t>
            </w:r>
          </w:p>
          <w:p w14:paraId="7264169B" w14:textId="30D5E029" w:rsidR="005540B8" w:rsidRPr="00C31143" w:rsidRDefault="005540B8" w:rsidP="00E55B66">
            <w:pPr>
              <w:pStyle w:val="Tabletextmeasures85pt"/>
              <w:keepNext/>
              <w:keepLines/>
              <w:numPr>
                <w:ilvl w:val="0"/>
                <w:numId w:val="9"/>
              </w:numPr>
              <w:ind w:left="142" w:hanging="142"/>
              <w:rPr>
                <w:color w:val="000000" w:themeColor="text1"/>
              </w:rPr>
            </w:pPr>
            <w:r w:rsidRPr="00C31143">
              <w:rPr>
                <w:color w:val="000000" w:themeColor="text1"/>
              </w:rPr>
              <w:t>Australian Mental Health Care Classification </w:t>
            </w:r>
            <w:r w:rsidR="00617D25">
              <w:rPr>
                <w:color w:val="000000" w:themeColor="text1"/>
              </w:rPr>
              <w:br/>
              <w:t xml:space="preserve">Version </w:t>
            </w:r>
            <w:r w:rsidRPr="00F46FA5">
              <w:rPr>
                <w:color w:val="000000" w:themeColor="text1"/>
              </w:rPr>
              <w:t xml:space="preserve">1.1 in </w:t>
            </w:r>
            <w:r w:rsidRPr="00C31143">
              <w:rPr>
                <w:color w:val="000000" w:themeColor="text1"/>
              </w:rPr>
              <w:t>2023</w:t>
            </w:r>
          </w:p>
          <w:p w14:paraId="57F53871" w14:textId="10217326" w:rsidR="00730E96" w:rsidRPr="005540B8" w:rsidRDefault="005540B8" w:rsidP="00E55B66">
            <w:pPr>
              <w:pStyle w:val="Tabletextmeasures85pt"/>
              <w:keepNext/>
              <w:keepLines/>
              <w:numPr>
                <w:ilvl w:val="0"/>
                <w:numId w:val="9"/>
              </w:numPr>
              <w:ind w:left="142" w:hanging="142"/>
              <w:rPr>
                <w:color w:val="000000" w:themeColor="text1"/>
              </w:rPr>
            </w:pPr>
            <w:r>
              <w:rPr>
                <w:color w:val="000000" w:themeColor="text1"/>
              </w:rPr>
              <w:t xml:space="preserve">Australian Emergency Care Classification </w:t>
            </w:r>
            <w:r w:rsidR="00617D25">
              <w:rPr>
                <w:color w:val="000000" w:themeColor="text1"/>
              </w:rPr>
              <w:br/>
            </w:r>
            <w:r>
              <w:rPr>
                <w:color w:val="000000" w:themeColor="text1"/>
              </w:rPr>
              <w:t>Version 1.1 in 2023.</w:t>
            </w:r>
          </w:p>
        </w:tc>
        <w:tc>
          <w:tcPr>
            <w:tcW w:w="1641" w:type="pct"/>
            <w:gridSpan w:val="2"/>
            <w:shd w:val="clear" w:color="auto" w:fill="auto"/>
            <w:tcMar>
              <w:left w:w="85" w:type="dxa"/>
            </w:tcMar>
          </w:tcPr>
          <w:p w14:paraId="55BFE647" w14:textId="77777777" w:rsidR="005540B8" w:rsidRPr="00191F54" w:rsidRDefault="005540B8" w:rsidP="00E55B66">
            <w:pPr>
              <w:pStyle w:val="Tabletextmeasures85pt0"/>
              <w:keepNext/>
              <w:keepLines/>
              <w:rPr>
                <w:color w:val="000000" w:themeColor="text1"/>
              </w:rPr>
            </w:pPr>
            <w:r>
              <w:rPr>
                <w:color w:val="000000" w:themeColor="text1"/>
              </w:rPr>
              <w:t>Finalise</w:t>
            </w:r>
            <w:r w:rsidRPr="00191F54">
              <w:rPr>
                <w:color w:val="000000" w:themeColor="text1"/>
              </w:rPr>
              <w:t xml:space="preserve"> the:</w:t>
            </w:r>
          </w:p>
          <w:p w14:paraId="3DF210F4" w14:textId="77777777" w:rsidR="005540B8" w:rsidRPr="00AE2A9C" w:rsidRDefault="005540B8" w:rsidP="00E55B66">
            <w:pPr>
              <w:pStyle w:val="Tabletextmeasures85pt"/>
              <w:keepNext/>
              <w:keepLines/>
              <w:numPr>
                <w:ilvl w:val="0"/>
                <w:numId w:val="9"/>
              </w:numPr>
              <w:ind w:left="142" w:hanging="142"/>
              <w:rPr>
                <w:color w:val="000000" w:themeColor="text1"/>
              </w:rPr>
            </w:pPr>
            <w:r w:rsidRPr="00AE2A9C">
              <w:rPr>
                <w:rStyle w:val="CommentReference"/>
                <w:sz w:val="17"/>
                <w:szCs w:val="17"/>
              </w:rPr>
              <w:t xml:space="preserve">Australian classifications used for reporting diseases (ICD-10-AM) and interventions (ACHI), </w:t>
            </w:r>
            <w:r w:rsidRPr="00AE2A9C">
              <w:rPr>
                <w:color w:val="000000" w:themeColor="text1"/>
              </w:rPr>
              <w:t xml:space="preserve">Thirteenth </w:t>
            </w:r>
            <w:r>
              <w:rPr>
                <w:color w:val="000000" w:themeColor="text1"/>
              </w:rPr>
              <w:t>E</w:t>
            </w:r>
            <w:r w:rsidRPr="00AE2A9C">
              <w:rPr>
                <w:color w:val="000000" w:themeColor="text1"/>
              </w:rPr>
              <w:t>dition</w:t>
            </w:r>
            <w:r>
              <w:rPr>
                <w:color w:val="000000" w:themeColor="text1"/>
              </w:rPr>
              <w:t xml:space="preserve"> in 2025</w:t>
            </w:r>
          </w:p>
          <w:p w14:paraId="0A812E58" w14:textId="77777777" w:rsidR="005540B8" w:rsidRDefault="005540B8" w:rsidP="00E55B66">
            <w:pPr>
              <w:pStyle w:val="Tabletextmeasures85pt"/>
              <w:keepNext/>
              <w:keepLines/>
              <w:numPr>
                <w:ilvl w:val="0"/>
                <w:numId w:val="9"/>
              </w:numPr>
              <w:ind w:left="142" w:hanging="142"/>
              <w:rPr>
                <w:color w:val="000000" w:themeColor="text1"/>
              </w:rPr>
            </w:pPr>
            <w:r w:rsidRPr="00191F54">
              <w:rPr>
                <w:color w:val="000000" w:themeColor="text1"/>
              </w:rPr>
              <w:t>Australian Refined Diagnosis Related Groups Version 12.0</w:t>
            </w:r>
            <w:r>
              <w:rPr>
                <w:color w:val="000000" w:themeColor="text1"/>
              </w:rPr>
              <w:t xml:space="preserve"> in 2025.</w:t>
            </w:r>
          </w:p>
          <w:p w14:paraId="18DBA74F" w14:textId="77777777" w:rsidR="005540B8" w:rsidRDefault="005540B8" w:rsidP="00E55B66">
            <w:pPr>
              <w:pStyle w:val="Tabletextmeasures85pt"/>
              <w:keepNext/>
              <w:keepLines/>
              <w:rPr>
                <w:color w:val="000000" w:themeColor="text1"/>
              </w:rPr>
            </w:pPr>
            <w:r>
              <w:rPr>
                <w:color w:val="000000" w:themeColor="text1"/>
              </w:rPr>
              <w:t>Continue development of the:</w:t>
            </w:r>
          </w:p>
          <w:p w14:paraId="3DAE4429" w14:textId="77777777" w:rsidR="005540B8" w:rsidRDefault="005540B8" w:rsidP="00E55B66">
            <w:pPr>
              <w:pStyle w:val="Tabletextmeasures85pt"/>
              <w:keepNext/>
              <w:keepLines/>
              <w:numPr>
                <w:ilvl w:val="0"/>
                <w:numId w:val="18"/>
              </w:numPr>
              <w:ind w:left="142" w:hanging="142"/>
              <w:rPr>
                <w:color w:val="000000" w:themeColor="text1"/>
              </w:rPr>
            </w:pPr>
            <w:r>
              <w:rPr>
                <w:color w:val="000000" w:themeColor="text1"/>
              </w:rPr>
              <w:t>Australian Mental Health Care Classification</w:t>
            </w:r>
          </w:p>
          <w:p w14:paraId="6179B727" w14:textId="77777777" w:rsidR="005540B8" w:rsidRDefault="005540B8" w:rsidP="00E55B66">
            <w:pPr>
              <w:pStyle w:val="Tabletextmeasures85pt"/>
              <w:keepNext/>
              <w:keepLines/>
              <w:numPr>
                <w:ilvl w:val="0"/>
                <w:numId w:val="18"/>
              </w:numPr>
              <w:ind w:left="142" w:hanging="142"/>
              <w:rPr>
                <w:color w:val="000000" w:themeColor="text1"/>
              </w:rPr>
            </w:pPr>
            <w:r>
              <w:rPr>
                <w:color w:val="000000" w:themeColor="text1"/>
              </w:rPr>
              <w:t>Australian Emergency Care Classification</w:t>
            </w:r>
          </w:p>
          <w:p w14:paraId="15744057" w14:textId="0E8CC78C" w:rsidR="005540B8" w:rsidRDefault="005540B8" w:rsidP="00E55B66">
            <w:pPr>
              <w:pStyle w:val="Tabletextmeasures85pt"/>
              <w:keepNext/>
              <w:keepLines/>
              <w:numPr>
                <w:ilvl w:val="0"/>
                <w:numId w:val="18"/>
              </w:numPr>
              <w:ind w:left="142" w:hanging="142"/>
              <w:rPr>
                <w:color w:val="000000" w:themeColor="text1"/>
              </w:rPr>
            </w:pPr>
            <w:r>
              <w:rPr>
                <w:color w:val="000000" w:themeColor="text1"/>
              </w:rPr>
              <w:t xml:space="preserve">Australian National </w:t>
            </w:r>
            <w:r w:rsidR="005F411F">
              <w:rPr>
                <w:color w:val="000000" w:themeColor="text1"/>
              </w:rPr>
              <w:br/>
            </w:r>
            <w:r>
              <w:rPr>
                <w:color w:val="000000" w:themeColor="text1"/>
              </w:rPr>
              <w:t>Non-acute Patient Classification</w:t>
            </w:r>
          </w:p>
          <w:p w14:paraId="27D51609" w14:textId="77777777" w:rsidR="005540B8" w:rsidRDefault="005540B8" w:rsidP="00E55B66">
            <w:pPr>
              <w:pStyle w:val="Tabletextmeasures85pt"/>
              <w:keepNext/>
              <w:keepLines/>
              <w:numPr>
                <w:ilvl w:val="0"/>
                <w:numId w:val="18"/>
              </w:numPr>
              <w:ind w:left="142" w:hanging="142"/>
              <w:rPr>
                <w:color w:val="000000" w:themeColor="text1"/>
              </w:rPr>
            </w:pPr>
            <w:r>
              <w:rPr>
                <w:color w:val="000000" w:themeColor="text1"/>
              </w:rPr>
              <w:t>Australian Non-admitted Care Classification</w:t>
            </w:r>
          </w:p>
          <w:p w14:paraId="68EC5F34" w14:textId="7E75B64D" w:rsidR="004D385F" w:rsidRPr="00DF3892" w:rsidRDefault="005540B8" w:rsidP="00E55B66">
            <w:pPr>
              <w:pStyle w:val="Tabletextmeasures85pt"/>
              <w:keepNext/>
              <w:keepLines/>
              <w:numPr>
                <w:ilvl w:val="0"/>
                <w:numId w:val="18"/>
              </w:numPr>
              <w:ind w:left="142" w:hanging="142"/>
              <w:rPr>
                <w:color w:val="000000" w:themeColor="text1"/>
              </w:rPr>
            </w:pPr>
            <w:r>
              <w:rPr>
                <w:color w:val="000000" w:themeColor="text1"/>
              </w:rPr>
              <w:t>Australian Teaching and Training Classification.</w:t>
            </w:r>
          </w:p>
        </w:tc>
      </w:tr>
      <w:tr w:rsidR="00191F54" w:rsidRPr="00191F54" w14:paraId="7A20D245" w14:textId="77777777" w:rsidTr="006B75B7">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D9D9D9" w:themeFill="background1" w:themeFillShade="D9"/>
            <w:tcMar>
              <w:left w:w="85" w:type="dxa"/>
            </w:tcMar>
          </w:tcPr>
          <w:p w14:paraId="4A5D58B4" w14:textId="243F645C" w:rsidR="00DB51D3" w:rsidRPr="00191F54" w:rsidRDefault="000F6489" w:rsidP="00DB51D3">
            <w:pPr>
              <w:pStyle w:val="Tabletextmeasures85pt"/>
              <w:rPr>
                <w:color w:val="000000" w:themeColor="text1"/>
                <w:lang w:eastAsia="en-US"/>
              </w:rPr>
            </w:pPr>
            <w:r w:rsidRPr="00191F54">
              <w:rPr>
                <w:b/>
                <w:color w:val="000000" w:themeColor="text1"/>
                <w:lang w:eastAsia="en-US"/>
              </w:rPr>
              <w:t xml:space="preserve">Ensure effective collection and processing of costing information to support </w:t>
            </w:r>
            <w:r w:rsidR="001019C5" w:rsidRPr="00191F54">
              <w:rPr>
                <w:b/>
                <w:color w:val="000000" w:themeColor="text1"/>
                <w:lang w:eastAsia="en-US"/>
              </w:rPr>
              <w:t>activity based f</w:t>
            </w:r>
            <w:r w:rsidRPr="00191F54">
              <w:rPr>
                <w:b/>
                <w:color w:val="000000" w:themeColor="text1"/>
                <w:lang w:eastAsia="en-US"/>
              </w:rPr>
              <w:t>unding outcomes</w:t>
            </w:r>
            <w:r w:rsidRPr="00191F54">
              <w:rPr>
                <w:color w:val="000000" w:themeColor="text1"/>
                <w:lang w:eastAsia="en-US"/>
              </w:rPr>
              <w:t>.</w:t>
            </w:r>
          </w:p>
        </w:tc>
      </w:tr>
      <w:tr w:rsidR="00AA4DB3" w:rsidRPr="00191F54" w14:paraId="02CE0B8E" w14:textId="77777777" w:rsidTr="006B75B7">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582F9BF3" w14:textId="47921209" w:rsidR="00AA4DB3" w:rsidRPr="00191F54" w:rsidRDefault="00883696" w:rsidP="00AA4DB3">
            <w:pPr>
              <w:pStyle w:val="Tableheadingrowmeasures85pt"/>
              <w:keepNext/>
              <w:rPr>
                <w:color w:val="000000" w:themeColor="text1"/>
              </w:rPr>
            </w:pPr>
            <w:r>
              <w:t>Current Year</w:t>
            </w:r>
            <w:r>
              <w:br/>
              <w:t>2021–</w:t>
            </w:r>
            <w:r w:rsidR="00AA4DB3">
              <w:t>22 Expected Performance</w:t>
            </w:r>
            <w:r w:rsidR="00AA4DB3" w:rsidRPr="00C004D1">
              <w:t xml:space="preserve"> </w:t>
            </w:r>
            <w:r w:rsidR="00AA4DB3">
              <w:t>R</w:t>
            </w:r>
            <w:r w:rsidR="00AA4DB3" w:rsidRPr="00C004D1">
              <w:t>esult</w:t>
            </w:r>
            <w:r w:rsidR="00AA4DB3">
              <w:t>s</w:t>
            </w:r>
          </w:p>
        </w:tc>
        <w:tc>
          <w:tcPr>
            <w:tcW w:w="1628" w:type="pct"/>
            <w:gridSpan w:val="2"/>
            <w:shd w:val="clear" w:color="auto" w:fill="auto"/>
            <w:tcMar>
              <w:left w:w="85" w:type="dxa"/>
            </w:tcMar>
          </w:tcPr>
          <w:p w14:paraId="357E8EEC" w14:textId="26FBC7F5" w:rsidR="00AA4DB3" w:rsidRPr="00191F54" w:rsidRDefault="00883696" w:rsidP="00AA4DB3">
            <w:pPr>
              <w:pStyle w:val="Tableheadingrowmeasures85pt"/>
              <w:keepNext/>
              <w:rPr>
                <w:color w:val="000000" w:themeColor="text1"/>
              </w:rPr>
            </w:pPr>
            <w:r>
              <w:t>Budget Year</w:t>
            </w:r>
            <w:r>
              <w:br/>
              <w:t>2022–</w:t>
            </w:r>
            <w:r w:rsidR="00AA4DB3">
              <w:t xml:space="preserve">23 Planned Performance Results </w:t>
            </w:r>
          </w:p>
        </w:tc>
        <w:tc>
          <w:tcPr>
            <w:tcW w:w="1636" w:type="pct"/>
            <w:gridSpan w:val="2"/>
            <w:shd w:val="clear" w:color="auto" w:fill="auto"/>
            <w:tcMar>
              <w:left w:w="85" w:type="dxa"/>
            </w:tcMar>
          </w:tcPr>
          <w:p w14:paraId="533DBED0" w14:textId="5272722B" w:rsidR="00AA4DB3" w:rsidRPr="00191F54" w:rsidRDefault="00AA4DB3" w:rsidP="00AA4DB3">
            <w:pPr>
              <w:pStyle w:val="Tableheadingrowmeasures85pt"/>
              <w:keepNext/>
              <w:rPr>
                <w:color w:val="000000" w:themeColor="text1"/>
              </w:rPr>
            </w:pPr>
            <w:r>
              <w:t>Forward Estimates</w:t>
            </w:r>
            <w:r>
              <w:br/>
            </w:r>
            <w:r w:rsidR="00883696">
              <w:t>2023–</w:t>
            </w:r>
            <w:r w:rsidRPr="00C004D1">
              <w:t>2</w:t>
            </w:r>
            <w:r>
              <w:t>6</w:t>
            </w:r>
            <w:r w:rsidRPr="00C004D1">
              <w:t xml:space="preserve"> </w:t>
            </w:r>
            <w:r>
              <w:t>Planned Performance Results</w:t>
            </w:r>
          </w:p>
        </w:tc>
      </w:tr>
      <w:tr w:rsidR="00191F54" w:rsidRPr="00191F54" w14:paraId="2A3635D3" w14:textId="77777777" w:rsidTr="006B75B7">
        <w:tblPrEx>
          <w:tblCellMar>
            <w:top w:w="0" w:type="dxa"/>
            <w:left w:w="108" w:type="dxa"/>
            <w:bottom w:w="0" w:type="dxa"/>
            <w:right w:w="108" w:type="dxa"/>
          </w:tblCellMar>
        </w:tblPrEx>
        <w:trPr>
          <w:gridAfter w:val="1"/>
          <w:wAfter w:w="16" w:type="pct"/>
          <w:trHeight w:val="283"/>
          <w:jc w:val="center"/>
        </w:trPr>
        <w:tc>
          <w:tcPr>
            <w:tcW w:w="1721" w:type="pct"/>
            <w:tcMar>
              <w:left w:w="85" w:type="dxa"/>
            </w:tcMar>
          </w:tcPr>
          <w:p w14:paraId="359DFFD5" w14:textId="7FFB657E" w:rsidR="00E866CB" w:rsidRPr="00191F54" w:rsidRDefault="006F430E" w:rsidP="00DE428D">
            <w:pPr>
              <w:pStyle w:val="Tabletextmeasures85pt"/>
              <w:rPr>
                <w:color w:val="000000" w:themeColor="text1"/>
              </w:rPr>
            </w:pPr>
            <w:r>
              <w:rPr>
                <w:color w:val="000000" w:themeColor="text1"/>
              </w:rPr>
              <w:t>On schedule to c</w:t>
            </w:r>
            <w:r w:rsidR="00D74237" w:rsidRPr="00191F54">
              <w:rPr>
                <w:color w:val="000000" w:themeColor="text1"/>
              </w:rPr>
              <w:t>omplete the annual National Hospital C</w:t>
            </w:r>
            <w:r w:rsidR="0036181E">
              <w:rPr>
                <w:color w:val="000000" w:themeColor="text1"/>
              </w:rPr>
              <w:t>ost Data Collection by 31 March 2022.</w:t>
            </w:r>
          </w:p>
        </w:tc>
        <w:tc>
          <w:tcPr>
            <w:tcW w:w="1628" w:type="pct"/>
            <w:gridSpan w:val="2"/>
            <w:shd w:val="clear" w:color="auto" w:fill="auto"/>
            <w:tcMar>
              <w:left w:w="85" w:type="dxa"/>
            </w:tcMar>
          </w:tcPr>
          <w:p w14:paraId="096C5F88" w14:textId="77777777" w:rsidR="003B7033" w:rsidRPr="00191F54" w:rsidRDefault="001B0D8D" w:rsidP="003B7033">
            <w:pPr>
              <w:pStyle w:val="Tabletextmeasures85pt"/>
              <w:rPr>
                <w:color w:val="000000" w:themeColor="text1"/>
              </w:rPr>
            </w:pPr>
            <w:r w:rsidRPr="00191F54">
              <w:rPr>
                <w:color w:val="000000" w:themeColor="text1"/>
              </w:rPr>
              <w:t>Complete the annual National Hospital Cost Data Collection by </w:t>
            </w:r>
            <w:r w:rsidR="003B7033" w:rsidRPr="00191F54">
              <w:rPr>
                <w:color w:val="000000" w:themeColor="text1"/>
              </w:rPr>
              <w:t xml:space="preserve">31 </w:t>
            </w:r>
            <w:r w:rsidRPr="00191F54">
              <w:rPr>
                <w:color w:val="000000" w:themeColor="text1"/>
              </w:rPr>
              <w:t>March</w:t>
            </w:r>
            <w:r w:rsidR="000C652E" w:rsidRPr="00191F54">
              <w:rPr>
                <w:color w:val="000000" w:themeColor="text1"/>
              </w:rPr>
              <w:t>.</w:t>
            </w:r>
          </w:p>
        </w:tc>
        <w:tc>
          <w:tcPr>
            <w:tcW w:w="1636" w:type="pct"/>
            <w:gridSpan w:val="2"/>
            <w:shd w:val="clear" w:color="auto" w:fill="auto"/>
            <w:tcMar>
              <w:left w:w="85" w:type="dxa"/>
            </w:tcMar>
          </w:tcPr>
          <w:p w14:paraId="67D82F35" w14:textId="479F9959" w:rsidR="00AA4DB3" w:rsidRPr="0036181E" w:rsidRDefault="00883696" w:rsidP="00AA4DB3">
            <w:pPr>
              <w:pStyle w:val="Tabletextmeasures85pt"/>
              <w:rPr>
                <w:color w:val="auto"/>
              </w:rPr>
            </w:pPr>
            <w:r>
              <w:rPr>
                <w:color w:val="auto"/>
              </w:rPr>
              <w:t>As per 2022–</w:t>
            </w:r>
            <w:r w:rsidR="0036181E" w:rsidRPr="0036181E">
              <w:rPr>
                <w:color w:val="auto"/>
              </w:rPr>
              <w:t>23</w:t>
            </w:r>
            <w:r w:rsidR="0036181E">
              <w:rPr>
                <w:color w:val="auto"/>
              </w:rPr>
              <w:t>.</w:t>
            </w:r>
          </w:p>
          <w:p w14:paraId="1D99A406" w14:textId="2048891D" w:rsidR="000F6489" w:rsidRPr="00191F54" w:rsidRDefault="000F6489" w:rsidP="00D74237">
            <w:pPr>
              <w:pStyle w:val="Tabletextmeasures85pt"/>
              <w:rPr>
                <w:color w:val="000000" w:themeColor="text1"/>
              </w:rPr>
            </w:pPr>
          </w:p>
        </w:tc>
      </w:tr>
      <w:tr w:rsidR="00191F54" w:rsidRPr="00191F54" w14:paraId="1B52EA1F" w14:textId="77777777" w:rsidTr="006B75B7">
        <w:tblPrEx>
          <w:tblCellMar>
            <w:top w:w="0" w:type="dxa"/>
            <w:left w:w="108" w:type="dxa"/>
            <w:bottom w:w="0" w:type="dxa"/>
            <w:right w:w="108" w:type="dxa"/>
          </w:tblCellMar>
        </w:tblPrEx>
        <w:trPr>
          <w:gridAfter w:val="1"/>
          <w:wAfter w:w="16" w:type="pct"/>
          <w:trHeight w:val="283"/>
          <w:jc w:val="center"/>
        </w:trPr>
        <w:tc>
          <w:tcPr>
            <w:tcW w:w="4984" w:type="pct"/>
            <w:gridSpan w:val="5"/>
            <w:shd w:val="clear" w:color="auto" w:fill="FFFFFF" w:themeFill="background1"/>
            <w:tcMar>
              <w:left w:w="85" w:type="dxa"/>
            </w:tcMar>
            <w:vAlign w:val="center"/>
          </w:tcPr>
          <w:p w14:paraId="7CBBA99A" w14:textId="27197B06" w:rsidR="00F41525" w:rsidRDefault="00F41525" w:rsidP="00F41525">
            <w:pPr>
              <w:pStyle w:val="Tableheadingrow9pt"/>
              <w:rPr>
                <w:color w:val="000000" w:themeColor="text1"/>
              </w:rPr>
            </w:pPr>
            <w:r w:rsidRPr="00191F54">
              <w:rPr>
                <w:color w:val="000000" w:themeColor="text1"/>
              </w:rPr>
              <w:t>Material changes to Program 1.1 resulting from the following measures:</w:t>
            </w:r>
          </w:p>
          <w:p w14:paraId="7E6F9FD0" w14:textId="41CE62D0" w:rsidR="003E215F" w:rsidRPr="00191F54" w:rsidRDefault="00D74237" w:rsidP="00D74237">
            <w:pPr>
              <w:pStyle w:val="Tableheadingrow9pt"/>
              <w:rPr>
                <w:b w:val="0"/>
                <w:i/>
                <w:color w:val="000000" w:themeColor="text1"/>
                <w:sz w:val="17"/>
                <w:szCs w:val="17"/>
              </w:rPr>
            </w:pPr>
            <w:r w:rsidRPr="00473719">
              <w:rPr>
                <w:b w:val="0"/>
                <w:sz w:val="17"/>
                <w:szCs w:val="17"/>
              </w:rPr>
              <w:t>There are no material changes to Program 1.1 resulting from measures.</w:t>
            </w:r>
          </w:p>
        </w:tc>
      </w:tr>
    </w:tbl>
    <w:p w14:paraId="1B8F93A1" w14:textId="77777777" w:rsidR="00035757" w:rsidRPr="00191F54" w:rsidRDefault="00035757" w:rsidP="00035757">
      <w:pPr>
        <w:rPr>
          <w:rFonts w:ascii="Arial" w:hAnsi="Arial" w:cs="Arial"/>
          <w:color w:val="000000" w:themeColor="text1"/>
        </w:rPr>
      </w:pPr>
    </w:p>
    <w:p w14:paraId="6E1F52B7" w14:textId="77777777" w:rsidR="00BC0659" w:rsidRPr="00191F54" w:rsidRDefault="00BC0659" w:rsidP="000C652E">
      <w:pPr>
        <w:tabs>
          <w:tab w:val="left" w:pos="6670"/>
        </w:tabs>
        <w:rPr>
          <w:rFonts w:ascii="Arial" w:hAnsi="Arial" w:cs="Arial"/>
          <w:color w:val="000000" w:themeColor="text1"/>
        </w:rPr>
        <w:sectPr w:rsidR="00BC0659" w:rsidRPr="00191F5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42B51E68" w14:textId="77777777" w:rsidR="00BC0659" w:rsidRPr="00191F54" w:rsidRDefault="00BC0659" w:rsidP="00BC0659">
      <w:pPr>
        <w:pStyle w:val="Heading2"/>
        <w:rPr>
          <w:color w:val="000000" w:themeColor="text1"/>
        </w:rPr>
      </w:pPr>
      <w:bookmarkStart w:id="7" w:name="_Toc190682315"/>
      <w:bookmarkStart w:id="8" w:name="_Toc190682532"/>
      <w:bookmarkStart w:id="9" w:name="_Toc71465091"/>
      <w:r w:rsidRPr="00191F54">
        <w:rPr>
          <w:color w:val="000000" w:themeColor="text1"/>
        </w:rPr>
        <w:lastRenderedPageBreak/>
        <w:t>Section 3: Budgeted Financial Statements</w:t>
      </w:r>
      <w:bookmarkEnd w:id="7"/>
      <w:bookmarkEnd w:id="8"/>
      <w:bookmarkEnd w:id="9"/>
    </w:p>
    <w:p w14:paraId="395C5339" w14:textId="6269382F" w:rsidR="00BC0659" w:rsidRPr="00191F54" w:rsidRDefault="00BC0659" w:rsidP="00BC0659">
      <w:pPr>
        <w:rPr>
          <w:color w:val="000000" w:themeColor="text1"/>
        </w:rPr>
      </w:pPr>
      <w:r w:rsidRPr="00191F54">
        <w:rPr>
          <w:color w:val="000000" w:themeColor="text1"/>
        </w:rPr>
        <w:t xml:space="preserve">Section 3 presents budgeted financial statements which provide a comprehensive snapshot of entity finances for the </w:t>
      </w:r>
      <w:r w:rsidR="00883696">
        <w:rPr>
          <w:color w:val="000000" w:themeColor="text1"/>
        </w:rPr>
        <w:t>2022–</w:t>
      </w:r>
      <w:r w:rsidR="003947C1">
        <w:rPr>
          <w:color w:val="000000" w:themeColor="text1"/>
        </w:rPr>
        <w:t>23</w:t>
      </w:r>
      <w:r w:rsidRPr="00191F54">
        <w:rPr>
          <w:color w:val="000000" w:themeColor="text1"/>
        </w:rPr>
        <w:t xml:space="preserve"> Budget year, including the impact of Budget measures and resourcing on financial statements.</w:t>
      </w:r>
    </w:p>
    <w:p w14:paraId="25F18A93" w14:textId="77777777" w:rsidR="00BC0659" w:rsidRPr="00191F54" w:rsidRDefault="00BC0659" w:rsidP="00BC0659">
      <w:pPr>
        <w:pStyle w:val="Heading3"/>
        <w:rPr>
          <w:color w:val="000000" w:themeColor="text1"/>
        </w:rPr>
      </w:pPr>
      <w:bookmarkStart w:id="10" w:name="_Toc71465092"/>
      <w:r w:rsidRPr="00191F54">
        <w:rPr>
          <w:color w:val="000000" w:themeColor="text1"/>
        </w:rPr>
        <w:t>3.1</w:t>
      </w:r>
      <w:r w:rsidRPr="00191F54">
        <w:rPr>
          <w:color w:val="000000" w:themeColor="text1"/>
        </w:rPr>
        <w:tab/>
        <w:t>Budgeted Financial Statements</w:t>
      </w:r>
      <w:bookmarkEnd w:id="10"/>
    </w:p>
    <w:p w14:paraId="3E5DED36" w14:textId="77777777" w:rsidR="00BC0659" w:rsidRPr="00191F54" w:rsidRDefault="00BC0659" w:rsidP="00BC0659">
      <w:pPr>
        <w:pStyle w:val="Heading4"/>
        <w:rPr>
          <w:color w:val="000000" w:themeColor="text1"/>
        </w:rPr>
      </w:pPr>
      <w:r w:rsidRPr="00191F54">
        <w:rPr>
          <w:color w:val="000000" w:themeColor="text1"/>
        </w:rPr>
        <w:t>3.1.1</w:t>
      </w:r>
      <w:r w:rsidRPr="00191F54">
        <w:rPr>
          <w:color w:val="000000" w:themeColor="text1"/>
        </w:rPr>
        <w:tab/>
        <w:t>Differences between Entity Resourcing and Financial Statements</w:t>
      </w:r>
    </w:p>
    <w:p w14:paraId="60B45740" w14:textId="6104FC9B" w:rsidR="002A6E3F" w:rsidRPr="00441C9F" w:rsidRDefault="00441C9F" w:rsidP="002A6E3F">
      <w:pPr>
        <w:rPr>
          <w:rFonts w:cs="Arial"/>
          <w:color w:val="000000" w:themeColor="text1"/>
        </w:rPr>
      </w:pPr>
      <w:r w:rsidRPr="00441C9F">
        <w:rPr>
          <w:rFonts w:cs="Arial"/>
          <w:color w:val="000000" w:themeColor="text1"/>
        </w:rPr>
        <w:t>This section is not a</w:t>
      </w:r>
      <w:r>
        <w:rPr>
          <w:rFonts w:cs="Arial"/>
          <w:color w:val="000000" w:themeColor="text1"/>
        </w:rPr>
        <w:t>pplicable to IHPA.</w:t>
      </w:r>
    </w:p>
    <w:p w14:paraId="326E42B3" w14:textId="77777777" w:rsidR="00BC0659" w:rsidRPr="00191F54" w:rsidRDefault="00BC0659" w:rsidP="00BC0659">
      <w:pPr>
        <w:pStyle w:val="Heading4"/>
        <w:rPr>
          <w:color w:val="000000" w:themeColor="text1"/>
        </w:rPr>
      </w:pPr>
      <w:r w:rsidRPr="00191F54">
        <w:rPr>
          <w:color w:val="000000" w:themeColor="text1"/>
        </w:rPr>
        <w:t>3.1.2</w:t>
      </w:r>
      <w:r w:rsidRPr="00191F54">
        <w:rPr>
          <w:color w:val="000000" w:themeColor="text1"/>
        </w:rPr>
        <w:tab/>
        <w:t>Explanatory Notes and Analysis of Budgeted Financial Statements</w:t>
      </w:r>
    </w:p>
    <w:p w14:paraId="270F29A4" w14:textId="2150CED1" w:rsidR="00441C9F" w:rsidRPr="00441C9F" w:rsidRDefault="00441C9F" w:rsidP="007C27B4">
      <w:pPr>
        <w:rPr>
          <w:rFonts w:ascii="Arial" w:hAnsi="Arial" w:cs="Arial"/>
          <w:b/>
          <w:color w:val="000000" w:themeColor="text1"/>
        </w:rPr>
      </w:pPr>
      <w:r w:rsidRPr="00441C9F">
        <w:rPr>
          <w:rFonts w:ascii="Arial" w:hAnsi="Arial" w:cs="Arial"/>
          <w:b/>
          <w:color w:val="000000" w:themeColor="text1"/>
        </w:rPr>
        <w:t>Departmental Resources</w:t>
      </w:r>
    </w:p>
    <w:p w14:paraId="0DEA1FA9" w14:textId="77777777" w:rsidR="00441C9F" w:rsidRDefault="00441C9F" w:rsidP="007C27B4">
      <w:pPr>
        <w:rPr>
          <w:rFonts w:ascii="Arial" w:hAnsi="Arial" w:cs="Arial"/>
          <w:b/>
          <w:color w:val="000000" w:themeColor="text1"/>
          <w:sz w:val="18"/>
          <w:szCs w:val="18"/>
        </w:rPr>
      </w:pPr>
      <w:r w:rsidRPr="00441C9F">
        <w:rPr>
          <w:rFonts w:ascii="Arial" w:hAnsi="Arial" w:cs="Arial"/>
          <w:b/>
          <w:color w:val="000000" w:themeColor="text1"/>
          <w:sz w:val="18"/>
          <w:szCs w:val="18"/>
        </w:rPr>
        <w:t>Comprehensive Income Statement</w:t>
      </w:r>
    </w:p>
    <w:p w14:paraId="7444DA2C" w14:textId="5CCE0755" w:rsidR="00441C9F" w:rsidRDefault="00441C9F" w:rsidP="00441C9F">
      <w:pPr>
        <w:rPr>
          <w:rFonts w:cs="Arial"/>
          <w:color w:val="000000" w:themeColor="text1"/>
        </w:rPr>
      </w:pPr>
      <w:r>
        <w:rPr>
          <w:rFonts w:cs="Arial"/>
          <w:color w:val="000000" w:themeColor="text1"/>
        </w:rPr>
        <w:t>The operational functions of IHPA were transferred to the Department of Health (the Department) on 1 July 2016, with the board, Chief Executive Officer (CEO) and functions retained.</w:t>
      </w:r>
    </w:p>
    <w:p w14:paraId="730D7C4C" w14:textId="6797BE1A" w:rsidR="00441C9F" w:rsidRDefault="00441C9F" w:rsidP="00441C9F">
      <w:pPr>
        <w:rPr>
          <w:rFonts w:cs="Arial"/>
          <w:color w:val="000000" w:themeColor="text1"/>
        </w:rPr>
      </w:pPr>
      <w:r>
        <w:rPr>
          <w:rFonts w:cs="Arial"/>
          <w:color w:val="000000" w:themeColor="text1"/>
        </w:rPr>
        <w:t>Under a memorandum of understanding arrangement executed in June 2016, the Department’s staff are seconded to IHPA under direct control of IHPA’s CEO to support its functions. The cost of these services are provided to IHPA as resources free of charge.</w:t>
      </w:r>
    </w:p>
    <w:p w14:paraId="4364D312" w14:textId="08DA7341" w:rsidR="00441C9F" w:rsidRDefault="00441C9F" w:rsidP="00441C9F">
      <w:pPr>
        <w:rPr>
          <w:rFonts w:cs="Arial"/>
          <w:color w:val="000000" w:themeColor="text1"/>
        </w:rPr>
      </w:pPr>
      <w:r>
        <w:rPr>
          <w:rFonts w:cs="Arial"/>
          <w:color w:val="000000" w:themeColor="text1"/>
        </w:rPr>
        <w:t>In the 2022</w:t>
      </w:r>
      <w:r w:rsidR="00305B38">
        <w:rPr>
          <w:rFonts w:cs="Arial"/>
          <w:color w:val="000000" w:themeColor="text1"/>
        </w:rPr>
        <w:t>–</w:t>
      </w:r>
      <w:r>
        <w:rPr>
          <w:rFonts w:cs="Arial"/>
          <w:color w:val="000000" w:themeColor="text1"/>
        </w:rPr>
        <w:t>23 financial year</w:t>
      </w:r>
      <w:r w:rsidR="00305B38">
        <w:rPr>
          <w:rFonts w:cs="Arial"/>
          <w:color w:val="000000" w:themeColor="text1"/>
        </w:rPr>
        <w:t>,</w:t>
      </w:r>
      <w:r>
        <w:rPr>
          <w:rFonts w:cs="Arial"/>
          <w:color w:val="000000" w:themeColor="text1"/>
        </w:rPr>
        <w:t xml:space="preserve"> IHPA’s total budge</w:t>
      </w:r>
      <w:r w:rsidR="00305B38">
        <w:rPr>
          <w:rFonts w:cs="Arial"/>
          <w:color w:val="000000" w:themeColor="text1"/>
        </w:rPr>
        <w:t>t expenditure estimate is $36.0 </w:t>
      </w:r>
      <w:r>
        <w:rPr>
          <w:rFonts w:cs="Arial"/>
          <w:color w:val="000000" w:themeColor="text1"/>
        </w:rPr>
        <w:t>million. IHPA is funded through both payments from the Department and funds from own source income. Own source income is primarily derived from sales of intellectual property relating to the Australian Refined Diagnosis Related Groups (AR-DRG) classification systems.</w:t>
      </w:r>
    </w:p>
    <w:p w14:paraId="035F3A8F" w14:textId="295083D2" w:rsidR="00441C9F" w:rsidRDefault="00441C9F" w:rsidP="00441C9F">
      <w:pPr>
        <w:rPr>
          <w:rFonts w:ascii="Arial" w:hAnsi="Arial" w:cs="Arial"/>
          <w:b/>
          <w:color w:val="000000" w:themeColor="text1"/>
          <w:sz w:val="18"/>
          <w:szCs w:val="18"/>
        </w:rPr>
      </w:pPr>
      <w:r>
        <w:rPr>
          <w:rFonts w:ascii="Arial" w:hAnsi="Arial" w:cs="Arial"/>
          <w:b/>
          <w:color w:val="000000" w:themeColor="text1"/>
          <w:sz w:val="18"/>
          <w:szCs w:val="18"/>
        </w:rPr>
        <w:t>Balance Sheet</w:t>
      </w:r>
    </w:p>
    <w:p w14:paraId="6297C516" w14:textId="6D495B44" w:rsidR="00441C9F" w:rsidRPr="00441C9F" w:rsidRDefault="00441C9F" w:rsidP="00441C9F">
      <w:pPr>
        <w:rPr>
          <w:rFonts w:cs="Arial"/>
          <w:color w:val="000000" w:themeColor="text1"/>
        </w:rPr>
      </w:pPr>
      <w:r>
        <w:rPr>
          <w:rFonts w:cs="Arial"/>
          <w:color w:val="000000" w:themeColor="text1"/>
        </w:rPr>
        <w:t>IHPA’s net assets are expected to remain stable over the forward estimates.</w:t>
      </w:r>
    </w:p>
    <w:p w14:paraId="6B6A91A9" w14:textId="41023CFA" w:rsidR="007C27B4" w:rsidRPr="00441C9F" w:rsidRDefault="007C27B4" w:rsidP="007C27B4">
      <w:pPr>
        <w:rPr>
          <w:color w:val="000000" w:themeColor="text1"/>
          <w:sz w:val="18"/>
          <w:szCs w:val="18"/>
        </w:rPr>
      </w:pPr>
      <w:r w:rsidRPr="00441C9F">
        <w:rPr>
          <w:color w:val="000000" w:themeColor="text1"/>
          <w:sz w:val="18"/>
          <w:szCs w:val="18"/>
        </w:rPr>
        <w:br w:type="page"/>
      </w:r>
    </w:p>
    <w:p w14:paraId="7262F967" w14:textId="77777777" w:rsidR="00BC0659" w:rsidRPr="00191F54" w:rsidRDefault="00BC0659" w:rsidP="00BC0659">
      <w:pPr>
        <w:pStyle w:val="Heading3"/>
        <w:spacing w:before="0"/>
        <w:rPr>
          <w:color w:val="000000" w:themeColor="text1"/>
        </w:rPr>
      </w:pPr>
      <w:bookmarkStart w:id="11" w:name="_Toc71465093"/>
      <w:r w:rsidRPr="00191F54">
        <w:rPr>
          <w:color w:val="000000" w:themeColor="text1"/>
        </w:rPr>
        <w:lastRenderedPageBreak/>
        <w:t>3.2</w:t>
      </w:r>
      <w:r w:rsidRPr="00191F54">
        <w:rPr>
          <w:color w:val="000000" w:themeColor="text1"/>
        </w:rPr>
        <w:tab/>
        <w:t>Budgeted Financial Statements Tables</w:t>
      </w:r>
      <w:bookmarkEnd w:id="11"/>
    </w:p>
    <w:p w14:paraId="5A06CBBE" w14:textId="1635C07E" w:rsidR="00BC0659" w:rsidRDefault="00BC0659" w:rsidP="00BC0659">
      <w:pPr>
        <w:pStyle w:val="Tablenumberandreference"/>
        <w:rPr>
          <w:snapToGrid w:val="0"/>
          <w:color w:val="000000" w:themeColor="text1"/>
        </w:rPr>
      </w:pPr>
      <w:r w:rsidRPr="00191F54">
        <w:rPr>
          <w:color w:val="000000" w:themeColor="text1"/>
        </w:rPr>
        <w:t xml:space="preserve">Table 3.1: Comprehensive Income Statement (showing net cost of services) </w:t>
      </w:r>
      <w:r w:rsidRPr="00191F54">
        <w:rPr>
          <w:snapToGrid w:val="0"/>
          <w:color w:val="000000" w:themeColor="text1"/>
        </w:rPr>
        <w:t xml:space="preserve">for the period </w:t>
      </w:r>
      <w:r w:rsidRPr="00191F54">
        <w:rPr>
          <w:color w:val="000000" w:themeColor="text1"/>
        </w:rPr>
        <w:t>ended</w:t>
      </w:r>
      <w:r w:rsidRPr="00191F54">
        <w:rPr>
          <w:snapToGrid w:val="0"/>
          <w:color w:val="000000" w:themeColor="text1"/>
        </w:rPr>
        <w:t xml:space="preserve">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2951C2" w:rsidRPr="002951C2" w14:paraId="7A7BFC6A" w14:textId="77777777" w:rsidTr="002B348B">
        <w:trPr>
          <w:trHeight w:val="765"/>
          <w:jc w:val="center"/>
        </w:trPr>
        <w:tc>
          <w:tcPr>
            <w:tcW w:w="2860" w:type="dxa"/>
            <w:tcBorders>
              <w:top w:val="single" w:sz="4" w:space="0" w:color="auto"/>
              <w:left w:val="nil"/>
              <w:bottom w:val="nil"/>
              <w:right w:val="nil"/>
            </w:tcBorders>
            <w:shd w:val="clear" w:color="auto" w:fill="auto"/>
            <w:vAlign w:val="bottom"/>
            <w:hideMark/>
          </w:tcPr>
          <w:p w14:paraId="603DA84B" w14:textId="77777777" w:rsidR="002951C2" w:rsidRPr="002B348B" w:rsidRDefault="002951C2" w:rsidP="002B348B">
            <w:pPr>
              <w:spacing w:before="40" w:after="0"/>
              <w:jc w:val="right"/>
              <w:rPr>
                <w:rFonts w:ascii="Arial" w:hAnsi="Arial" w:cs="Arial"/>
                <w:color w:val="auto"/>
                <w:sz w:val="16"/>
                <w:szCs w:val="16"/>
              </w:rPr>
            </w:pPr>
            <w:r w:rsidRPr="002B348B">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386E2A2D" w14:textId="72AD0BEB" w:rsidR="002951C2" w:rsidRPr="002B348B"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2021–</w:t>
            </w:r>
            <w:r w:rsidR="002951C2" w:rsidRPr="002B348B">
              <w:rPr>
                <w:rFonts w:ascii="Arial" w:hAnsi="Arial" w:cs="Arial"/>
                <w:b/>
                <w:bCs/>
                <w:color w:val="auto"/>
                <w:sz w:val="16"/>
                <w:szCs w:val="16"/>
              </w:rPr>
              <w:t>22</w:t>
            </w:r>
            <w:r w:rsidR="002951C2" w:rsidRPr="002B348B">
              <w:rPr>
                <w:rFonts w:ascii="Arial" w:hAnsi="Arial" w:cs="Arial"/>
                <w:b/>
                <w:bCs/>
                <w:color w:val="auto"/>
                <w:sz w:val="16"/>
                <w:szCs w:val="16"/>
              </w:rPr>
              <w:br/>
              <w:t>Estimated actual</w:t>
            </w:r>
            <w:r w:rsidR="002951C2" w:rsidRPr="002B348B">
              <w:rPr>
                <w:rFonts w:ascii="Arial" w:hAnsi="Arial" w:cs="Arial"/>
                <w:b/>
                <w:bCs/>
                <w:color w:val="auto"/>
                <w:sz w:val="16"/>
                <w:szCs w:val="16"/>
              </w:rPr>
              <w:br/>
            </w:r>
            <w:r w:rsidR="002951C2" w:rsidRPr="002B348B">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vAlign w:val="bottom"/>
            <w:hideMark/>
          </w:tcPr>
          <w:p w14:paraId="7554CD85" w14:textId="5244CBC8"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2022–</w:t>
            </w:r>
            <w:r w:rsidR="002951C2" w:rsidRPr="002951C2">
              <w:rPr>
                <w:rFonts w:ascii="Arial" w:hAnsi="Arial" w:cs="Arial"/>
                <w:b/>
                <w:bCs/>
                <w:color w:val="auto"/>
                <w:sz w:val="16"/>
                <w:szCs w:val="16"/>
              </w:rPr>
              <w:t>23</w:t>
            </w:r>
            <w:r w:rsidR="002951C2" w:rsidRPr="002951C2">
              <w:rPr>
                <w:rFonts w:ascii="Arial" w:hAnsi="Arial" w:cs="Arial"/>
                <w:b/>
                <w:bCs/>
                <w:color w:val="auto"/>
                <w:sz w:val="16"/>
                <w:szCs w:val="16"/>
              </w:rPr>
              <w:br/>
              <w:t xml:space="preserve">Budget </w:t>
            </w:r>
            <w:r w:rsidR="002951C2" w:rsidRPr="002951C2">
              <w:rPr>
                <w:rFonts w:ascii="Arial" w:hAnsi="Arial" w:cs="Arial"/>
                <w:b/>
                <w:bCs/>
                <w:color w:val="auto"/>
                <w:sz w:val="16"/>
                <w:szCs w:val="16"/>
              </w:rPr>
              <w:br/>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15D6AF7" w14:textId="28DB1B6E"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2023–</w:t>
            </w:r>
            <w:r w:rsidR="002951C2" w:rsidRPr="002951C2">
              <w:rPr>
                <w:rFonts w:ascii="Arial" w:hAnsi="Arial" w:cs="Arial"/>
                <w:b/>
                <w:bCs/>
                <w:color w:val="auto"/>
                <w:sz w:val="16"/>
                <w:szCs w:val="16"/>
              </w:rPr>
              <w:t>24</w:t>
            </w:r>
            <w:r w:rsidR="002951C2" w:rsidRPr="002951C2">
              <w:rPr>
                <w:rFonts w:ascii="Arial" w:hAnsi="Arial" w:cs="Arial"/>
                <w:b/>
                <w:bCs/>
                <w:color w:val="auto"/>
                <w:sz w:val="16"/>
                <w:szCs w:val="16"/>
              </w:rPr>
              <w:br/>
              <w:t>Forward estimate</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07DD651E" w14:textId="777ED9F2"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2024–</w:t>
            </w:r>
            <w:r w:rsidR="002951C2" w:rsidRPr="002951C2">
              <w:rPr>
                <w:rFonts w:ascii="Arial" w:hAnsi="Arial" w:cs="Arial"/>
                <w:b/>
                <w:bCs/>
                <w:color w:val="auto"/>
                <w:sz w:val="16"/>
                <w:szCs w:val="16"/>
              </w:rPr>
              <w:t>25</w:t>
            </w:r>
            <w:r w:rsidR="002951C2" w:rsidRPr="002951C2">
              <w:rPr>
                <w:rFonts w:ascii="Arial" w:hAnsi="Arial" w:cs="Arial"/>
                <w:b/>
                <w:bCs/>
                <w:color w:val="auto"/>
                <w:sz w:val="16"/>
                <w:szCs w:val="16"/>
              </w:rPr>
              <w:br/>
              <w:t>Forward estimate</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14:paraId="537CEC24" w14:textId="286E0922"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2025–</w:t>
            </w:r>
            <w:r w:rsidR="002951C2" w:rsidRPr="002951C2">
              <w:rPr>
                <w:rFonts w:ascii="Arial" w:hAnsi="Arial" w:cs="Arial"/>
                <w:b/>
                <w:bCs/>
                <w:color w:val="auto"/>
                <w:sz w:val="16"/>
                <w:szCs w:val="16"/>
              </w:rPr>
              <w:t>26</w:t>
            </w:r>
            <w:r w:rsidR="002951C2" w:rsidRPr="002951C2">
              <w:rPr>
                <w:rFonts w:ascii="Arial" w:hAnsi="Arial" w:cs="Arial"/>
                <w:b/>
                <w:bCs/>
                <w:color w:val="auto"/>
                <w:sz w:val="16"/>
                <w:szCs w:val="16"/>
              </w:rPr>
              <w:br/>
              <w:t>Forward estimate</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r>
      <w:tr w:rsidR="002951C2" w:rsidRPr="002951C2" w14:paraId="2AF88F30"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018F5876"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73415459" w14:textId="77777777" w:rsidR="002951C2" w:rsidRPr="002951C2" w:rsidRDefault="002951C2" w:rsidP="002951C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C4DBDFD"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D7E6841" w14:textId="77777777" w:rsidR="002951C2" w:rsidRPr="002951C2" w:rsidRDefault="002951C2" w:rsidP="002951C2">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5725B2F"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F20DE2E" w14:textId="77777777" w:rsidR="002951C2" w:rsidRPr="002951C2" w:rsidRDefault="002951C2" w:rsidP="002951C2">
            <w:pPr>
              <w:spacing w:after="0"/>
              <w:jc w:val="right"/>
              <w:rPr>
                <w:rFonts w:ascii="Times New Roman" w:hAnsi="Times New Roman"/>
                <w:color w:val="auto"/>
              </w:rPr>
            </w:pPr>
          </w:p>
        </w:tc>
      </w:tr>
      <w:tr w:rsidR="002951C2" w:rsidRPr="002951C2" w14:paraId="38B22917"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1C99DD50"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5CBF45E"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12,641</w:t>
            </w:r>
          </w:p>
        </w:tc>
        <w:tc>
          <w:tcPr>
            <w:tcW w:w="900" w:type="dxa"/>
            <w:tcBorders>
              <w:top w:val="nil"/>
              <w:left w:val="nil"/>
              <w:bottom w:val="nil"/>
              <w:right w:val="nil"/>
            </w:tcBorders>
            <w:shd w:val="clear" w:color="000000" w:fill="D9D9D9"/>
            <w:noWrap/>
            <w:vAlign w:val="bottom"/>
            <w:hideMark/>
          </w:tcPr>
          <w:p w14:paraId="0C6A9DB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12,666</w:t>
            </w:r>
          </w:p>
        </w:tc>
        <w:tc>
          <w:tcPr>
            <w:tcW w:w="900" w:type="dxa"/>
            <w:tcBorders>
              <w:top w:val="nil"/>
              <w:left w:val="nil"/>
              <w:bottom w:val="nil"/>
              <w:right w:val="nil"/>
            </w:tcBorders>
            <w:shd w:val="clear" w:color="auto" w:fill="auto"/>
            <w:noWrap/>
            <w:vAlign w:val="bottom"/>
            <w:hideMark/>
          </w:tcPr>
          <w:p w14:paraId="7131D1C4"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12,736</w:t>
            </w:r>
          </w:p>
        </w:tc>
        <w:tc>
          <w:tcPr>
            <w:tcW w:w="900" w:type="dxa"/>
            <w:tcBorders>
              <w:top w:val="nil"/>
              <w:left w:val="nil"/>
              <w:bottom w:val="nil"/>
              <w:right w:val="nil"/>
            </w:tcBorders>
            <w:shd w:val="clear" w:color="auto" w:fill="auto"/>
            <w:noWrap/>
            <w:vAlign w:val="bottom"/>
            <w:hideMark/>
          </w:tcPr>
          <w:p w14:paraId="1F494D4F"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12,754</w:t>
            </w:r>
          </w:p>
        </w:tc>
        <w:tc>
          <w:tcPr>
            <w:tcW w:w="900" w:type="dxa"/>
            <w:tcBorders>
              <w:top w:val="nil"/>
              <w:left w:val="nil"/>
              <w:bottom w:val="nil"/>
              <w:right w:val="nil"/>
            </w:tcBorders>
            <w:shd w:val="clear" w:color="auto" w:fill="auto"/>
            <w:noWrap/>
            <w:vAlign w:val="bottom"/>
            <w:hideMark/>
          </w:tcPr>
          <w:p w14:paraId="5A2781F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12,754</w:t>
            </w:r>
          </w:p>
        </w:tc>
      </w:tr>
      <w:tr w:rsidR="002951C2" w:rsidRPr="002951C2" w14:paraId="02B52F2B"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25DF25F5"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7CBFF03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17,794</w:t>
            </w:r>
          </w:p>
        </w:tc>
        <w:tc>
          <w:tcPr>
            <w:tcW w:w="900" w:type="dxa"/>
            <w:tcBorders>
              <w:top w:val="nil"/>
              <w:left w:val="nil"/>
              <w:bottom w:val="nil"/>
              <w:right w:val="nil"/>
            </w:tcBorders>
            <w:shd w:val="clear" w:color="000000" w:fill="D9D9D9"/>
            <w:noWrap/>
            <w:vAlign w:val="bottom"/>
            <w:hideMark/>
          </w:tcPr>
          <w:p w14:paraId="6A700B88"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21,416</w:t>
            </w:r>
          </w:p>
        </w:tc>
        <w:tc>
          <w:tcPr>
            <w:tcW w:w="900" w:type="dxa"/>
            <w:tcBorders>
              <w:top w:val="nil"/>
              <w:left w:val="nil"/>
              <w:bottom w:val="nil"/>
              <w:right w:val="nil"/>
            </w:tcBorders>
            <w:shd w:val="clear" w:color="auto" w:fill="auto"/>
            <w:noWrap/>
            <w:vAlign w:val="bottom"/>
            <w:hideMark/>
          </w:tcPr>
          <w:p w14:paraId="6777433C"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22,632</w:t>
            </w:r>
          </w:p>
        </w:tc>
        <w:tc>
          <w:tcPr>
            <w:tcW w:w="900" w:type="dxa"/>
            <w:tcBorders>
              <w:top w:val="nil"/>
              <w:left w:val="nil"/>
              <w:bottom w:val="nil"/>
              <w:right w:val="nil"/>
            </w:tcBorders>
            <w:shd w:val="clear" w:color="auto" w:fill="auto"/>
            <w:noWrap/>
            <w:vAlign w:val="bottom"/>
            <w:hideMark/>
          </w:tcPr>
          <w:p w14:paraId="655B450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26,648</w:t>
            </w:r>
          </w:p>
        </w:tc>
        <w:tc>
          <w:tcPr>
            <w:tcW w:w="900" w:type="dxa"/>
            <w:tcBorders>
              <w:top w:val="nil"/>
              <w:left w:val="nil"/>
              <w:bottom w:val="nil"/>
              <w:right w:val="nil"/>
            </w:tcBorders>
            <w:shd w:val="clear" w:color="auto" w:fill="auto"/>
            <w:noWrap/>
            <w:vAlign w:val="bottom"/>
            <w:hideMark/>
          </w:tcPr>
          <w:p w14:paraId="79746E37"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26,813</w:t>
            </w:r>
          </w:p>
        </w:tc>
      </w:tr>
      <w:tr w:rsidR="002951C2" w:rsidRPr="002951C2" w14:paraId="70D0D210"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7BDF2968"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3B44821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2,069</w:t>
            </w:r>
          </w:p>
        </w:tc>
        <w:tc>
          <w:tcPr>
            <w:tcW w:w="900" w:type="dxa"/>
            <w:tcBorders>
              <w:top w:val="nil"/>
              <w:left w:val="nil"/>
              <w:bottom w:val="nil"/>
              <w:right w:val="nil"/>
            </w:tcBorders>
            <w:shd w:val="clear" w:color="000000" w:fill="D9D9D9"/>
            <w:noWrap/>
            <w:vAlign w:val="bottom"/>
            <w:hideMark/>
          </w:tcPr>
          <w:p w14:paraId="4E401203"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1,783</w:t>
            </w:r>
          </w:p>
        </w:tc>
        <w:tc>
          <w:tcPr>
            <w:tcW w:w="900" w:type="dxa"/>
            <w:tcBorders>
              <w:top w:val="nil"/>
              <w:left w:val="nil"/>
              <w:bottom w:val="nil"/>
              <w:right w:val="nil"/>
            </w:tcBorders>
            <w:shd w:val="clear" w:color="auto" w:fill="auto"/>
            <w:noWrap/>
            <w:vAlign w:val="bottom"/>
            <w:hideMark/>
          </w:tcPr>
          <w:p w14:paraId="0AFFCC84"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1,737</w:t>
            </w:r>
          </w:p>
        </w:tc>
        <w:tc>
          <w:tcPr>
            <w:tcW w:w="900" w:type="dxa"/>
            <w:tcBorders>
              <w:top w:val="nil"/>
              <w:left w:val="nil"/>
              <w:bottom w:val="nil"/>
              <w:right w:val="nil"/>
            </w:tcBorders>
            <w:shd w:val="clear" w:color="auto" w:fill="auto"/>
            <w:noWrap/>
            <w:vAlign w:val="bottom"/>
            <w:hideMark/>
          </w:tcPr>
          <w:p w14:paraId="1255AC1D"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1,737</w:t>
            </w:r>
          </w:p>
        </w:tc>
        <w:tc>
          <w:tcPr>
            <w:tcW w:w="900" w:type="dxa"/>
            <w:tcBorders>
              <w:top w:val="nil"/>
              <w:left w:val="nil"/>
              <w:bottom w:val="nil"/>
              <w:right w:val="nil"/>
            </w:tcBorders>
            <w:shd w:val="clear" w:color="auto" w:fill="auto"/>
            <w:noWrap/>
            <w:vAlign w:val="bottom"/>
            <w:hideMark/>
          </w:tcPr>
          <w:p w14:paraId="7BB884EF"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1,737</w:t>
            </w:r>
          </w:p>
        </w:tc>
      </w:tr>
      <w:tr w:rsidR="002951C2" w:rsidRPr="002951C2" w14:paraId="7285CB66"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161798CA"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 xml:space="preserve">Interest on </w:t>
            </w:r>
            <w:proofErr w:type="spellStart"/>
            <w:r w:rsidRPr="002951C2">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224D434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61</w:t>
            </w:r>
          </w:p>
        </w:tc>
        <w:tc>
          <w:tcPr>
            <w:tcW w:w="900" w:type="dxa"/>
            <w:tcBorders>
              <w:top w:val="nil"/>
              <w:left w:val="nil"/>
              <w:bottom w:val="nil"/>
              <w:right w:val="nil"/>
            </w:tcBorders>
            <w:shd w:val="clear" w:color="000000" w:fill="D9D9D9"/>
            <w:noWrap/>
            <w:vAlign w:val="bottom"/>
            <w:hideMark/>
          </w:tcPr>
          <w:p w14:paraId="091B59C9"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175</w:t>
            </w:r>
          </w:p>
        </w:tc>
        <w:tc>
          <w:tcPr>
            <w:tcW w:w="900" w:type="dxa"/>
            <w:tcBorders>
              <w:top w:val="nil"/>
              <w:left w:val="nil"/>
              <w:bottom w:val="nil"/>
              <w:right w:val="nil"/>
            </w:tcBorders>
            <w:shd w:val="clear" w:color="auto" w:fill="auto"/>
            <w:noWrap/>
            <w:vAlign w:val="bottom"/>
            <w:hideMark/>
          </w:tcPr>
          <w:p w14:paraId="795016B5"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164</w:t>
            </w:r>
          </w:p>
        </w:tc>
        <w:tc>
          <w:tcPr>
            <w:tcW w:w="900" w:type="dxa"/>
            <w:tcBorders>
              <w:top w:val="nil"/>
              <w:left w:val="nil"/>
              <w:bottom w:val="nil"/>
              <w:right w:val="nil"/>
            </w:tcBorders>
            <w:shd w:val="clear" w:color="auto" w:fill="auto"/>
            <w:noWrap/>
            <w:vAlign w:val="bottom"/>
            <w:hideMark/>
          </w:tcPr>
          <w:p w14:paraId="108421C8"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149</w:t>
            </w:r>
          </w:p>
        </w:tc>
        <w:tc>
          <w:tcPr>
            <w:tcW w:w="900" w:type="dxa"/>
            <w:tcBorders>
              <w:top w:val="nil"/>
              <w:left w:val="nil"/>
              <w:bottom w:val="nil"/>
              <w:right w:val="nil"/>
            </w:tcBorders>
            <w:shd w:val="clear" w:color="auto" w:fill="auto"/>
            <w:noWrap/>
            <w:vAlign w:val="bottom"/>
            <w:hideMark/>
          </w:tcPr>
          <w:p w14:paraId="3810AB3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136</w:t>
            </w:r>
          </w:p>
        </w:tc>
      </w:tr>
      <w:tr w:rsidR="002951C2" w:rsidRPr="002951C2" w14:paraId="1CA0F7CC"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11D90783" w14:textId="77777777" w:rsidR="002951C2" w:rsidRPr="002951C2" w:rsidRDefault="002951C2" w:rsidP="002B348B">
            <w:pPr>
              <w:spacing w:after="0"/>
              <w:ind w:leftChars="75" w:left="150"/>
              <w:rPr>
                <w:rFonts w:ascii="Arial" w:hAnsi="Arial" w:cs="Arial"/>
                <w:b/>
                <w:bCs/>
                <w:color w:val="auto"/>
                <w:sz w:val="16"/>
                <w:szCs w:val="16"/>
              </w:rPr>
            </w:pPr>
            <w:r w:rsidRPr="002951C2">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E01DF04"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32,565</w:t>
            </w:r>
          </w:p>
        </w:tc>
        <w:tc>
          <w:tcPr>
            <w:tcW w:w="900" w:type="dxa"/>
            <w:tcBorders>
              <w:top w:val="nil"/>
              <w:left w:val="nil"/>
              <w:bottom w:val="single" w:sz="4" w:space="0" w:color="auto"/>
              <w:right w:val="nil"/>
            </w:tcBorders>
            <w:shd w:val="clear" w:color="000000" w:fill="D9D9D9"/>
            <w:noWrap/>
            <w:vAlign w:val="bottom"/>
            <w:hideMark/>
          </w:tcPr>
          <w:p w14:paraId="38D57FA9"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36,040</w:t>
            </w:r>
          </w:p>
        </w:tc>
        <w:tc>
          <w:tcPr>
            <w:tcW w:w="900" w:type="dxa"/>
            <w:tcBorders>
              <w:top w:val="nil"/>
              <w:left w:val="nil"/>
              <w:bottom w:val="single" w:sz="4" w:space="0" w:color="auto"/>
              <w:right w:val="nil"/>
            </w:tcBorders>
            <w:shd w:val="clear" w:color="auto" w:fill="auto"/>
            <w:noWrap/>
            <w:vAlign w:val="bottom"/>
            <w:hideMark/>
          </w:tcPr>
          <w:p w14:paraId="718F3CC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37,269</w:t>
            </w:r>
          </w:p>
        </w:tc>
        <w:tc>
          <w:tcPr>
            <w:tcW w:w="900" w:type="dxa"/>
            <w:tcBorders>
              <w:top w:val="nil"/>
              <w:left w:val="nil"/>
              <w:bottom w:val="single" w:sz="4" w:space="0" w:color="auto"/>
              <w:right w:val="nil"/>
            </w:tcBorders>
            <w:shd w:val="clear" w:color="auto" w:fill="auto"/>
            <w:noWrap/>
            <w:vAlign w:val="bottom"/>
            <w:hideMark/>
          </w:tcPr>
          <w:p w14:paraId="1F1A8119"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41,288</w:t>
            </w:r>
          </w:p>
        </w:tc>
        <w:tc>
          <w:tcPr>
            <w:tcW w:w="900" w:type="dxa"/>
            <w:tcBorders>
              <w:top w:val="nil"/>
              <w:left w:val="nil"/>
              <w:bottom w:val="single" w:sz="4" w:space="0" w:color="auto"/>
              <w:right w:val="nil"/>
            </w:tcBorders>
            <w:shd w:val="clear" w:color="auto" w:fill="auto"/>
            <w:noWrap/>
            <w:vAlign w:val="bottom"/>
            <w:hideMark/>
          </w:tcPr>
          <w:p w14:paraId="56D74C8F"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41,440</w:t>
            </w:r>
          </w:p>
        </w:tc>
      </w:tr>
      <w:tr w:rsidR="002951C2" w:rsidRPr="002951C2" w14:paraId="49E29675" w14:textId="77777777" w:rsidTr="00EB657C">
        <w:trPr>
          <w:trHeight w:val="283"/>
          <w:jc w:val="center"/>
        </w:trPr>
        <w:tc>
          <w:tcPr>
            <w:tcW w:w="2860" w:type="dxa"/>
            <w:tcBorders>
              <w:top w:val="nil"/>
              <w:left w:val="nil"/>
              <w:bottom w:val="nil"/>
              <w:right w:val="nil"/>
            </w:tcBorders>
            <w:shd w:val="clear" w:color="auto" w:fill="auto"/>
            <w:noWrap/>
            <w:vAlign w:val="bottom"/>
            <w:hideMark/>
          </w:tcPr>
          <w:p w14:paraId="664F0B86"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0179F949" w14:textId="77777777" w:rsidR="002951C2" w:rsidRPr="002951C2" w:rsidRDefault="002951C2" w:rsidP="002951C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F5D24AF"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3552C22" w14:textId="77777777" w:rsidR="002951C2" w:rsidRPr="002951C2" w:rsidRDefault="002951C2" w:rsidP="002951C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58B0280"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0EB9C93" w14:textId="77777777" w:rsidR="002951C2" w:rsidRPr="002951C2" w:rsidRDefault="002951C2" w:rsidP="002951C2">
            <w:pPr>
              <w:spacing w:after="0"/>
              <w:jc w:val="right"/>
              <w:rPr>
                <w:rFonts w:ascii="Times New Roman" w:hAnsi="Times New Roman"/>
                <w:color w:val="auto"/>
              </w:rPr>
            </w:pPr>
          </w:p>
        </w:tc>
      </w:tr>
      <w:tr w:rsidR="002951C2" w:rsidRPr="002951C2" w14:paraId="70A3FB08"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14B2E54B"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2E13191B" w14:textId="77777777" w:rsidR="002951C2" w:rsidRPr="002951C2" w:rsidRDefault="002951C2" w:rsidP="002951C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DB6F6C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F250AB3" w14:textId="77777777" w:rsidR="002951C2" w:rsidRPr="002951C2" w:rsidRDefault="002951C2" w:rsidP="002951C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B1864E6"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1E3864C" w14:textId="77777777" w:rsidR="002951C2" w:rsidRPr="002951C2" w:rsidRDefault="002951C2" w:rsidP="002951C2">
            <w:pPr>
              <w:spacing w:after="0"/>
              <w:jc w:val="right"/>
              <w:rPr>
                <w:rFonts w:ascii="Times New Roman" w:hAnsi="Times New Roman"/>
                <w:color w:val="auto"/>
              </w:rPr>
            </w:pPr>
          </w:p>
        </w:tc>
      </w:tr>
      <w:tr w:rsidR="002951C2" w:rsidRPr="002951C2" w14:paraId="5F1400A8"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5DE2518C" w14:textId="77777777" w:rsidR="002951C2" w:rsidRPr="002951C2" w:rsidRDefault="002951C2" w:rsidP="002B348B">
            <w:pPr>
              <w:spacing w:after="0"/>
              <w:ind w:leftChars="75" w:left="150"/>
              <w:rPr>
                <w:rFonts w:ascii="Arial" w:hAnsi="Arial" w:cs="Arial"/>
                <w:b/>
                <w:bCs/>
                <w:color w:val="auto"/>
                <w:sz w:val="16"/>
                <w:szCs w:val="16"/>
              </w:rPr>
            </w:pPr>
            <w:r w:rsidRPr="002951C2">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E5F5A93" w14:textId="77777777" w:rsidR="002951C2" w:rsidRPr="002951C2" w:rsidRDefault="002951C2" w:rsidP="002951C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B2296C3"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8FE9D1E" w14:textId="77777777" w:rsidR="002951C2" w:rsidRPr="002951C2" w:rsidRDefault="002951C2" w:rsidP="002951C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ADE5F6B"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FFF4557" w14:textId="77777777" w:rsidR="002951C2" w:rsidRPr="002951C2" w:rsidRDefault="002951C2" w:rsidP="002951C2">
            <w:pPr>
              <w:spacing w:after="0"/>
              <w:jc w:val="right"/>
              <w:rPr>
                <w:rFonts w:ascii="Times New Roman" w:hAnsi="Times New Roman"/>
                <w:color w:val="auto"/>
              </w:rPr>
            </w:pPr>
          </w:p>
        </w:tc>
      </w:tr>
      <w:tr w:rsidR="002951C2" w:rsidRPr="002951C2" w14:paraId="15006319" w14:textId="77777777" w:rsidTr="002B348B">
        <w:trPr>
          <w:trHeight w:val="397"/>
          <w:jc w:val="center"/>
        </w:trPr>
        <w:tc>
          <w:tcPr>
            <w:tcW w:w="2860" w:type="dxa"/>
            <w:tcBorders>
              <w:top w:val="nil"/>
              <w:left w:val="nil"/>
              <w:bottom w:val="nil"/>
              <w:right w:val="nil"/>
            </w:tcBorders>
            <w:shd w:val="clear" w:color="auto" w:fill="auto"/>
            <w:vAlign w:val="bottom"/>
            <w:hideMark/>
          </w:tcPr>
          <w:p w14:paraId="1D6A1602" w14:textId="77777777" w:rsidR="002951C2" w:rsidRPr="002951C2" w:rsidRDefault="002951C2" w:rsidP="002B348B">
            <w:pPr>
              <w:spacing w:after="0"/>
              <w:ind w:leftChars="150" w:left="300"/>
              <w:rPr>
                <w:rFonts w:ascii="Arial" w:hAnsi="Arial" w:cs="Arial"/>
                <w:color w:val="auto"/>
                <w:sz w:val="16"/>
                <w:szCs w:val="16"/>
              </w:rPr>
            </w:pPr>
            <w:r w:rsidRPr="002951C2">
              <w:rPr>
                <w:rFonts w:ascii="Arial" w:hAnsi="Arial" w:cs="Arial"/>
                <w:color w:val="auto"/>
                <w:sz w:val="16"/>
                <w:szCs w:val="16"/>
              </w:rPr>
              <w:t>Sale of goods and rendering of services</w:t>
            </w:r>
            <w:r w:rsidRPr="002951C2">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09DB1090"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20,311</w:t>
            </w:r>
          </w:p>
        </w:tc>
        <w:tc>
          <w:tcPr>
            <w:tcW w:w="900" w:type="dxa"/>
            <w:tcBorders>
              <w:top w:val="nil"/>
              <w:left w:val="nil"/>
              <w:bottom w:val="nil"/>
              <w:right w:val="nil"/>
            </w:tcBorders>
            <w:shd w:val="clear" w:color="000000" w:fill="D9D9D9"/>
            <w:noWrap/>
            <w:vAlign w:val="bottom"/>
            <w:hideMark/>
          </w:tcPr>
          <w:p w14:paraId="341722E1"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23,424</w:t>
            </w:r>
          </w:p>
        </w:tc>
        <w:tc>
          <w:tcPr>
            <w:tcW w:w="900" w:type="dxa"/>
            <w:tcBorders>
              <w:top w:val="nil"/>
              <w:left w:val="nil"/>
              <w:bottom w:val="nil"/>
              <w:right w:val="nil"/>
            </w:tcBorders>
            <w:shd w:val="clear" w:color="auto" w:fill="auto"/>
            <w:noWrap/>
            <w:vAlign w:val="bottom"/>
            <w:hideMark/>
          </w:tcPr>
          <w:p w14:paraId="76A1DEE9"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24,615</w:t>
            </w:r>
          </w:p>
        </w:tc>
        <w:tc>
          <w:tcPr>
            <w:tcW w:w="900" w:type="dxa"/>
            <w:tcBorders>
              <w:top w:val="nil"/>
              <w:left w:val="nil"/>
              <w:bottom w:val="nil"/>
              <w:right w:val="nil"/>
            </w:tcBorders>
            <w:shd w:val="clear" w:color="auto" w:fill="auto"/>
            <w:noWrap/>
            <w:vAlign w:val="bottom"/>
            <w:hideMark/>
          </w:tcPr>
          <w:p w14:paraId="3AF1944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28,602</w:t>
            </w:r>
          </w:p>
        </w:tc>
        <w:tc>
          <w:tcPr>
            <w:tcW w:w="900" w:type="dxa"/>
            <w:tcBorders>
              <w:top w:val="nil"/>
              <w:left w:val="nil"/>
              <w:bottom w:val="nil"/>
              <w:right w:val="nil"/>
            </w:tcBorders>
            <w:shd w:val="clear" w:color="auto" w:fill="auto"/>
            <w:noWrap/>
            <w:vAlign w:val="bottom"/>
            <w:hideMark/>
          </w:tcPr>
          <w:p w14:paraId="60D2E0A1"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28,735</w:t>
            </w:r>
          </w:p>
        </w:tc>
      </w:tr>
      <w:tr w:rsidR="002951C2" w:rsidRPr="002951C2" w14:paraId="1B018A4D"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4AE66B0E" w14:textId="77777777" w:rsidR="002951C2" w:rsidRPr="002951C2" w:rsidRDefault="002951C2" w:rsidP="002B348B">
            <w:pPr>
              <w:spacing w:after="0"/>
              <w:ind w:leftChars="150" w:left="300"/>
              <w:rPr>
                <w:rFonts w:ascii="Arial" w:hAnsi="Arial" w:cs="Arial"/>
                <w:color w:val="auto"/>
                <w:sz w:val="16"/>
                <w:szCs w:val="16"/>
              </w:rPr>
            </w:pPr>
            <w:r w:rsidRPr="002951C2">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04A5E20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5</w:t>
            </w:r>
          </w:p>
        </w:tc>
        <w:tc>
          <w:tcPr>
            <w:tcW w:w="900" w:type="dxa"/>
            <w:tcBorders>
              <w:top w:val="nil"/>
              <w:left w:val="nil"/>
              <w:bottom w:val="nil"/>
              <w:right w:val="nil"/>
            </w:tcBorders>
            <w:shd w:val="clear" w:color="000000" w:fill="D9D9D9"/>
            <w:noWrap/>
            <w:vAlign w:val="bottom"/>
            <w:hideMark/>
          </w:tcPr>
          <w:p w14:paraId="6ADD46F6"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45F84773"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60D9D8D2"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205FEC86"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5</w:t>
            </w:r>
          </w:p>
        </w:tc>
      </w:tr>
      <w:tr w:rsidR="002951C2" w:rsidRPr="002951C2" w14:paraId="0FDDC063"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2523799A" w14:textId="77777777" w:rsidR="002951C2" w:rsidRPr="002951C2" w:rsidRDefault="002951C2" w:rsidP="002B348B">
            <w:pPr>
              <w:spacing w:after="0"/>
              <w:ind w:leftChars="150" w:left="300"/>
              <w:rPr>
                <w:rFonts w:ascii="Arial" w:hAnsi="Arial" w:cs="Arial"/>
                <w:b/>
                <w:bCs/>
                <w:color w:val="auto"/>
                <w:sz w:val="16"/>
                <w:szCs w:val="16"/>
              </w:rPr>
            </w:pPr>
            <w:r w:rsidRPr="002951C2">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5CFCC35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20,316</w:t>
            </w:r>
          </w:p>
        </w:tc>
        <w:tc>
          <w:tcPr>
            <w:tcW w:w="900" w:type="dxa"/>
            <w:tcBorders>
              <w:top w:val="nil"/>
              <w:left w:val="nil"/>
              <w:bottom w:val="single" w:sz="4" w:space="0" w:color="auto"/>
              <w:right w:val="nil"/>
            </w:tcBorders>
            <w:shd w:val="clear" w:color="000000" w:fill="D9D9D9"/>
            <w:noWrap/>
            <w:vAlign w:val="bottom"/>
            <w:hideMark/>
          </w:tcPr>
          <w:p w14:paraId="67DDC10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23,429</w:t>
            </w:r>
          </w:p>
        </w:tc>
        <w:tc>
          <w:tcPr>
            <w:tcW w:w="900" w:type="dxa"/>
            <w:tcBorders>
              <w:top w:val="nil"/>
              <w:left w:val="nil"/>
              <w:bottom w:val="single" w:sz="4" w:space="0" w:color="auto"/>
              <w:right w:val="nil"/>
            </w:tcBorders>
            <w:shd w:val="clear" w:color="auto" w:fill="auto"/>
            <w:noWrap/>
            <w:vAlign w:val="bottom"/>
            <w:hideMark/>
          </w:tcPr>
          <w:p w14:paraId="4142479D"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24,620</w:t>
            </w:r>
          </w:p>
        </w:tc>
        <w:tc>
          <w:tcPr>
            <w:tcW w:w="900" w:type="dxa"/>
            <w:tcBorders>
              <w:top w:val="nil"/>
              <w:left w:val="nil"/>
              <w:bottom w:val="single" w:sz="4" w:space="0" w:color="auto"/>
              <w:right w:val="nil"/>
            </w:tcBorders>
            <w:shd w:val="clear" w:color="auto" w:fill="auto"/>
            <w:noWrap/>
            <w:vAlign w:val="bottom"/>
            <w:hideMark/>
          </w:tcPr>
          <w:p w14:paraId="26C21C5E"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28,607</w:t>
            </w:r>
          </w:p>
        </w:tc>
        <w:tc>
          <w:tcPr>
            <w:tcW w:w="900" w:type="dxa"/>
            <w:tcBorders>
              <w:top w:val="nil"/>
              <w:left w:val="nil"/>
              <w:bottom w:val="single" w:sz="4" w:space="0" w:color="auto"/>
              <w:right w:val="nil"/>
            </w:tcBorders>
            <w:shd w:val="clear" w:color="auto" w:fill="auto"/>
            <w:noWrap/>
            <w:vAlign w:val="bottom"/>
            <w:hideMark/>
          </w:tcPr>
          <w:p w14:paraId="7FC6FCD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28,740</w:t>
            </w:r>
          </w:p>
        </w:tc>
      </w:tr>
      <w:tr w:rsidR="002951C2" w:rsidRPr="002951C2" w14:paraId="0A563B28" w14:textId="77777777" w:rsidTr="002B348B">
        <w:trPr>
          <w:trHeight w:val="227"/>
          <w:jc w:val="center"/>
        </w:trPr>
        <w:tc>
          <w:tcPr>
            <w:tcW w:w="2860" w:type="dxa"/>
            <w:tcBorders>
              <w:top w:val="nil"/>
              <w:left w:val="nil"/>
              <w:bottom w:val="nil"/>
              <w:right w:val="nil"/>
            </w:tcBorders>
            <w:shd w:val="clear" w:color="auto" w:fill="auto"/>
            <w:noWrap/>
            <w:vAlign w:val="bottom"/>
            <w:hideMark/>
          </w:tcPr>
          <w:p w14:paraId="492A3D27" w14:textId="77777777" w:rsidR="002951C2" w:rsidRPr="002951C2" w:rsidRDefault="002951C2" w:rsidP="002B348B">
            <w:pPr>
              <w:spacing w:after="0"/>
              <w:ind w:leftChars="75" w:left="150"/>
              <w:rPr>
                <w:rFonts w:ascii="Arial" w:hAnsi="Arial" w:cs="Arial"/>
                <w:b/>
                <w:bCs/>
                <w:color w:val="auto"/>
                <w:sz w:val="16"/>
                <w:szCs w:val="16"/>
              </w:rPr>
            </w:pPr>
            <w:r w:rsidRPr="002951C2">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7478DAEE" w14:textId="77777777" w:rsidR="002951C2" w:rsidRPr="002951C2" w:rsidRDefault="002951C2" w:rsidP="002951C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B73CD87"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4A091A2" w14:textId="77777777" w:rsidR="002951C2" w:rsidRPr="002951C2" w:rsidRDefault="002951C2" w:rsidP="002951C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EFFA24F"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0027BDA" w14:textId="77777777" w:rsidR="002951C2" w:rsidRPr="002951C2" w:rsidRDefault="002951C2" w:rsidP="002951C2">
            <w:pPr>
              <w:spacing w:after="0"/>
              <w:jc w:val="right"/>
              <w:rPr>
                <w:rFonts w:ascii="Times New Roman" w:hAnsi="Times New Roman"/>
                <w:color w:val="auto"/>
              </w:rPr>
            </w:pPr>
          </w:p>
        </w:tc>
      </w:tr>
      <w:tr w:rsidR="002951C2" w:rsidRPr="002951C2" w14:paraId="79EF389E"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292822A8" w14:textId="77777777" w:rsidR="002951C2" w:rsidRPr="002951C2" w:rsidRDefault="002951C2" w:rsidP="002B348B">
            <w:pPr>
              <w:spacing w:after="0"/>
              <w:ind w:leftChars="150" w:left="300"/>
              <w:rPr>
                <w:rFonts w:ascii="Arial" w:hAnsi="Arial" w:cs="Arial"/>
                <w:color w:val="auto"/>
                <w:sz w:val="16"/>
                <w:szCs w:val="16"/>
              </w:rPr>
            </w:pPr>
            <w:r w:rsidRPr="002951C2">
              <w:rPr>
                <w:rFonts w:ascii="Arial" w:hAnsi="Arial" w:cs="Arial"/>
                <w:color w:val="auto"/>
                <w:sz w:val="16"/>
                <w:szCs w:val="16"/>
              </w:rPr>
              <w:t>Other</w:t>
            </w:r>
            <w:r w:rsidRPr="002951C2">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03C6588F"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11,948</w:t>
            </w:r>
          </w:p>
        </w:tc>
        <w:tc>
          <w:tcPr>
            <w:tcW w:w="900" w:type="dxa"/>
            <w:tcBorders>
              <w:top w:val="nil"/>
              <w:left w:val="nil"/>
              <w:bottom w:val="nil"/>
              <w:right w:val="nil"/>
            </w:tcBorders>
            <w:shd w:val="clear" w:color="000000" w:fill="D9D9D9"/>
            <w:noWrap/>
            <w:vAlign w:val="bottom"/>
            <w:hideMark/>
          </w:tcPr>
          <w:p w14:paraId="6B400B09"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12,165</w:t>
            </w:r>
          </w:p>
        </w:tc>
        <w:tc>
          <w:tcPr>
            <w:tcW w:w="900" w:type="dxa"/>
            <w:tcBorders>
              <w:top w:val="nil"/>
              <w:left w:val="nil"/>
              <w:bottom w:val="nil"/>
              <w:right w:val="nil"/>
            </w:tcBorders>
            <w:shd w:val="clear" w:color="auto" w:fill="auto"/>
            <w:noWrap/>
            <w:vAlign w:val="bottom"/>
            <w:hideMark/>
          </w:tcPr>
          <w:p w14:paraId="12F4551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12,263</w:t>
            </w:r>
          </w:p>
        </w:tc>
        <w:tc>
          <w:tcPr>
            <w:tcW w:w="900" w:type="dxa"/>
            <w:tcBorders>
              <w:top w:val="nil"/>
              <w:left w:val="nil"/>
              <w:bottom w:val="nil"/>
              <w:right w:val="nil"/>
            </w:tcBorders>
            <w:shd w:val="clear" w:color="auto" w:fill="auto"/>
            <w:noWrap/>
            <w:vAlign w:val="bottom"/>
            <w:hideMark/>
          </w:tcPr>
          <w:p w14:paraId="42719199"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12,359</w:t>
            </w:r>
          </w:p>
        </w:tc>
        <w:tc>
          <w:tcPr>
            <w:tcW w:w="900" w:type="dxa"/>
            <w:tcBorders>
              <w:top w:val="nil"/>
              <w:left w:val="nil"/>
              <w:bottom w:val="nil"/>
              <w:right w:val="nil"/>
            </w:tcBorders>
            <w:shd w:val="clear" w:color="auto" w:fill="auto"/>
            <w:noWrap/>
            <w:vAlign w:val="bottom"/>
            <w:hideMark/>
          </w:tcPr>
          <w:p w14:paraId="19EB7B8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12,444</w:t>
            </w:r>
          </w:p>
        </w:tc>
      </w:tr>
      <w:tr w:rsidR="002951C2" w:rsidRPr="002951C2" w14:paraId="7D5F6323"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695BFD48" w14:textId="77777777" w:rsidR="002951C2" w:rsidRPr="002951C2" w:rsidRDefault="002951C2" w:rsidP="002B348B">
            <w:pPr>
              <w:spacing w:after="0"/>
              <w:ind w:leftChars="150" w:left="300"/>
              <w:rPr>
                <w:rFonts w:ascii="Arial" w:hAnsi="Arial" w:cs="Arial"/>
                <w:color w:val="auto"/>
                <w:sz w:val="16"/>
                <w:szCs w:val="16"/>
              </w:rPr>
            </w:pPr>
            <w:r w:rsidRPr="002951C2">
              <w:rPr>
                <w:rFonts w:ascii="Arial" w:hAnsi="Arial" w:cs="Arial"/>
                <w:color w:val="auto"/>
                <w:sz w:val="16"/>
                <w:szCs w:val="16"/>
              </w:rPr>
              <w:t>Gains from Sale of Assets</w:t>
            </w:r>
          </w:p>
        </w:tc>
        <w:tc>
          <w:tcPr>
            <w:tcW w:w="900" w:type="dxa"/>
            <w:tcBorders>
              <w:top w:val="nil"/>
              <w:left w:val="nil"/>
              <w:bottom w:val="nil"/>
              <w:right w:val="nil"/>
            </w:tcBorders>
            <w:shd w:val="clear" w:color="auto" w:fill="auto"/>
            <w:noWrap/>
            <w:vAlign w:val="bottom"/>
            <w:hideMark/>
          </w:tcPr>
          <w:p w14:paraId="0910A4F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270</w:t>
            </w:r>
          </w:p>
        </w:tc>
        <w:tc>
          <w:tcPr>
            <w:tcW w:w="900" w:type="dxa"/>
            <w:tcBorders>
              <w:top w:val="nil"/>
              <w:left w:val="nil"/>
              <w:bottom w:val="nil"/>
              <w:right w:val="nil"/>
            </w:tcBorders>
            <w:shd w:val="clear" w:color="000000" w:fill="D9D9D9"/>
            <w:noWrap/>
            <w:vAlign w:val="bottom"/>
            <w:hideMark/>
          </w:tcPr>
          <w:p w14:paraId="5E95BAEC"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130E11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B387577"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FFF39F5"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r>
      <w:tr w:rsidR="002951C2" w:rsidRPr="002951C2" w14:paraId="70CF7045"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4F6B2EB9" w14:textId="77777777" w:rsidR="002951C2" w:rsidRPr="002951C2" w:rsidRDefault="002951C2" w:rsidP="002B348B">
            <w:pPr>
              <w:spacing w:after="0"/>
              <w:ind w:leftChars="150" w:left="300"/>
              <w:rPr>
                <w:rFonts w:ascii="Arial" w:hAnsi="Arial" w:cs="Arial"/>
                <w:b/>
                <w:bCs/>
                <w:color w:val="auto"/>
                <w:sz w:val="16"/>
                <w:szCs w:val="16"/>
              </w:rPr>
            </w:pPr>
            <w:r w:rsidRPr="002951C2">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5DEC5688"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12,218</w:t>
            </w:r>
          </w:p>
        </w:tc>
        <w:tc>
          <w:tcPr>
            <w:tcW w:w="900" w:type="dxa"/>
            <w:tcBorders>
              <w:top w:val="nil"/>
              <w:left w:val="nil"/>
              <w:bottom w:val="single" w:sz="4" w:space="0" w:color="auto"/>
              <w:right w:val="nil"/>
            </w:tcBorders>
            <w:shd w:val="clear" w:color="000000" w:fill="D9D9D9"/>
            <w:noWrap/>
            <w:vAlign w:val="bottom"/>
            <w:hideMark/>
          </w:tcPr>
          <w:p w14:paraId="4EC08BC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12,165</w:t>
            </w:r>
          </w:p>
        </w:tc>
        <w:tc>
          <w:tcPr>
            <w:tcW w:w="900" w:type="dxa"/>
            <w:tcBorders>
              <w:top w:val="nil"/>
              <w:left w:val="nil"/>
              <w:bottom w:val="single" w:sz="4" w:space="0" w:color="auto"/>
              <w:right w:val="nil"/>
            </w:tcBorders>
            <w:shd w:val="clear" w:color="auto" w:fill="auto"/>
            <w:noWrap/>
            <w:vAlign w:val="bottom"/>
            <w:hideMark/>
          </w:tcPr>
          <w:p w14:paraId="4BBE379D"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12,263</w:t>
            </w:r>
          </w:p>
        </w:tc>
        <w:tc>
          <w:tcPr>
            <w:tcW w:w="900" w:type="dxa"/>
            <w:tcBorders>
              <w:top w:val="nil"/>
              <w:left w:val="nil"/>
              <w:bottom w:val="single" w:sz="4" w:space="0" w:color="auto"/>
              <w:right w:val="nil"/>
            </w:tcBorders>
            <w:shd w:val="clear" w:color="auto" w:fill="auto"/>
            <w:noWrap/>
            <w:vAlign w:val="bottom"/>
            <w:hideMark/>
          </w:tcPr>
          <w:p w14:paraId="5B686D55"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12,359</w:t>
            </w:r>
          </w:p>
        </w:tc>
        <w:tc>
          <w:tcPr>
            <w:tcW w:w="900" w:type="dxa"/>
            <w:tcBorders>
              <w:top w:val="nil"/>
              <w:left w:val="nil"/>
              <w:bottom w:val="single" w:sz="4" w:space="0" w:color="auto"/>
              <w:right w:val="nil"/>
            </w:tcBorders>
            <w:shd w:val="clear" w:color="auto" w:fill="auto"/>
            <w:noWrap/>
            <w:vAlign w:val="bottom"/>
            <w:hideMark/>
          </w:tcPr>
          <w:p w14:paraId="503733EA"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12,444</w:t>
            </w:r>
          </w:p>
        </w:tc>
      </w:tr>
      <w:tr w:rsidR="002951C2" w:rsidRPr="002951C2" w14:paraId="6CB38EBA" w14:textId="77777777" w:rsidTr="002B348B">
        <w:trPr>
          <w:trHeight w:val="225"/>
          <w:jc w:val="center"/>
        </w:trPr>
        <w:tc>
          <w:tcPr>
            <w:tcW w:w="2860" w:type="dxa"/>
            <w:tcBorders>
              <w:top w:val="nil"/>
              <w:left w:val="nil"/>
              <w:bottom w:val="nil"/>
              <w:right w:val="nil"/>
            </w:tcBorders>
            <w:shd w:val="clear" w:color="auto" w:fill="auto"/>
            <w:noWrap/>
            <w:vAlign w:val="bottom"/>
            <w:hideMark/>
          </w:tcPr>
          <w:p w14:paraId="61130638" w14:textId="77777777" w:rsidR="002951C2" w:rsidRPr="002951C2" w:rsidRDefault="002951C2" w:rsidP="002B348B">
            <w:pPr>
              <w:spacing w:after="0"/>
              <w:ind w:leftChars="75" w:left="150"/>
              <w:rPr>
                <w:rFonts w:ascii="Arial" w:hAnsi="Arial" w:cs="Arial"/>
                <w:b/>
                <w:bCs/>
                <w:color w:val="auto"/>
                <w:sz w:val="16"/>
                <w:szCs w:val="16"/>
              </w:rPr>
            </w:pPr>
            <w:r w:rsidRPr="002951C2">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31E275A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32,534</w:t>
            </w:r>
          </w:p>
        </w:tc>
        <w:tc>
          <w:tcPr>
            <w:tcW w:w="900" w:type="dxa"/>
            <w:tcBorders>
              <w:top w:val="nil"/>
              <w:left w:val="nil"/>
              <w:bottom w:val="single" w:sz="4" w:space="0" w:color="auto"/>
              <w:right w:val="nil"/>
            </w:tcBorders>
            <w:shd w:val="clear" w:color="000000" w:fill="D9D9D9"/>
            <w:noWrap/>
            <w:vAlign w:val="bottom"/>
            <w:hideMark/>
          </w:tcPr>
          <w:p w14:paraId="57C74873"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35,594</w:t>
            </w:r>
          </w:p>
        </w:tc>
        <w:tc>
          <w:tcPr>
            <w:tcW w:w="900" w:type="dxa"/>
            <w:tcBorders>
              <w:top w:val="nil"/>
              <w:left w:val="nil"/>
              <w:bottom w:val="single" w:sz="4" w:space="0" w:color="auto"/>
              <w:right w:val="nil"/>
            </w:tcBorders>
            <w:shd w:val="clear" w:color="auto" w:fill="auto"/>
            <w:noWrap/>
            <w:vAlign w:val="bottom"/>
            <w:hideMark/>
          </w:tcPr>
          <w:p w14:paraId="13334F0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36,883</w:t>
            </w:r>
          </w:p>
        </w:tc>
        <w:tc>
          <w:tcPr>
            <w:tcW w:w="900" w:type="dxa"/>
            <w:tcBorders>
              <w:top w:val="nil"/>
              <w:left w:val="nil"/>
              <w:bottom w:val="single" w:sz="4" w:space="0" w:color="auto"/>
              <w:right w:val="nil"/>
            </w:tcBorders>
            <w:shd w:val="clear" w:color="auto" w:fill="auto"/>
            <w:noWrap/>
            <w:vAlign w:val="bottom"/>
            <w:hideMark/>
          </w:tcPr>
          <w:p w14:paraId="326A8A1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40,966</w:t>
            </w:r>
          </w:p>
        </w:tc>
        <w:tc>
          <w:tcPr>
            <w:tcW w:w="900" w:type="dxa"/>
            <w:tcBorders>
              <w:top w:val="nil"/>
              <w:left w:val="nil"/>
              <w:bottom w:val="single" w:sz="4" w:space="0" w:color="auto"/>
              <w:right w:val="nil"/>
            </w:tcBorders>
            <w:shd w:val="clear" w:color="auto" w:fill="auto"/>
            <w:noWrap/>
            <w:vAlign w:val="bottom"/>
            <w:hideMark/>
          </w:tcPr>
          <w:p w14:paraId="3C3F8A9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41,184</w:t>
            </w:r>
          </w:p>
        </w:tc>
      </w:tr>
      <w:tr w:rsidR="002951C2" w:rsidRPr="002951C2" w14:paraId="36E376F9" w14:textId="77777777" w:rsidTr="002B348B">
        <w:trPr>
          <w:trHeight w:val="454"/>
          <w:jc w:val="center"/>
        </w:trPr>
        <w:tc>
          <w:tcPr>
            <w:tcW w:w="2860" w:type="dxa"/>
            <w:tcBorders>
              <w:top w:val="nil"/>
              <w:left w:val="nil"/>
              <w:bottom w:val="nil"/>
              <w:right w:val="nil"/>
            </w:tcBorders>
            <w:shd w:val="clear" w:color="auto" w:fill="auto"/>
            <w:vAlign w:val="bottom"/>
            <w:hideMark/>
          </w:tcPr>
          <w:p w14:paraId="3F775C4C"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611CAAA5"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31</w:t>
            </w:r>
          </w:p>
        </w:tc>
        <w:tc>
          <w:tcPr>
            <w:tcW w:w="900" w:type="dxa"/>
            <w:tcBorders>
              <w:top w:val="nil"/>
              <w:left w:val="nil"/>
              <w:bottom w:val="single" w:sz="4" w:space="0" w:color="auto"/>
              <w:right w:val="nil"/>
            </w:tcBorders>
            <w:shd w:val="clear" w:color="000000" w:fill="D9D9D9"/>
            <w:noWrap/>
            <w:vAlign w:val="bottom"/>
            <w:hideMark/>
          </w:tcPr>
          <w:p w14:paraId="23CB706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446</w:t>
            </w:r>
          </w:p>
        </w:tc>
        <w:tc>
          <w:tcPr>
            <w:tcW w:w="900" w:type="dxa"/>
            <w:tcBorders>
              <w:top w:val="nil"/>
              <w:left w:val="nil"/>
              <w:bottom w:val="single" w:sz="4" w:space="0" w:color="auto"/>
              <w:right w:val="nil"/>
            </w:tcBorders>
            <w:shd w:val="clear" w:color="auto" w:fill="auto"/>
            <w:noWrap/>
            <w:vAlign w:val="bottom"/>
            <w:hideMark/>
          </w:tcPr>
          <w:p w14:paraId="4EA31D6B"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386</w:t>
            </w:r>
          </w:p>
        </w:tc>
        <w:tc>
          <w:tcPr>
            <w:tcW w:w="900" w:type="dxa"/>
            <w:tcBorders>
              <w:top w:val="nil"/>
              <w:left w:val="nil"/>
              <w:bottom w:val="single" w:sz="4" w:space="0" w:color="auto"/>
              <w:right w:val="nil"/>
            </w:tcBorders>
            <w:shd w:val="clear" w:color="auto" w:fill="auto"/>
            <w:noWrap/>
            <w:vAlign w:val="bottom"/>
            <w:hideMark/>
          </w:tcPr>
          <w:p w14:paraId="62AC6617"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322</w:t>
            </w:r>
          </w:p>
        </w:tc>
        <w:tc>
          <w:tcPr>
            <w:tcW w:w="900" w:type="dxa"/>
            <w:tcBorders>
              <w:top w:val="nil"/>
              <w:left w:val="nil"/>
              <w:bottom w:val="single" w:sz="4" w:space="0" w:color="auto"/>
              <w:right w:val="nil"/>
            </w:tcBorders>
            <w:shd w:val="clear" w:color="auto" w:fill="auto"/>
            <w:noWrap/>
            <w:vAlign w:val="bottom"/>
            <w:hideMark/>
          </w:tcPr>
          <w:p w14:paraId="0AD5607E"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256</w:t>
            </w:r>
          </w:p>
        </w:tc>
      </w:tr>
      <w:tr w:rsidR="002951C2" w:rsidRPr="002951C2" w14:paraId="2D7C6517" w14:textId="77777777" w:rsidTr="002B348B">
        <w:trPr>
          <w:trHeight w:val="227"/>
          <w:jc w:val="center"/>
        </w:trPr>
        <w:tc>
          <w:tcPr>
            <w:tcW w:w="2860" w:type="dxa"/>
            <w:tcBorders>
              <w:top w:val="nil"/>
              <w:left w:val="nil"/>
              <w:bottom w:val="nil"/>
              <w:right w:val="nil"/>
            </w:tcBorders>
            <w:shd w:val="clear" w:color="auto" w:fill="auto"/>
            <w:noWrap/>
            <w:vAlign w:val="bottom"/>
            <w:hideMark/>
          </w:tcPr>
          <w:p w14:paraId="4F5806F2"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F0F5F9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BD3BA84"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4A72182"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ABD63F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EB128F0"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r>
      <w:tr w:rsidR="002951C2" w:rsidRPr="002951C2" w14:paraId="4BF86499" w14:textId="77777777" w:rsidTr="002B348B">
        <w:trPr>
          <w:trHeight w:val="283"/>
          <w:jc w:val="center"/>
        </w:trPr>
        <w:tc>
          <w:tcPr>
            <w:tcW w:w="2860" w:type="dxa"/>
            <w:tcBorders>
              <w:top w:val="nil"/>
              <w:left w:val="nil"/>
              <w:bottom w:val="nil"/>
              <w:right w:val="nil"/>
            </w:tcBorders>
            <w:shd w:val="clear" w:color="auto" w:fill="auto"/>
            <w:noWrap/>
            <w:vAlign w:val="bottom"/>
            <w:hideMark/>
          </w:tcPr>
          <w:p w14:paraId="183EFE65"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43B236C4"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(31)</w:t>
            </w:r>
          </w:p>
        </w:tc>
        <w:tc>
          <w:tcPr>
            <w:tcW w:w="900" w:type="dxa"/>
            <w:tcBorders>
              <w:top w:val="nil"/>
              <w:left w:val="nil"/>
              <w:bottom w:val="single" w:sz="4" w:space="0" w:color="auto"/>
              <w:right w:val="nil"/>
            </w:tcBorders>
            <w:shd w:val="clear" w:color="000000" w:fill="D9D9D9"/>
            <w:noWrap/>
            <w:vAlign w:val="bottom"/>
            <w:hideMark/>
          </w:tcPr>
          <w:p w14:paraId="26EBE16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(446)</w:t>
            </w:r>
          </w:p>
        </w:tc>
        <w:tc>
          <w:tcPr>
            <w:tcW w:w="900" w:type="dxa"/>
            <w:tcBorders>
              <w:top w:val="nil"/>
              <w:left w:val="nil"/>
              <w:bottom w:val="single" w:sz="4" w:space="0" w:color="auto"/>
              <w:right w:val="nil"/>
            </w:tcBorders>
            <w:shd w:val="clear" w:color="auto" w:fill="auto"/>
            <w:noWrap/>
            <w:vAlign w:val="bottom"/>
            <w:hideMark/>
          </w:tcPr>
          <w:p w14:paraId="423240D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(386)</w:t>
            </w:r>
          </w:p>
        </w:tc>
        <w:tc>
          <w:tcPr>
            <w:tcW w:w="900" w:type="dxa"/>
            <w:tcBorders>
              <w:top w:val="nil"/>
              <w:left w:val="nil"/>
              <w:bottom w:val="single" w:sz="4" w:space="0" w:color="auto"/>
              <w:right w:val="nil"/>
            </w:tcBorders>
            <w:shd w:val="clear" w:color="auto" w:fill="auto"/>
            <w:noWrap/>
            <w:vAlign w:val="bottom"/>
            <w:hideMark/>
          </w:tcPr>
          <w:p w14:paraId="1CED986D"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(322)</w:t>
            </w:r>
          </w:p>
        </w:tc>
        <w:tc>
          <w:tcPr>
            <w:tcW w:w="900" w:type="dxa"/>
            <w:tcBorders>
              <w:top w:val="nil"/>
              <w:left w:val="nil"/>
              <w:bottom w:val="single" w:sz="4" w:space="0" w:color="auto"/>
              <w:right w:val="nil"/>
            </w:tcBorders>
            <w:shd w:val="clear" w:color="auto" w:fill="auto"/>
            <w:noWrap/>
            <w:vAlign w:val="bottom"/>
            <w:hideMark/>
          </w:tcPr>
          <w:p w14:paraId="61FD42CC"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(256)</w:t>
            </w:r>
          </w:p>
        </w:tc>
      </w:tr>
      <w:tr w:rsidR="002951C2" w:rsidRPr="002951C2" w14:paraId="60C4FF21" w14:textId="77777777" w:rsidTr="002B348B">
        <w:trPr>
          <w:trHeight w:val="454"/>
          <w:jc w:val="center"/>
        </w:trPr>
        <w:tc>
          <w:tcPr>
            <w:tcW w:w="2860" w:type="dxa"/>
            <w:tcBorders>
              <w:top w:val="nil"/>
              <w:left w:val="nil"/>
              <w:bottom w:val="nil"/>
              <w:right w:val="nil"/>
            </w:tcBorders>
            <w:shd w:val="clear" w:color="auto" w:fill="auto"/>
            <w:vAlign w:val="bottom"/>
            <w:hideMark/>
          </w:tcPr>
          <w:p w14:paraId="13382F48"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D7A8DA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(31)</w:t>
            </w:r>
          </w:p>
        </w:tc>
        <w:tc>
          <w:tcPr>
            <w:tcW w:w="900" w:type="dxa"/>
            <w:tcBorders>
              <w:top w:val="nil"/>
              <w:left w:val="nil"/>
              <w:bottom w:val="single" w:sz="4" w:space="0" w:color="auto"/>
              <w:right w:val="nil"/>
            </w:tcBorders>
            <w:shd w:val="clear" w:color="000000" w:fill="D9D9D9"/>
            <w:noWrap/>
            <w:vAlign w:val="bottom"/>
            <w:hideMark/>
          </w:tcPr>
          <w:p w14:paraId="11986DB3"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(446)</w:t>
            </w:r>
          </w:p>
        </w:tc>
        <w:tc>
          <w:tcPr>
            <w:tcW w:w="900" w:type="dxa"/>
            <w:tcBorders>
              <w:top w:val="nil"/>
              <w:left w:val="nil"/>
              <w:bottom w:val="single" w:sz="4" w:space="0" w:color="auto"/>
              <w:right w:val="nil"/>
            </w:tcBorders>
            <w:shd w:val="clear" w:color="auto" w:fill="auto"/>
            <w:noWrap/>
            <w:vAlign w:val="bottom"/>
            <w:hideMark/>
          </w:tcPr>
          <w:p w14:paraId="1FB52A98"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(386)</w:t>
            </w:r>
          </w:p>
        </w:tc>
        <w:tc>
          <w:tcPr>
            <w:tcW w:w="900" w:type="dxa"/>
            <w:tcBorders>
              <w:top w:val="nil"/>
              <w:left w:val="nil"/>
              <w:bottom w:val="single" w:sz="4" w:space="0" w:color="auto"/>
              <w:right w:val="nil"/>
            </w:tcBorders>
            <w:shd w:val="clear" w:color="auto" w:fill="auto"/>
            <w:noWrap/>
            <w:vAlign w:val="bottom"/>
            <w:hideMark/>
          </w:tcPr>
          <w:p w14:paraId="042FD666"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(322)</w:t>
            </w:r>
          </w:p>
        </w:tc>
        <w:tc>
          <w:tcPr>
            <w:tcW w:w="900" w:type="dxa"/>
            <w:tcBorders>
              <w:top w:val="nil"/>
              <w:left w:val="nil"/>
              <w:bottom w:val="single" w:sz="4" w:space="0" w:color="auto"/>
              <w:right w:val="nil"/>
            </w:tcBorders>
            <w:shd w:val="clear" w:color="auto" w:fill="auto"/>
            <w:noWrap/>
            <w:vAlign w:val="bottom"/>
            <w:hideMark/>
          </w:tcPr>
          <w:p w14:paraId="3A40BDFA"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(256)</w:t>
            </w:r>
          </w:p>
        </w:tc>
      </w:tr>
      <w:tr w:rsidR="002951C2" w:rsidRPr="002951C2" w14:paraId="58B80DAE" w14:textId="77777777" w:rsidTr="00EB657C">
        <w:trPr>
          <w:trHeight w:val="454"/>
          <w:jc w:val="center"/>
        </w:trPr>
        <w:tc>
          <w:tcPr>
            <w:tcW w:w="2860" w:type="dxa"/>
            <w:tcBorders>
              <w:top w:val="nil"/>
              <w:left w:val="nil"/>
              <w:bottom w:val="nil"/>
              <w:right w:val="nil"/>
            </w:tcBorders>
            <w:shd w:val="clear" w:color="auto" w:fill="auto"/>
            <w:noWrap/>
            <w:vAlign w:val="bottom"/>
            <w:hideMark/>
          </w:tcPr>
          <w:p w14:paraId="007C70A1"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40F98995" w14:textId="77777777" w:rsidR="002951C2" w:rsidRPr="002951C2" w:rsidRDefault="002951C2" w:rsidP="002951C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02002B4"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7149613" w14:textId="77777777" w:rsidR="002951C2" w:rsidRPr="002951C2" w:rsidRDefault="002951C2" w:rsidP="002951C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BCE12D8" w14:textId="77777777" w:rsidR="002951C2" w:rsidRPr="002951C2" w:rsidRDefault="002951C2" w:rsidP="002951C2">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BB5CE4D" w14:textId="77777777" w:rsidR="002951C2" w:rsidRPr="002951C2" w:rsidRDefault="002951C2" w:rsidP="002951C2">
            <w:pPr>
              <w:spacing w:after="0"/>
              <w:jc w:val="right"/>
              <w:rPr>
                <w:rFonts w:ascii="Times New Roman" w:hAnsi="Times New Roman"/>
                <w:color w:val="auto"/>
              </w:rPr>
            </w:pPr>
          </w:p>
        </w:tc>
      </w:tr>
      <w:tr w:rsidR="002951C2" w:rsidRPr="002951C2" w14:paraId="031F8FF8" w14:textId="77777777" w:rsidTr="002B348B">
        <w:trPr>
          <w:trHeight w:val="397"/>
          <w:jc w:val="center"/>
        </w:trPr>
        <w:tc>
          <w:tcPr>
            <w:tcW w:w="2860" w:type="dxa"/>
            <w:tcBorders>
              <w:top w:val="nil"/>
              <w:left w:val="nil"/>
              <w:bottom w:val="nil"/>
              <w:right w:val="nil"/>
            </w:tcBorders>
            <w:shd w:val="clear" w:color="auto" w:fill="auto"/>
            <w:vAlign w:val="bottom"/>
            <w:hideMark/>
          </w:tcPr>
          <w:p w14:paraId="27F19E69" w14:textId="77777777" w:rsidR="002951C2" w:rsidRPr="002951C2" w:rsidRDefault="002951C2" w:rsidP="002B348B">
            <w:pPr>
              <w:spacing w:after="0"/>
              <w:ind w:leftChars="75" w:left="150"/>
              <w:rPr>
                <w:rFonts w:ascii="Arial" w:hAnsi="Arial" w:cs="Arial"/>
                <w:color w:val="auto"/>
                <w:sz w:val="16"/>
                <w:szCs w:val="16"/>
              </w:rPr>
            </w:pPr>
            <w:r w:rsidRPr="002951C2">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7B56DF95"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ECC553C"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FEEAD40"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2792A8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D61FC7A"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w:t>
            </w:r>
          </w:p>
        </w:tc>
      </w:tr>
      <w:tr w:rsidR="002951C2" w:rsidRPr="002951C2" w14:paraId="579E0369" w14:textId="77777777" w:rsidTr="002B348B">
        <w:trPr>
          <w:trHeight w:val="397"/>
          <w:jc w:val="center"/>
        </w:trPr>
        <w:tc>
          <w:tcPr>
            <w:tcW w:w="2860" w:type="dxa"/>
            <w:tcBorders>
              <w:top w:val="nil"/>
              <w:left w:val="nil"/>
              <w:bottom w:val="nil"/>
              <w:right w:val="nil"/>
            </w:tcBorders>
            <w:shd w:val="clear" w:color="auto" w:fill="auto"/>
            <w:vAlign w:val="bottom"/>
            <w:hideMark/>
          </w:tcPr>
          <w:p w14:paraId="6CE2C0AF" w14:textId="77777777" w:rsidR="002951C2" w:rsidRPr="002951C2" w:rsidRDefault="002951C2" w:rsidP="002B348B">
            <w:pPr>
              <w:spacing w:after="0"/>
              <w:ind w:leftChars="75" w:left="150"/>
              <w:rPr>
                <w:rFonts w:ascii="Arial" w:hAnsi="Arial" w:cs="Arial"/>
                <w:b/>
                <w:bCs/>
                <w:color w:val="auto"/>
                <w:sz w:val="16"/>
                <w:szCs w:val="16"/>
              </w:rPr>
            </w:pPr>
            <w:r w:rsidRPr="002951C2">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5206DE2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C847FC3"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2264BA2"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2305FFF"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4DF5A75"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r>
      <w:tr w:rsidR="002951C2" w:rsidRPr="002951C2" w14:paraId="6C3AC76B" w14:textId="77777777" w:rsidTr="002B348B">
        <w:trPr>
          <w:trHeight w:val="624"/>
          <w:jc w:val="center"/>
        </w:trPr>
        <w:tc>
          <w:tcPr>
            <w:tcW w:w="2860" w:type="dxa"/>
            <w:tcBorders>
              <w:top w:val="nil"/>
              <w:left w:val="nil"/>
              <w:bottom w:val="single" w:sz="4" w:space="0" w:color="auto"/>
              <w:right w:val="nil"/>
            </w:tcBorders>
            <w:shd w:val="clear" w:color="auto" w:fill="auto"/>
            <w:vAlign w:val="bottom"/>
            <w:hideMark/>
          </w:tcPr>
          <w:p w14:paraId="63F5B9DF"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4E87AF9"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(31)</w:t>
            </w:r>
          </w:p>
        </w:tc>
        <w:tc>
          <w:tcPr>
            <w:tcW w:w="900" w:type="dxa"/>
            <w:tcBorders>
              <w:top w:val="nil"/>
              <w:left w:val="nil"/>
              <w:bottom w:val="single" w:sz="4" w:space="0" w:color="auto"/>
              <w:right w:val="nil"/>
            </w:tcBorders>
            <w:shd w:val="clear" w:color="000000" w:fill="D9D9D9"/>
            <w:noWrap/>
            <w:vAlign w:val="bottom"/>
            <w:hideMark/>
          </w:tcPr>
          <w:p w14:paraId="45C28FED"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(446)</w:t>
            </w:r>
          </w:p>
        </w:tc>
        <w:tc>
          <w:tcPr>
            <w:tcW w:w="900" w:type="dxa"/>
            <w:tcBorders>
              <w:top w:val="nil"/>
              <w:left w:val="nil"/>
              <w:bottom w:val="single" w:sz="4" w:space="0" w:color="auto"/>
              <w:right w:val="nil"/>
            </w:tcBorders>
            <w:shd w:val="clear" w:color="auto" w:fill="auto"/>
            <w:noWrap/>
            <w:vAlign w:val="bottom"/>
            <w:hideMark/>
          </w:tcPr>
          <w:p w14:paraId="54185F66"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(386)</w:t>
            </w:r>
          </w:p>
        </w:tc>
        <w:tc>
          <w:tcPr>
            <w:tcW w:w="900" w:type="dxa"/>
            <w:tcBorders>
              <w:top w:val="nil"/>
              <w:left w:val="nil"/>
              <w:bottom w:val="single" w:sz="4" w:space="0" w:color="auto"/>
              <w:right w:val="nil"/>
            </w:tcBorders>
            <w:shd w:val="clear" w:color="000000" w:fill="FFFFFF"/>
            <w:noWrap/>
            <w:vAlign w:val="bottom"/>
            <w:hideMark/>
          </w:tcPr>
          <w:p w14:paraId="46109FE6"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(322)</w:t>
            </w:r>
          </w:p>
        </w:tc>
        <w:tc>
          <w:tcPr>
            <w:tcW w:w="900" w:type="dxa"/>
            <w:tcBorders>
              <w:top w:val="nil"/>
              <w:left w:val="nil"/>
              <w:bottom w:val="single" w:sz="4" w:space="0" w:color="auto"/>
              <w:right w:val="nil"/>
            </w:tcBorders>
            <w:shd w:val="clear" w:color="000000" w:fill="FFFFFF"/>
            <w:noWrap/>
            <w:vAlign w:val="bottom"/>
            <w:hideMark/>
          </w:tcPr>
          <w:p w14:paraId="06D31E37"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(256)</w:t>
            </w:r>
          </w:p>
        </w:tc>
      </w:tr>
      <w:tr w:rsidR="002951C2" w:rsidRPr="002951C2" w14:paraId="63D11311" w14:textId="77777777" w:rsidTr="00441351">
        <w:trPr>
          <w:trHeight w:val="113"/>
          <w:jc w:val="center"/>
        </w:trPr>
        <w:tc>
          <w:tcPr>
            <w:tcW w:w="7360" w:type="dxa"/>
            <w:gridSpan w:val="6"/>
            <w:tcBorders>
              <w:top w:val="nil"/>
              <w:left w:val="nil"/>
              <w:bottom w:val="nil"/>
              <w:right w:val="nil"/>
            </w:tcBorders>
            <w:shd w:val="clear" w:color="auto" w:fill="auto"/>
            <w:noWrap/>
            <w:vAlign w:val="bottom"/>
            <w:hideMark/>
          </w:tcPr>
          <w:p w14:paraId="59DBE445" w14:textId="77777777" w:rsidR="002951C2" w:rsidRPr="002951C2" w:rsidRDefault="002951C2" w:rsidP="00441351">
            <w:pPr>
              <w:spacing w:before="80" w:after="0"/>
              <w:rPr>
                <w:rFonts w:ascii="Arial" w:hAnsi="Arial" w:cs="Arial"/>
                <w:b/>
                <w:bCs/>
                <w:sz w:val="16"/>
                <w:szCs w:val="16"/>
              </w:rPr>
            </w:pPr>
            <w:r w:rsidRPr="002951C2">
              <w:rPr>
                <w:rFonts w:ascii="Arial" w:hAnsi="Arial" w:cs="Arial"/>
                <w:b/>
                <w:bCs/>
                <w:sz w:val="16"/>
                <w:szCs w:val="16"/>
              </w:rPr>
              <w:t>Note: Reconciliation of comprehensive income attributable to the agency</w:t>
            </w:r>
          </w:p>
        </w:tc>
      </w:tr>
      <w:tr w:rsidR="002951C2" w:rsidRPr="002951C2" w14:paraId="112EB6DA" w14:textId="77777777" w:rsidTr="002B348B">
        <w:trPr>
          <w:trHeight w:val="397"/>
          <w:jc w:val="center"/>
        </w:trPr>
        <w:tc>
          <w:tcPr>
            <w:tcW w:w="2860" w:type="dxa"/>
            <w:tcBorders>
              <w:top w:val="single" w:sz="4" w:space="0" w:color="auto"/>
              <w:left w:val="nil"/>
              <w:bottom w:val="nil"/>
              <w:right w:val="nil"/>
            </w:tcBorders>
            <w:shd w:val="clear" w:color="auto" w:fill="auto"/>
            <w:vAlign w:val="bottom"/>
            <w:hideMark/>
          </w:tcPr>
          <w:p w14:paraId="66D55182"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 </w:t>
            </w:r>
          </w:p>
        </w:tc>
        <w:tc>
          <w:tcPr>
            <w:tcW w:w="900" w:type="dxa"/>
            <w:tcBorders>
              <w:top w:val="single" w:sz="4" w:space="0" w:color="auto"/>
              <w:left w:val="nil"/>
              <w:bottom w:val="single" w:sz="4" w:space="0" w:color="000000"/>
              <w:right w:val="nil"/>
            </w:tcBorders>
            <w:shd w:val="clear" w:color="auto" w:fill="auto"/>
            <w:vAlign w:val="bottom"/>
            <w:hideMark/>
          </w:tcPr>
          <w:p w14:paraId="20A4DC5E" w14:textId="319B8B9A"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2021–</w:t>
            </w:r>
            <w:r w:rsidR="002951C2" w:rsidRPr="002951C2">
              <w:rPr>
                <w:rFonts w:ascii="Arial" w:hAnsi="Arial" w:cs="Arial"/>
                <w:b/>
                <w:bCs/>
                <w:color w:val="auto"/>
                <w:sz w:val="16"/>
                <w:szCs w:val="16"/>
              </w:rPr>
              <w:t xml:space="preserve">22 </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c>
          <w:tcPr>
            <w:tcW w:w="900" w:type="dxa"/>
            <w:tcBorders>
              <w:top w:val="single" w:sz="4" w:space="0" w:color="auto"/>
              <w:left w:val="nil"/>
              <w:bottom w:val="single" w:sz="4" w:space="0" w:color="000000"/>
              <w:right w:val="nil"/>
            </w:tcBorders>
            <w:shd w:val="clear" w:color="000000" w:fill="D9D9D9"/>
            <w:vAlign w:val="bottom"/>
            <w:hideMark/>
          </w:tcPr>
          <w:p w14:paraId="6FA6CA74" w14:textId="50B2F703"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2022–</w:t>
            </w:r>
            <w:r w:rsidR="002951C2" w:rsidRPr="002951C2">
              <w:rPr>
                <w:rFonts w:ascii="Arial" w:hAnsi="Arial" w:cs="Arial"/>
                <w:b/>
                <w:bCs/>
                <w:color w:val="auto"/>
                <w:sz w:val="16"/>
                <w:szCs w:val="16"/>
              </w:rPr>
              <w:t>23</w:t>
            </w:r>
            <w:r w:rsidR="002951C2" w:rsidRPr="002951C2">
              <w:rPr>
                <w:rFonts w:ascii="Arial" w:hAnsi="Arial" w:cs="Arial"/>
                <w:color w:val="auto"/>
                <w:sz w:val="16"/>
                <w:szCs w:val="16"/>
              </w:rPr>
              <w:t xml:space="preserve"> </w:t>
            </w:r>
            <w:r w:rsidR="002951C2" w:rsidRPr="002951C2">
              <w:rPr>
                <w:rFonts w:ascii="Arial" w:hAnsi="Arial" w:cs="Arial"/>
                <w:color w:val="auto"/>
                <w:sz w:val="16"/>
                <w:szCs w:val="16"/>
              </w:rPr>
              <w:br/>
              <w:t>$'000</w:t>
            </w:r>
          </w:p>
        </w:tc>
        <w:tc>
          <w:tcPr>
            <w:tcW w:w="900" w:type="dxa"/>
            <w:tcBorders>
              <w:top w:val="single" w:sz="4" w:space="0" w:color="auto"/>
              <w:left w:val="nil"/>
              <w:bottom w:val="single" w:sz="4" w:space="0" w:color="000000"/>
              <w:right w:val="nil"/>
            </w:tcBorders>
            <w:shd w:val="clear" w:color="auto" w:fill="auto"/>
            <w:vAlign w:val="bottom"/>
            <w:hideMark/>
          </w:tcPr>
          <w:p w14:paraId="6CB1A8D8" w14:textId="777A142E"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2023–</w:t>
            </w:r>
            <w:r w:rsidR="002951C2" w:rsidRPr="002951C2">
              <w:rPr>
                <w:rFonts w:ascii="Arial" w:hAnsi="Arial" w:cs="Arial"/>
                <w:b/>
                <w:bCs/>
                <w:color w:val="auto"/>
                <w:sz w:val="16"/>
                <w:szCs w:val="16"/>
              </w:rPr>
              <w:t>24</w:t>
            </w:r>
            <w:r w:rsidR="002951C2" w:rsidRPr="002951C2">
              <w:rPr>
                <w:rFonts w:ascii="Arial" w:hAnsi="Arial" w:cs="Arial"/>
                <w:color w:val="auto"/>
                <w:sz w:val="16"/>
                <w:szCs w:val="16"/>
              </w:rPr>
              <w:t xml:space="preserve"> </w:t>
            </w:r>
            <w:r w:rsidR="002951C2" w:rsidRPr="002951C2">
              <w:rPr>
                <w:rFonts w:ascii="Arial" w:hAnsi="Arial" w:cs="Arial"/>
                <w:color w:val="auto"/>
                <w:sz w:val="16"/>
                <w:szCs w:val="16"/>
              </w:rPr>
              <w:br/>
              <w:t>$'000</w:t>
            </w:r>
          </w:p>
        </w:tc>
        <w:tc>
          <w:tcPr>
            <w:tcW w:w="900" w:type="dxa"/>
            <w:tcBorders>
              <w:top w:val="single" w:sz="4" w:space="0" w:color="auto"/>
              <w:left w:val="nil"/>
              <w:bottom w:val="single" w:sz="4" w:space="0" w:color="000000"/>
              <w:right w:val="nil"/>
            </w:tcBorders>
            <w:shd w:val="clear" w:color="auto" w:fill="auto"/>
            <w:vAlign w:val="bottom"/>
            <w:hideMark/>
          </w:tcPr>
          <w:p w14:paraId="76A7451A" w14:textId="78BDD04A"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2024–</w:t>
            </w:r>
            <w:r w:rsidR="002951C2" w:rsidRPr="002951C2">
              <w:rPr>
                <w:rFonts w:ascii="Arial" w:hAnsi="Arial" w:cs="Arial"/>
                <w:b/>
                <w:bCs/>
                <w:color w:val="auto"/>
                <w:sz w:val="16"/>
                <w:szCs w:val="16"/>
              </w:rPr>
              <w:t xml:space="preserve">25 </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c>
          <w:tcPr>
            <w:tcW w:w="900" w:type="dxa"/>
            <w:tcBorders>
              <w:top w:val="single" w:sz="4" w:space="0" w:color="auto"/>
              <w:left w:val="nil"/>
              <w:bottom w:val="single" w:sz="4" w:space="0" w:color="000000"/>
              <w:right w:val="nil"/>
            </w:tcBorders>
            <w:shd w:val="clear" w:color="auto" w:fill="auto"/>
            <w:vAlign w:val="bottom"/>
            <w:hideMark/>
          </w:tcPr>
          <w:p w14:paraId="0A12E02C" w14:textId="253FFD3C" w:rsidR="002951C2" w:rsidRPr="002951C2" w:rsidRDefault="004C6E42" w:rsidP="002B348B">
            <w:pPr>
              <w:spacing w:before="40" w:after="0"/>
              <w:jc w:val="right"/>
              <w:rPr>
                <w:rFonts w:ascii="Arial" w:hAnsi="Arial" w:cs="Arial"/>
                <w:b/>
                <w:bCs/>
                <w:color w:val="auto"/>
                <w:sz w:val="16"/>
                <w:szCs w:val="16"/>
              </w:rPr>
            </w:pPr>
            <w:r>
              <w:rPr>
                <w:rFonts w:ascii="Arial" w:hAnsi="Arial" w:cs="Arial"/>
                <w:b/>
                <w:bCs/>
                <w:color w:val="auto"/>
                <w:sz w:val="16"/>
                <w:szCs w:val="16"/>
              </w:rPr>
              <w:t>2025–</w:t>
            </w:r>
            <w:r w:rsidR="002951C2" w:rsidRPr="002951C2">
              <w:rPr>
                <w:rFonts w:ascii="Arial" w:hAnsi="Arial" w:cs="Arial"/>
                <w:b/>
                <w:bCs/>
                <w:color w:val="auto"/>
                <w:sz w:val="16"/>
                <w:szCs w:val="16"/>
              </w:rPr>
              <w:t xml:space="preserve">26 </w:t>
            </w:r>
            <w:r w:rsidR="002951C2" w:rsidRPr="002951C2">
              <w:rPr>
                <w:rFonts w:ascii="Arial" w:hAnsi="Arial" w:cs="Arial"/>
                <w:b/>
                <w:bCs/>
                <w:color w:val="auto"/>
                <w:sz w:val="16"/>
                <w:szCs w:val="16"/>
              </w:rPr>
              <w:br/>
            </w:r>
            <w:r w:rsidR="002951C2" w:rsidRPr="002951C2">
              <w:rPr>
                <w:rFonts w:ascii="Arial" w:hAnsi="Arial" w:cs="Arial"/>
                <w:color w:val="auto"/>
                <w:sz w:val="16"/>
                <w:szCs w:val="16"/>
              </w:rPr>
              <w:t>$'000</w:t>
            </w:r>
          </w:p>
        </w:tc>
      </w:tr>
      <w:tr w:rsidR="002951C2" w:rsidRPr="002951C2" w14:paraId="4A42BE4A" w14:textId="77777777" w:rsidTr="00EB657C">
        <w:trPr>
          <w:trHeight w:val="567"/>
          <w:jc w:val="center"/>
        </w:trPr>
        <w:tc>
          <w:tcPr>
            <w:tcW w:w="2860" w:type="dxa"/>
            <w:tcBorders>
              <w:top w:val="nil"/>
              <w:left w:val="nil"/>
              <w:bottom w:val="nil"/>
              <w:right w:val="nil"/>
            </w:tcBorders>
            <w:shd w:val="clear" w:color="auto" w:fill="auto"/>
            <w:vAlign w:val="bottom"/>
            <w:hideMark/>
          </w:tcPr>
          <w:p w14:paraId="48298BE2"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7CE829E6" w14:textId="77777777" w:rsidR="002951C2" w:rsidRPr="002951C2" w:rsidRDefault="002951C2" w:rsidP="002951C2">
            <w:pPr>
              <w:spacing w:after="0"/>
              <w:jc w:val="right"/>
              <w:rPr>
                <w:rFonts w:ascii="Arial" w:hAnsi="Arial" w:cs="Arial"/>
                <w:b/>
                <w:bCs/>
                <w:sz w:val="16"/>
                <w:szCs w:val="16"/>
              </w:rPr>
            </w:pPr>
            <w:r w:rsidRPr="002951C2">
              <w:rPr>
                <w:rFonts w:ascii="Arial" w:hAnsi="Arial" w:cs="Arial"/>
                <w:b/>
                <w:bCs/>
                <w:sz w:val="16"/>
                <w:szCs w:val="16"/>
              </w:rPr>
              <w:t>(31)</w:t>
            </w:r>
          </w:p>
        </w:tc>
        <w:tc>
          <w:tcPr>
            <w:tcW w:w="900" w:type="dxa"/>
            <w:tcBorders>
              <w:top w:val="nil"/>
              <w:left w:val="nil"/>
              <w:bottom w:val="nil"/>
              <w:right w:val="nil"/>
            </w:tcBorders>
            <w:shd w:val="clear" w:color="000000" w:fill="D9D9D9"/>
            <w:vAlign w:val="bottom"/>
            <w:hideMark/>
          </w:tcPr>
          <w:p w14:paraId="719C63B9"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(446)</w:t>
            </w:r>
          </w:p>
        </w:tc>
        <w:tc>
          <w:tcPr>
            <w:tcW w:w="900" w:type="dxa"/>
            <w:tcBorders>
              <w:top w:val="nil"/>
              <w:left w:val="nil"/>
              <w:bottom w:val="nil"/>
              <w:right w:val="nil"/>
            </w:tcBorders>
            <w:shd w:val="clear" w:color="auto" w:fill="auto"/>
            <w:vAlign w:val="bottom"/>
            <w:hideMark/>
          </w:tcPr>
          <w:p w14:paraId="17AAA420"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(386)</w:t>
            </w:r>
          </w:p>
        </w:tc>
        <w:tc>
          <w:tcPr>
            <w:tcW w:w="900" w:type="dxa"/>
            <w:tcBorders>
              <w:top w:val="nil"/>
              <w:left w:val="nil"/>
              <w:bottom w:val="nil"/>
              <w:right w:val="nil"/>
            </w:tcBorders>
            <w:shd w:val="clear" w:color="auto" w:fill="auto"/>
            <w:vAlign w:val="bottom"/>
            <w:hideMark/>
          </w:tcPr>
          <w:p w14:paraId="0867131B"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(322)</w:t>
            </w:r>
          </w:p>
        </w:tc>
        <w:tc>
          <w:tcPr>
            <w:tcW w:w="900" w:type="dxa"/>
            <w:tcBorders>
              <w:top w:val="nil"/>
              <w:left w:val="nil"/>
              <w:bottom w:val="nil"/>
              <w:right w:val="nil"/>
            </w:tcBorders>
            <w:shd w:val="clear" w:color="auto" w:fill="auto"/>
            <w:vAlign w:val="bottom"/>
            <w:hideMark/>
          </w:tcPr>
          <w:p w14:paraId="75549E1D"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(256)</w:t>
            </w:r>
          </w:p>
        </w:tc>
      </w:tr>
      <w:tr w:rsidR="002951C2" w:rsidRPr="002951C2" w14:paraId="667CD886" w14:textId="77777777" w:rsidTr="002B348B">
        <w:trPr>
          <w:trHeight w:val="397"/>
          <w:jc w:val="center"/>
        </w:trPr>
        <w:tc>
          <w:tcPr>
            <w:tcW w:w="2860" w:type="dxa"/>
            <w:tcBorders>
              <w:top w:val="nil"/>
              <w:left w:val="nil"/>
              <w:bottom w:val="nil"/>
              <w:right w:val="nil"/>
            </w:tcBorders>
            <w:shd w:val="clear" w:color="auto" w:fill="auto"/>
            <w:vAlign w:val="bottom"/>
            <w:hideMark/>
          </w:tcPr>
          <w:p w14:paraId="7D8AEB2E" w14:textId="77777777" w:rsidR="002951C2" w:rsidRPr="002951C2" w:rsidRDefault="002951C2" w:rsidP="002B348B">
            <w:pPr>
              <w:spacing w:after="0"/>
              <w:ind w:leftChars="75" w:left="150"/>
              <w:rPr>
                <w:rFonts w:ascii="Arial" w:hAnsi="Arial" w:cs="Arial"/>
                <w:sz w:val="16"/>
                <w:szCs w:val="16"/>
              </w:rPr>
            </w:pPr>
            <w:r w:rsidRPr="002951C2">
              <w:rPr>
                <w:rFonts w:ascii="Arial" w:hAnsi="Arial" w:cs="Arial"/>
                <w:sz w:val="16"/>
                <w:szCs w:val="16"/>
              </w:rPr>
              <w:t xml:space="preserve">plus depreciation and amortisation expenses for </w:t>
            </w:r>
            <w:proofErr w:type="spellStart"/>
            <w:r w:rsidRPr="002951C2">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556D3CC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818</w:t>
            </w:r>
          </w:p>
        </w:tc>
        <w:tc>
          <w:tcPr>
            <w:tcW w:w="900" w:type="dxa"/>
            <w:tcBorders>
              <w:top w:val="nil"/>
              <w:left w:val="nil"/>
              <w:bottom w:val="nil"/>
              <w:right w:val="nil"/>
            </w:tcBorders>
            <w:shd w:val="clear" w:color="000000" w:fill="D9D9D9"/>
            <w:noWrap/>
            <w:vAlign w:val="bottom"/>
            <w:hideMark/>
          </w:tcPr>
          <w:p w14:paraId="5AC225F7"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1,280</w:t>
            </w:r>
          </w:p>
        </w:tc>
        <w:tc>
          <w:tcPr>
            <w:tcW w:w="900" w:type="dxa"/>
            <w:tcBorders>
              <w:top w:val="nil"/>
              <w:left w:val="nil"/>
              <w:bottom w:val="nil"/>
              <w:right w:val="nil"/>
            </w:tcBorders>
            <w:shd w:val="clear" w:color="auto" w:fill="auto"/>
            <w:noWrap/>
            <w:vAlign w:val="bottom"/>
            <w:hideMark/>
          </w:tcPr>
          <w:p w14:paraId="653755FC"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1,280</w:t>
            </w:r>
          </w:p>
        </w:tc>
        <w:tc>
          <w:tcPr>
            <w:tcW w:w="900" w:type="dxa"/>
            <w:tcBorders>
              <w:top w:val="nil"/>
              <w:left w:val="nil"/>
              <w:bottom w:val="nil"/>
              <w:right w:val="nil"/>
            </w:tcBorders>
            <w:shd w:val="clear" w:color="auto" w:fill="auto"/>
            <w:noWrap/>
            <w:vAlign w:val="bottom"/>
            <w:hideMark/>
          </w:tcPr>
          <w:p w14:paraId="16EA9BE9"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1,280</w:t>
            </w:r>
          </w:p>
        </w:tc>
        <w:tc>
          <w:tcPr>
            <w:tcW w:w="900" w:type="dxa"/>
            <w:tcBorders>
              <w:top w:val="nil"/>
              <w:left w:val="nil"/>
              <w:bottom w:val="nil"/>
              <w:right w:val="nil"/>
            </w:tcBorders>
            <w:shd w:val="clear" w:color="auto" w:fill="auto"/>
            <w:noWrap/>
            <w:vAlign w:val="bottom"/>
            <w:hideMark/>
          </w:tcPr>
          <w:p w14:paraId="416BFAAF"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1,280</w:t>
            </w:r>
          </w:p>
        </w:tc>
      </w:tr>
      <w:tr w:rsidR="002951C2" w:rsidRPr="002951C2" w14:paraId="0D784612" w14:textId="77777777" w:rsidTr="002B348B">
        <w:trPr>
          <w:trHeight w:val="227"/>
          <w:jc w:val="center"/>
        </w:trPr>
        <w:tc>
          <w:tcPr>
            <w:tcW w:w="2860" w:type="dxa"/>
            <w:tcBorders>
              <w:top w:val="nil"/>
              <w:left w:val="nil"/>
              <w:bottom w:val="nil"/>
              <w:right w:val="nil"/>
            </w:tcBorders>
            <w:shd w:val="clear" w:color="auto" w:fill="auto"/>
            <w:vAlign w:val="bottom"/>
            <w:hideMark/>
          </w:tcPr>
          <w:p w14:paraId="5E8B7B6C" w14:textId="77777777" w:rsidR="002951C2" w:rsidRPr="002951C2" w:rsidRDefault="002951C2" w:rsidP="002B348B">
            <w:pPr>
              <w:spacing w:after="0"/>
              <w:ind w:leftChars="75" w:left="150"/>
              <w:rPr>
                <w:rFonts w:ascii="Arial" w:hAnsi="Arial" w:cs="Arial"/>
                <w:sz w:val="16"/>
                <w:szCs w:val="16"/>
              </w:rPr>
            </w:pPr>
            <w:r w:rsidRPr="002951C2">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280AC9E8"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(787)</w:t>
            </w:r>
          </w:p>
        </w:tc>
        <w:tc>
          <w:tcPr>
            <w:tcW w:w="900" w:type="dxa"/>
            <w:tcBorders>
              <w:top w:val="nil"/>
              <w:left w:val="nil"/>
              <w:bottom w:val="nil"/>
              <w:right w:val="nil"/>
            </w:tcBorders>
            <w:shd w:val="clear" w:color="000000" w:fill="D9D9D9"/>
            <w:noWrap/>
            <w:vAlign w:val="bottom"/>
            <w:hideMark/>
          </w:tcPr>
          <w:p w14:paraId="40F0A3C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(834)</w:t>
            </w:r>
          </w:p>
        </w:tc>
        <w:tc>
          <w:tcPr>
            <w:tcW w:w="900" w:type="dxa"/>
            <w:tcBorders>
              <w:top w:val="nil"/>
              <w:left w:val="nil"/>
              <w:bottom w:val="nil"/>
              <w:right w:val="nil"/>
            </w:tcBorders>
            <w:shd w:val="clear" w:color="auto" w:fill="auto"/>
            <w:noWrap/>
            <w:vAlign w:val="bottom"/>
            <w:hideMark/>
          </w:tcPr>
          <w:p w14:paraId="6AC88CC4"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(894)</w:t>
            </w:r>
          </w:p>
        </w:tc>
        <w:tc>
          <w:tcPr>
            <w:tcW w:w="900" w:type="dxa"/>
            <w:tcBorders>
              <w:top w:val="nil"/>
              <w:left w:val="nil"/>
              <w:bottom w:val="nil"/>
              <w:right w:val="nil"/>
            </w:tcBorders>
            <w:shd w:val="clear" w:color="auto" w:fill="auto"/>
            <w:noWrap/>
            <w:vAlign w:val="bottom"/>
            <w:hideMark/>
          </w:tcPr>
          <w:p w14:paraId="2ACD3C3B"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(958)</w:t>
            </w:r>
          </w:p>
        </w:tc>
        <w:tc>
          <w:tcPr>
            <w:tcW w:w="900" w:type="dxa"/>
            <w:tcBorders>
              <w:top w:val="nil"/>
              <w:left w:val="nil"/>
              <w:bottom w:val="nil"/>
              <w:right w:val="nil"/>
            </w:tcBorders>
            <w:shd w:val="clear" w:color="auto" w:fill="auto"/>
            <w:noWrap/>
            <w:vAlign w:val="bottom"/>
            <w:hideMark/>
          </w:tcPr>
          <w:p w14:paraId="1E8C752F" w14:textId="77777777" w:rsidR="002951C2" w:rsidRPr="002951C2" w:rsidRDefault="002951C2" w:rsidP="002951C2">
            <w:pPr>
              <w:spacing w:after="0"/>
              <w:jc w:val="right"/>
              <w:rPr>
                <w:rFonts w:ascii="Arial" w:hAnsi="Arial" w:cs="Arial"/>
                <w:color w:val="auto"/>
                <w:sz w:val="16"/>
                <w:szCs w:val="16"/>
              </w:rPr>
            </w:pPr>
            <w:r w:rsidRPr="002951C2">
              <w:rPr>
                <w:rFonts w:ascii="Arial" w:hAnsi="Arial" w:cs="Arial"/>
                <w:color w:val="auto"/>
                <w:sz w:val="16"/>
                <w:szCs w:val="16"/>
              </w:rPr>
              <w:t>(1,024)</w:t>
            </w:r>
          </w:p>
        </w:tc>
      </w:tr>
      <w:tr w:rsidR="002951C2" w:rsidRPr="002951C2" w14:paraId="6E3DAB48" w14:textId="77777777" w:rsidTr="002B348B">
        <w:trPr>
          <w:trHeight w:val="454"/>
          <w:jc w:val="center"/>
        </w:trPr>
        <w:tc>
          <w:tcPr>
            <w:tcW w:w="2860" w:type="dxa"/>
            <w:tcBorders>
              <w:top w:val="nil"/>
              <w:left w:val="nil"/>
              <w:bottom w:val="single" w:sz="4" w:space="0" w:color="auto"/>
              <w:right w:val="nil"/>
            </w:tcBorders>
            <w:shd w:val="clear" w:color="auto" w:fill="auto"/>
            <w:vAlign w:val="bottom"/>
            <w:hideMark/>
          </w:tcPr>
          <w:p w14:paraId="5A24EAA4" w14:textId="77777777" w:rsidR="002951C2" w:rsidRPr="002951C2" w:rsidRDefault="002951C2" w:rsidP="002951C2">
            <w:pPr>
              <w:spacing w:after="0"/>
              <w:rPr>
                <w:rFonts w:ascii="Arial" w:hAnsi="Arial" w:cs="Arial"/>
                <w:b/>
                <w:bCs/>
                <w:color w:val="auto"/>
                <w:sz w:val="16"/>
                <w:szCs w:val="16"/>
              </w:rPr>
            </w:pPr>
            <w:r w:rsidRPr="002951C2">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54A8811"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752E2FF"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1DB1CEA"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F11367"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4821A73" w14:textId="77777777" w:rsidR="002951C2" w:rsidRPr="002951C2" w:rsidRDefault="002951C2" w:rsidP="002951C2">
            <w:pPr>
              <w:spacing w:after="0"/>
              <w:jc w:val="right"/>
              <w:rPr>
                <w:rFonts w:ascii="Arial" w:hAnsi="Arial" w:cs="Arial"/>
                <w:b/>
                <w:bCs/>
                <w:color w:val="auto"/>
                <w:sz w:val="16"/>
                <w:szCs w:val="16"/>
              </w:rPr>
            </w:pPr>
            <w:r w:rsidRPr="002951C2">
              <w:rPr>
                <w:rFonts w:ascii="Arial" w:hAnsi="Arial" w:cs="Arial"/>
                <w:b/>
                <w:bCs/>
                <w:color w:val="auto"/>
                <w:sz w:val="16"/>
                <w:szCs w:val="16"/>
              </w:rPr>
              <w:t>-</w:t>
            </w:r>
          </w:p>
        </w:tc>
      </w:tr>
    </w:tbl>
    <w:p w14:paraId="62B5B9EE" w14:textId="261D1B15" w:rsidR="002B348B" w:rsidRPr="002B348B" w:rsidRDefault="002B348B" w:rsidP="00441351">
      <w:pPr>
        <w:pStyle w:val="FootnoteText"/>
        <w:spacing w:before="60" w:after="40"/>
      </w:pPr>
      <w:proofErr w:type="spellStart"/>
      <w:r>
        <w:t>RoU</w:t>
      </w:r>
      <w:proofErr w:type="spellEnd"/>
      <w:r>
        <w:t xml:space="preserve"> = Right-of-Use asset</w:t>
      </w:r>
    </w:p>
    <w:p w14:paraId="70AAC057" w14:textId="406F1568" w:rsidR="002B348B" w:rsidRPr="002B348B" w:rsidRDefault="002B348B" w:rsidP="002B348B">
      <w:pPr>
        <w:pStyle w:val="FootnoteText"/>
      </w:pPr>
      <w:r w:rsidRPr="002B348B">
        <w:rPr>
          <w:vertAlign w:val="superscript"/>
        </w:rPr>
        <w:t>(a)</w:t>
      </w:r>
      <w:r>
        <w:tab/>
      </w:r>
      <w:r w:rsidRPr="002B348B">
        <w:t xml:space="preserve">Payments from Department of Health </w:t>
      </w:r>
      <w:r>
        <w:t>and funds from own sources.</w:t>
      </w:r>
    </w:p>
    <w:p w14:paraId="3F90407F" w14:textId="156A31E7" w:rsidR="002B348B" w:rsidRDefault="002B348B" w:rsidP="002B348B">
      <w:pPr>
        <w:pStyle w:val="FootnoteText"/>
      </w:pPr>
      <w:r w:rsidRPr="002B348B">
        <w:rPr>
          <w:vertAlign w:val="superscript"/>
        </w:rPr>
        <w:t>(b)</w:t>
      </w:r>
      <w:r>
        <w:tab/>
      </w:r>
      <w:r w:rsidRPr="002B348B">
        <w:t>Primarily comprised of staff salary and shared services received free of charge</w:t>
      </w:r>
      <w:r>
        <w:t xml:space="preserve"> from Department of Health.</w:t>
      </w:r>
      <w:r>
        <w:br w:type="page"/>
      </w:r>
    </w:p>
    <w:p w14:paraId="24DE2C8A" w14:textId="01DABCF9" w:rsidR="00BC0659" w:rsidRDefault="00BC0659" w:rsidP="00BC0659">
      <w:pPr>
        <w:pStyle w:val="Tablenumberandreference"/>
        <w:rPr>
          <w:color w:val="000000" w:themeColor="text1"/>
        </w:rPr>
      </w:pPr>
      <w:r w:rsidRPr="00191F54">
        <w:rPr>
          <w:color w:val="000000" w:themeColor="text1"/>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0E7B8B" w:rsidRPr="000E7B8B" w14:paraId="26016600" w14:textId="77777777" w:rsidTr="000E7B8B">
        <w:trPr>
          <w:trHeight w:val="765"/>
          <w:jc w:val="center"/>
        </w:trPr>
        <w:tc>
          <w:tcPr>
            <w:tcW w:w="2963" w:type="dxa"/>
            <w:tcBorders>
              <w:top w:val="single" w:sz="4" w:space="0" w:color="auto"/>
              <w:left w:val="nil"/>
              <w:bottom w:val="nil"/>
              <w:right w:val="nil"/>
            </w:tcBorders>
            <w:shd w:val="clear" w:color="auto" w:fill="auto"/>
            <w:hideMark/>
          </w:tcPr>
          <w:p w14:paraId="04C46153" w14:textId="77777777" w:rsidR="000E7B8B" w:rsidRPr="000E7B8B" w:rsidRDefault="000E7B8B" w:rsidP="000E7B8B">
            <w:pPr>
              <w:spacing w:before="40" w:after="0"/>
              <w:jc w:val="right"/>
              <w:rPr>
                <w:rFonts w:ascii="Arial" w:hAnsi="Arial" w:cs="Arial"/>
                <w:color w:val="auto"/>
                <w:sz w:val="16"/>
                <w:szCs w:val="16"/>
              </w:rPr>
            </w:pPr>
            <w:r w:rsidRPr="000E7B8B">
              <w:rPr>
                <w:rFonts w:ascii="Arial" w:hAnsi="Arial" w:cs="Arial"/>
                <w:color w:val="auto"/>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7CD66246" w14:textId="6203608D" w:rsidR="000E7B8B" w:rsidRPr="000E7B8B" w:rsidRDefault="004C6E42" w:rsidP="000E7B8B">
            <w:pPr>
              <w:spacing w:before="40" w:after="0"/>
              <w:jc w:val="right"/>
              <w:rPr>
                <w:rFonts w:ascii="Arial" w:hAnsi="Arial" w:cs="Arial"/>
                <w:b/>
                <w:bCs/>
                <w:color w:val="auto"/>
                <w:sz w:val="16"/>
                <w:szCs w:val="16"/>
              </w:rPr>
            </w:pPr>
            <w:r>
              <w:rPr>
                <w:rFonts w:ascii="Arial" w:hAnsi="Arial" w:cs="Arial"/>
                <w:b/>
                <w:bCs/>
                <w:color w:val="auto"/>
                <w:sz w:val="16"/>
                <w:szCs w:val="16"/>
              </w:rPr>
              <w:t>2021–</w:t>
            </w:r>
            <w:r w:rsidR="000E7B8B" w:rsidRPr="000E7B8B">
              <w:rPr>
                <w:rFonts w:ascii="Arial" w:hAnsi="Arial" w:cs="Arial"/>
                <w:b/>
                <w:bCs/>
                <w:color w:val="auto"/>
                <w:sz w:val="16"/>
                <w:szCs w:val="16"/>
              </w:rPr>
              <w:t>22</w:t>
            </w:r>
            <w:r w:rsidR="000E7B8B" w:rsidRPr="000E7B8B">
              <w:rPr>
                <w:rFonts w:ascii="Arial" w:hAnsi="Arial" w:cs="Arial"/>
                <w:b/>
                <w:bCs/>
                <w:color w:val="auto"/>
                <w:sz w:val="16"/>
                <w:szCs w:val="16"/>
              </w:rPr>
              <w:br/>
              <w:t>Estimated actual</w:t>
            </w:r>
            <w:r w:rsidR="000E7B8B" w:rsidRPr="000E7B8B">
              <w:rPr>
                <w:rFonts w:ascii="Arial" w:hAnsi="Arial" w:cs="Arial"/>
                <w:b/>
                <w:bCs/>
                <w:color w:val="auto"/>
                <w:sz w:val="16"/>
                <w:szCs w:val="16"/>
              </w:rPr>
              <w:br/>
            </w:r>
            <w:r w:rsidR="000E7B8B" w:rsidRPr="000E7B8B">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hideMark/>
          </w:tcPr>
          <w:p w14:paraId="47850F51" w14:textId="0D5C4EA1" w:rsidR="000E7B8B" w:rsidRPr="000E7B8B" w:rsidRDefault="004C6E42" w:rsidP="000E7B8B">
            <w:pPr>
              <w:spacing w:before="40" w:after="0"/>
              <w:jc w:val="right"/>
              <w:rPr>
                <w:rFonts w:ascii="Arial" w:hAnsi="Arial" w:cs="Arial"/>
                <w:b/>
                <w:bCs/>
                <w:color w:val="auto"/>
                <w:sz w:val="16"/>
                <w:szCs w:val="16"/>
              </w:rPr>
            </w:pPr>
            <w:r>
              <w:rPr>
                <w:rFonts w:ascii="Arial" w:hAnsi="Arial" w:cs="Arial"/>
                <w:b/>
                <w:bCs/>
                <w:color w:val="auto"/>
                <w:sz w:val="16"/>
                <w:szCs w:val="16"/>
              </w:rPr>
              <w:t>2022–</w:t>
            </w:r>
            <w:r w:rsidR="000E7B8B" w:rsidRPr="000E7B8B">
              <w:rPr>
                <w:rFonts w:ascii="Arial" w:hAnsi="Arial" w:cs="Arial"/>
                <w:b/>
                <w:bCs/>
                <w:color w:val="auto"/>
                <w:sz w:val="16"/>
                <w:szCs w:val="16"/>
              </w:rPr>
              <w:t>23</w:t>
            </w:r>
            <w:r w:rsidR="000E7B8B" w:rsidRPr="000E7B8B">
              <w:rPr>
                <w:rFonts w:ascii="Arial" w:hAnsi="Arial" w:cs="Arial"/>
                <w:b/>
                <w:bCs/>
                <w:color w:val="auto"/>
                <w:sz w:val="16"/>
                <w:szCs w:val="16"/>
              </w:rPr>
              <w:br/>
              <w:t xml:space="preserve">Budget </w:t>
            </w:r>
            <w:r w:rsidR="000E7B8B" w:rsidRPr="000E7B8B">
              <w:rPr>
                <w:rFonts w:ascii="Arial" w:hAnsi="Arial" w:cs="Arial"/>
                <w:b/>
                <w:bCs/>
                <w:color w:val="auto"/>
                <w:sz w:val="16"/>
                <w:szCs w:val="16"/>
              </w:rPr>
              <w:br/>
            </w:r>
            <w:r w:rsidR="000E7B8B" w:rsidRPr="000E7B8B">
              <w:rPr>
                <w:rFonts w:ascii="Arial" w:hAnsi="Arial" w:cs="Arial"/>
                <w:b/>
                <w:bCs/>
                <w:color w:val="auto"/>
                <w:sz w:val="16"/>
                <w:szCs w:val="16"/>
              </w:rPr>
              <w:br/>
            </w:r>
            <w:r w:rsidR="000E7B8B" w:rsidRPr="000E7B8B">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56A961E1" w14:textId="3C808678" w:rsidR="000E7B8B" w:rsidRPr="000E7B8B" w:rsidRDefault="004C6E42" w:rsidP="000E7B8B">
            <w:pPr>
              <w:spacing w:before="40" w:after="0"/>
              <w:jc w:val="right"/>
              <w:rPr>
                <w:rFonts w:ascii="Arial" w:hAnsi="Arial" w:cs="Arial"/>
                <w:b/>
                <w:bCs/>
                <w:color w:val="auto"/>
                <w:sz w:val="16"/>
                <w:szCs w:val="16"/>
              </w:rPr>
            </w:pPr>
            <w:r>
              <w:rPr>
                <w:rFonts w:ascii="Arial" w:hAnsi="Arial" w:cs="Arial"/>
                <w:b/>
                <w:bCs/>
                <w:color w:val="auto"/>
                <w:sz w:val="16"/>
                <w:szCs w:val="16"/>
              </w:rPr>
              <w:t>2023–</w:t>
            </w:r>
            <w:r w:rsidR="000E7B8B" w:rsidRPr="000E7B8B">
              <w:rPr>
                <w:rFonts w:ascii="Arial" w:hAnsi="Arial" w:cs="Arial"/>
                <w:b/>
                <w:bCs/>
                <w:color w:val="auto"/>
                <w:sz w:val="16"/>
                <w:szCs w:val="16"/>
              </w:rPr>
              <w:t>24</w:t>
            </w:r>
            <w:r w:rsidR="000E7B8B" w:rsidRPr="000E7B8B">
              <w:rPr>
                <w:rFonts w:ascii="Arial" w:hAnsi="Arial" w:cs="Arial"/>
                <w:b/>
                <w:bCs/>
                <w:color w:val="auto"/>
                <w:sz w:val="16"/>
                <w:szCs w:val="16"/>
              </w:rPr>
              <w:br/>
              <w:t>Forward estimate</w:t>
            </w:r>
            <w:r w:rsidR="000E7B8B" w:rsidRPr="000E7B8B">
              <w:rPr>
                <w:rFonts w:ascii="Arial" w:hAnsi="Arial" w:cs="Arial"/>
                <w:b/>
                <w:bCs/>
                <w:color w:val="auto"/>
                <w:sz w:val="16"/>
                <w:szCs w:val="16"/>
              </w:rPr>
              <w:br/>
            </w:r>
            <w:r w:rsidR="000E7B8B" w:rsidRPr="000E7B8B">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3B1CCB35" w14:textId="0C775859" w:rsidR="000E7B8B" w:rsidRPr="000E7B8B" w:rsidRDefault="004C6E42" w:rsidP="000E7B8B">
            <w:pPr>
              <w:spacing w:before="40" w:after="0"/>
              <w:jc w:val="right"/>
              <w:rPr>
                <w:rFonts w:ascii="Arial" w:hAnsi="Arial" w:cs="Arial"/>
                <w:b/>
                <w:bCs/>
                <w:color w:val="auto"/>
                <w:sz w:val="16"/>
                <w:szCs w:val="16"/>
              </w:rPr>
            </w:pPr>
            <w:r>
              <w:rPr>
                <w:rFonts w:ascii="Arial" w:hAnsi="Arial" w:cs="Arial"/>
                <w:b/>
                <w:bCs/>
                <w:color w:val="auto"/>
                <w:sz w:val="16"/>
                <w:szCs w:val="16"/>
              </w:rPr>
              <w:t>2024–</w:t>
            </w:r>
            <w:r w:rsidR="000E7B8B" w:rsidRPr="000E7B8B">
              <w:rPr>
                <w:rFonts w:ascii="Arial" w:hAnsi="Arial" w:cs="Arial"/>
                <w:b/>
                <w:bCs/>
                <w:color w:val="auto"/>
                <w:sz w:val="16"/>
                <w:szCs w:val="16"/>
              </w:rPr>
              <w:t>25</w:t>
            </w:r>
            <w:r w:rsidR="000E7B8B" w:rsidRPr="000E7B8B">
              <w:rPr>
                <w:rFonts w:ascii="Arial" w:hAnsi="Arial" w:cs="Arial"/>
                <w:b/>
                <w:bCs/>
                <w:color w:val="auto"/>
                <w:sz w:val="16"/>
                <w:szCs w:val="16"/>
              </w:rPr>
              <w:br/>
              <w:t>Forward estimate</w:t>
            </w:r>
            <w:r w:rsidR="000E7B8B" w:rsidRPr="000E7B8B">
              <w:rPr>
                <w:rFonts w:ascii="Arial" w:hAnsi="Arial" w:cs="Arial"/>
                <w:b/>
                <w:bCs/>
                <w:color w:val="auto"/>
                <w:sz w:val="16"/>
                <w:szCs w:val="16"/>
              </w:rPr>
              <w:br/>
            </w:r>
            <w:r w:rsidR="000E7B8B" w:rsidRPr="000E7B8B">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5AAC7B41" w14:textId="3656CDE9" w:rsidR="000E7B8B" w:rsidRPr="000E7B8B" w:rsidRDefault="004C6E42" w:rsidP="000E7B8B">
            <w:pPr>
              <w:spacing w:before="40" w:after="0"/>
              <w:jc w:val="right"/>
              <w:rPr>
                <w:rFonts w:ascii="Arial" w:hAnsi="Arial" w:cs="Arial"/>
                <w:b/>
                <w:bCs/>
                <w:color w:val="auto"/>
                <w:sz w:val="16"/>
                <w:szCs w:val="16"/>
              </w:rPr>
            </w:pPr>
            <w:r>
              <w:rPr>
                <w:rFonts w:ascii="Arial" w:hAnsi="Arial" w:cs="Arial"/>
                <w:b/>
                <w:bCs/>
                <w:color w:val="auto"/>
                <w:sz w:val="16"/>
                <w:szCs w:val="16"/>
              </w:rPr>
              <w:t>2025–</w:t>
            </w:r>
            <w:r w:rsidR="000E7B8B" w:rsidRPr="000E7B8B">
              <w:rPr>
                <w:rFonts w:ascii="Arial" w:hAnsi="Arial" w:cs="Arial"/>
                <w:b/>
                <w:bCs/>
                <w:color w:val="auto"/>
                <w:sz w:val="16"/>
                <w:szCs w:val="16"/>
              </w:rPr>
              <w:t>26</w:t>
            </w:r>
            <w:r w:rsidR="000E7B8B" w:rsidRPr="000E7B8B">
              <w:rPr>
                <w:rFonts w:ascii="Arial" w:hAnsi="Arial" w:cs="Arial"/>
                <w:b/>
                <w:bCs/>
                <w:color w:val="auto"/>
                <w:sz w:val="16"/>
                <w:szCs w:val="16"/>
              </w:rPr>
              <w:br/>
              <w:t>Forward estimate</w:t>
            </w:r>
            <w:r w:rsidR="000E7B8B" w:rsidRPr="000E7B8B">
              <w:rPr>
                <w:rFonts w:ascii="Arial" w:hAnsi="Arial" w:cs="Arial"/>
                <w:b/>
                <w:bCs/>
                <w:color w:val="auto"/>
                <w:sz w:val="16"/>
                <w:szCs w:val="16"/>
              </w:rPr>
              <w:br/>
            </w:r>
            <w:r w:rsidR="000E7B8B" w:rsidRPr="000E7B8B">
              <w:rPr>
                <w:rFonts w:ascii="Arial" w:hAnsi="Arial" w:cs="Arial"/>
                <w:color w:val="auto"/>
                <w:sz w:val="16"/>
                <w:szCs w:val="16"/>
              </w:rPr>
              <w:t>$'000</w:t>
            </w:r>
          </w:p>
        </w:tc>
      </w:tr>
      <w:tr w:rsidR="000E7B8B" w:rsidRPr="000E7B8B" w14:paraId="1D4DAD81"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1EB2CB5E" w14:textId="77777777" w:rsidR="000E7B8B" w:rsidRPr="000E7B8B" w:rsidRDefault="000E7B8B" w:rsidP="000E7B8B">
            <w:pPr>
              <w:spacing w:after="0"/>
              <w:rPr>
                <w:rFonts w:ascii="Arial" w:hAnsi="Arial" w:cs="Arial"/>
                <w:b/>
                <w:bCs/>
                <w:sz w:val="16"/>
                <w:szCs w:val="16"/>
              </w:rPr>
            </w:pPr>
            <w:r w:rsidRPr="000E7B8B">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4C30A5E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015A213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79B9ADBF"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34B660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E953636"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r>
      <w:tr w:rsidR="000E7B8B" w:rsidRPr="000E7B8B" w14:paraId="3B9FEB2B"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4805F951"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283A6EE5" w14:textId="77777777" w:rsidR="000E7B8B" w:rsidRPr="000E7B8B" w:rsidRDefault="000E7B8B" w:rsidP="000E7B8B">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4BD123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46FDB2F"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2387DCF"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C3F189C" w14:textId="77777777" w:rsidR="000E7B8B" w:rsidRPr="000E7B8B" w:rsidRDefault="000E7B8B" w:rsidP="000E7B8B">
            <w:pPr>
              <w:spacing w:after="0"/>
              <w:jc w:val="right"/>
              <w:rPr>
                <w:rFonts w:ascii="Times New Roman" w:hAnsi="Times New Roman"/>
                <w:color w:val="auto"/>
              </w:rPr>
            </w:pPr>
          </w:p>
        </w:tc>
      </w:tr>
      <w:tr w:rsidR="000E7B8B" w:rsidRPr="000E7B8B" w14:paraId="0EEE5FA3"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010DA9F1"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043D2373"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14,046</w:t>
            </w:r>
          </w:p>
        </w:tc>
        <w:tc>
          <w:tcPr>
            <w:tcW w:w="870" w:type="dxa"/>
            <w:tcBorders>
              <w:top w:val="nil"/>
              <w:left w:val="nil"/>
              <w:bottom w:val="nil"/>
              <w:right w:val="nil"/>
            </w:tcBorders>
            <w:shd w:val="clear" w:color="000000" w:fill="D9D9D9"/>
            <w:noWrap/>
            <w:vAlign w:val="bottom"/>
            <w:hideMark/>
          </w:tcPr>
          <w:p w14:paraId="38859C4A"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13,254</w:t>
            </w:r>
          </w:p>
        </w:tc>
        <w:tc>
          <w:tcPr>
            <w:tcW w:w="879" w:type="dxa"/>
            <w:tcBorders>
              <w:top w:val="nil"/>
              <w:left w:val="nil"/>
              <w:bottom w:val="nil"/>
              <w:right w:val="nil"/>
            </w:tcBorders>
            <w:shd w:val="clear" w:color="auto" w:fill="auto"/>
            <w:noWrap/>
            <w:vAlign w:val="bottom"/>
            <w:hideMark/>
          </w:tcPr>
          <w:p w14:paraId="78C999F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13,707</w:t>
            </w:r>
          </w:p>
        </w:tc>
        <w:tc>
          <w:tcPr>
            <w:tcW w:w="879" w:type="dxa"/>
            <w:tcBorders>
              <w:top w:val="nil"/>
              <w:left w:val="nil"/>
              <w:bottom w:val="nil"/>
              <w:right w:val="nil"/>
            </w:tcBorders>
            <w:shd w:val="clear" w:color="auto" w:fill="auto"/>
            <w:noWrap/>
            <w:vAlign w:val="bottom"/>
            <w:hideMark/>
          </w:tcPr>
          <w:p w14:paraId="69251DA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14,164</w:t>
            </w:r>
          </w:p>
        </w:tc>
        <w:tc>
          <w:tcPr>
            <w:tcW w:w="879" w:type="dxa"/>
            <w:tcBorders>
              <w:top w:val="nil"/>
              <w:left w:val="nil"/>
              <w:bottom w:val="nil"/>
              <w:right w:val="nil"/>
            </w:tcBorders>
            <w:shd w:val="clear" w:color="auto" w:fill="auto"/>
            <w:noWrap/>
            <w:vAlign w:val="bottom"/>
            <w:hideMark/>
          </w:tcPr>
          <w:p w14:paraId="4FEE959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14,621</w:t>
            </w:r>
          </w:p>
        </w:tc>
      </w:tr>
      <w:tr w:rsidR="000E7B8B" w:rsidRPr="000E7B8B" w14:paraId="7E9942EB"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69D79B26"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0F67DDB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323</w:t>
            </w:r>
          </w:p>
        </w:tc>
        <w:tc>
          <w:tcPr>
            <w:tcW w:w="870" w:type="dxa"/>
            <w:tcBorders>
              <w:top w:val="nil"/>
              <w:left w:val="nil"/>
              <w:bottom w:val="nil"/>
              <w:right w:val="nil"/>
            </w:tcBorders>
            <w:shd w:val="clear" w:color="000000" w:fill="D9D9D9"/>
            <w:noWrap/>
            <w:vAlign w:val="bottom"/>
            <w:hideMark/>
          </w:tcPr>
          <w:p w14:paraId="1EB19850"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323</w:t>
            </w:r>
          </w:p>
        </w:tc>
        <w:tc>
          <w:tcPr>
            <w:tcW w:w="879" w:type="dxa"/>
            <w:tcBorders>
              <w:top w:val="nil"/>
              <w:left w:val="nil"/>
              <w:bottom w:val="nil"/>
              <w:right w:val="nil"/>
            </w:tcBorders>
            <w:shd w:val="clear" w:color="auto" w:fill="auto"/>
            <w:noWrap/>
            <w:vAlign w:val="bottom"/>
            <w:hideMark/>
          </w:tcPr>
          <w:p w14:paraId="1E2CFEF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323</w:t>
            </w:r>
          </w:p>
        </w:tc>
        <w:tc>
          <w:tcPr>
            <w:tcW w:w="879" w:type="dxa"/>
            <w:tcBorders>
              <w:top w:val="nil"/>
              <w:left w:val="nil"/>
              <w:bottom w:val="nil"/>
              <w:right w:val="nil"/>
            </w:tcBorders>
            <w:shd w:val="clear" w:color="auto" w:fill="auto"/>
            <w:noWrap/>
            <w:vAlign w:val="bottom"/>
            <w:hideMark/>
          </w:tcPr>
          <w:p w14:paraId="3F3D4123"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323</w:t>
            </w:r>
          </w:p>
        </w:tc>
        <w:tc>
          <w:tcPr>
            <w:tcW w:w="879" w:type="dxa"/>
            <w:tcBorders>
              <w:top w:val="nil"/>
              <w:left w:val="nil"/>
              <w:bottom w:val="nil"/>
              <w:right w:val="nil"/>
            </w:tcBorders>
            <w:shd w:val="clear" w:color="auto" w:fill="auto"/>
            <w:noWrap/>
            <w:vAlign w:val="bottom"/>
            <w:hideMark/>
          </w:tcPr>
          <w:p w14:paraId="2BF8B089"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323</w:t>
            </w:r>
          </w:p>
        </w:tc>
      </w:tr>
      <w:tr w:rsidR="000E7B8B" w:rsidRPr="000E7B8B" w14:paraId="7617C47D" w14:textId="77777777" w:rsidTr="00893C55">
        <w:trPr>
          <w:trHeight w:val="283"/>
          <w:jc w:val="center"/>
        </w:trPr>
        <w:tc>
          <w:tcPr>
            <w:tcW w:w="2963" w:type="dxa"/>
            <w:tcBorders>
              <w:top w:val="nil"/>
              <w:left w:val="nil"/>
              <w:bottom w:val="nil"/>
              <w:right w:val="nil"/>
            </w:tcBorders>
            <w:shd w:val="clear" w:color="auto" w:fill="auto"/>
            <w:noWrap/>
            <w:vAlign w:val="bottom"/>
            <w:hideMark/>
          </w:tcPr>
          <w:p w14:paraId="58A938B1" w14:textId="77777777" w:rsidR="000E7B8B" w:rsidRPr="000E7B8B" w:rsidRDefault="000E7B8B" w:rsidP="000E7B8B">
            <w:pPr>
              <w:spacing w:after="0"/>
              <w:ind w:firstLineChars="200" w:firstLine="320"/>
              <w:rPr>
                <w:rFonts w:ascii="Arial" w:hAnsi="Arial" w:cs="Arial"/>
                <w:b/>
                <w:bCs/>
                <w:sz w:val="16"/>
                <w:szCs w:val="16"/>
              </w:rPr>
            </w:pPr>
            <w:r w:rsidRPr="000E7B8B">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EF0B9EF"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14,369</w:t>
            </w:r>
          </w:p>
        </w:tc>
        <w:tc>
          <w:tcPr>
            <w:tcW w:w="870" w:type="dxa"/>
            <w:tcBorders>
              <w:top w:val="nil"/>
              <w:left w:val="nil"/>
              <w:bottom w:val="single" w:sz="4" w:space="0" w:color="auto"/>
              <w:right w:val="nil"/>
            </w:tcBorders>
            <w:shd w:val="clear" w:color="000000" w:fill="D9D9D9"/>
            <w:noWrap/>
            <w:vAlign w:val="bottom"/>
            <w:hideMark/>
          </w:tcPr>
          <w:p w14:paraId="241A0BA6"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13,577</w:t>
            </w:r>
          </w:p>
        </w:tc>
        <w:tc>
          <w:tcPr>
            <w:tcW w:w="879" w:type="dxa"/>
            <w:tcBorders>
              <w:top w:val="nil"/>
              <w:left w:val="nil"/>
              <w:bottom w:val="single" w:sz="4" w:space="0" w:color="auto"/>
              <w:right w:val="nil"/>
            </w:tcBorders>
            <w:shd w:val="clear" w:color="auto" w:fill="auto"/>
            <w:noWrap/>
            <w:vAlign w:val="bottom"/>
            <w:hideMark/>
          </w:tcPr>
          <w:p w14:paraId="163DA2AB"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14,030</w:t>
            </w:r>
          </w:p>
        </w:tc>
        <w:tc>
          <w:tcPr>
            <w:tcW w:w="879" w:type="dxa"/>
            <w:tcBorders>
              <w:top w:val="nil"/>
              <w:left w:val="nil"/>
              <w:bottom w:val="single" w:sz="4" w:space="0" w:color="auto"/>
              <w:right w:val="nil"/>
            </w:tcBorders>
            <w:shd w:val="clear" w:color="auto" w:fill="auto"/>
            <w:noWrap/>
            <w:vAlign w:val="bottom"/>
            <w:hideMark/>
          </w:tcPr>
          <w:p w14:paraId="559638E9"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14,487</w:t>
            </w:r>
          </w:p>
        </w:tc>
        <w:tc>
          <w:tcPr>
            <w:tcW w:w="879" w:type="dxa"/>
            <w:tcBorders>
              <w:top w:val="nil"/>
              <w:left w:val="nil"/>
              <w:bottom w:val="single" w:sz="4" w:space="0" w:color="auto"/>
              <w:right w:val="nil"/>
            </w:tcBorders>
            <w:shd w:val="clear" w:color="auto" w:fill="auto"/>
            <w:noWrap/>
            <w:vAlign w:val="bottom"/>
            <w:hideMark/>
          </w:tcPr>
          <w:p w14:paraId="7F1224B9"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14,944</w:t>
            </w:r>
          </w:p>
        </w:tc>
      </w:tr>
      <w:tr w:rsidR="000E7B8B" w:rsidRPr="000E7B8B" w14:paraId="3A2AB8F8"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08D9F636"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2CC72067" w14:textId="77777777" w:rsidR="000E7B8B" w:rsidRPr="000E7B8B" w:rsidRDefault="000E7B8B" w:rsidP="000E7B8B">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E32DE6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08A8D67"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E5F719F"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E96CC5C" w14:textId="77777777" w:rsidR="000E7B8B" w:rsidRPr="000E7B8B" w:rsidRDefault="000E7B8B" w:rsidP="000E7B8B">
            <w:pPr>
              <w:spacing w:after="0"/>
              <w:jc w:val="right"/>
              <w:rPr>
                <w:rFonts w:ascii="Times New Roman" w:hAnsi="Times New Roman"/>
                <w:color w:val="auto"/>
              </w:rPr>
            </w:pPr>
          </w:p>
        </w:tc>
      </w:tr>
      <w:tr w:rsidR="000E7B8B" w:rsidRPr="000E7B8B" w14:paraId="0BD88D1B"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1406C9E1"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637B70A9"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15,176</w:t>
            </w:r>
          </w:p>
        </w:tc>
        <w:tc>
          <w:tcPr>
            <w:tcW w:w="870" w:type="dxa"/>
            <w:tcBorders>
              <w:top w:val="nil"/>
              <w:left w:val="nil"/>
              <w:bottom w:val="nil"/>
              <w:right w:val="nil"/>
            </w:tcBorders>
            <w:shd w:val="clear" w:color="000000" w:fill="D9D9D9"/>
            <w:noWrap/>
            <w:vAlign w:val="bottom"/>
            <w:hideMark/>
          </w:tcPr>
          <w:p w14:paraId="119DFEE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13,606</w:t>
            </w:r>
          </w:p>
        </w:tc>
        <w:tc>
          <w:tcPr>
            <w:tcW w:w="879" w:type="dxa"/>
            <w:tcBorders>
              <w:top w:val="nil"/>
              <w:left w:val="nil"/>
              <w:bottom w:val="nil"/>
              <w:right w:val="nil"/>
            </w:tcBorders>
            <w:shd w:val="clear" w:color="auto" w:fill="auto"/>
            <w:noWrap/>
            <w:vAlign w:val="bottom"/>
            <w:hideMark/>
          </w:tcPr>
          <w:p w14:paraId="7547BE66"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12,036</w:t>
            </w:r>
          </w:p>
        </w:tc>
        <w:tc>
          <w:tcPr>
            <w:tcW w:w="879" w:type="dxa"/>
            <w:tcBorders>
              <w:top w:val="nil"/>
              <w:left w:val="nil"/>
              <w:bottom w:val="nil"/>
              <w:right w:val="nil"/>
            </w:tcBorders>
            <w:shd w:val="clear" w:color="auto" w:fill="auto"/>
            <w:noWrap/>
            <w:vAlign w:val="bottom"/>
            <w:hideMark/>
          </w:tcPr>
          <w:p w14:paraId="5C6045E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10,466</w:t>
            </w:r>
          </w:p>
        </w:tc>
        <w:tc>
          <w:tcPr>
            <w:tcW w:w="879" w:type="dxa"/>
            <w:tcBorders>
              <w:top w:val="nil"/>
              <w:left w:val="nil"/>
              <w:bottom w:val="nil"/>
              <w:right w:val="nil"/>
            </w:tcBorders>
            <w:shd w:val="clear" w:color="auto" w:fill="auto"/>
            <w:noWrap/>
            <w:vAlign w:val="bottom"/>
            <w:hideMark/>
          </w:tcPr>
          <w:p w14:paraId="746618F6"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8,896</w:t>
            </w:r>
          </w:p>
        </w:tc>
      </w:tr>
      <w:tr w:rsidR="000E7B8B" w:rsidRPr="000E7B8B" w14:paraId="281AAC62"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0DAA027A"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4E2DC89A"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4D75A45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352DB89A"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360FCB7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6FDF7DE"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r>
      <w:tr w:rsidR="000E7B8B" w:rsidRPr="000E7B8B" w14:paraId="1C2B5DD8"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2253EFF0"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092896D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46</w:t>
            </w:r>
          </w:p>
        </w:tc>
        <w:tc>
          <w:tcPr>
            <w:tcW w:w="870" w:type="dxa"/>
            <w:tcBorders>
              <w:top w:val="nil"/>
              <w:left w:val="nil"/>
              <w:bottom w:val="nil"/>
              <w:right w:val="nil"/>
            </w:tcBorders>
            <w:shd w:val="clear" w:color="000000" w:fill="D9D9D9"/>
            <w:noWrap/>
            <w:vAlign w:val="bottom"/>
            <w:hideMark/>
          </w:tcPr>
          <w:p w14:paraId="752F88F9"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833</w:t>
            </w:r>
          </w:p>
        </w:tc>
        <w:tc>
          <w:tcPr>
            <w:tcW w:w="879" w:type="dxa"/>
            <w:tcBorders>
              <w:top w:val="nil"/>
              <w:left w:val="nil"/>
              <w:bottom w:val="nil"/>
              <w:right w:val="nil"/>
            </w:tcBorders>
            <w:shd w:val="clear" w:color="auto" w:fill="auto"/>
            <w:noWrap/>
            <w:vAlign w:val="bottom"/>
            <w:hideMark/>
          </w:tcPr>
          <w:p w14:paraId="3BA6B49D"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667</w:t>
            </w:r>
          </w:p>
        </w:tc>
        <w:tc>
          <w:tcPr>
            <w:tcW w:w="879" w:type="dxa"/>
            <w:tcBorders>
              <w:top w:val="nil"/>
              <w:left w:val="nil"/>
              <w:bottom w:val="nil"/>
              <w:right w:val="nil"/>
            </w:tcBorders>
            <w:shd w:val="clear" w:color="auto" w:fill="auto"/>
            <w:noWrap/>
            <w:vAlign w:val="bottom"/>
            <w:hideMark/>
          </w:tcPr>
          <w:p w14:paraId="056BC42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500</w:t>
            </w:r>
          </w:p>
        </w:tc>
        <w:tc>
          <w:tcPr>
            <w:tcW w:w="879" w:type="dxa"/>
            <w:tcBorders>
              <w:top w:val="nil"/>
              <w:left w:val="nil"/>
              <w:bottom w:val="nil"/>
              <w:right w:val="nil"/>
            </w:tcBorders>
            <w:shd w:val="clear" w:color="auto" w:fill="auto"/>
            <w:noWrap/>
            <w:vAlign w:val="bottom"/>
            <w:hideMark/>
          </w:tcPr>
          <w:p w14:paraId="124FD85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333</w:t>
            </w:r>
          </w:p>
        </w:tc>
      </w:tr>
      <w:tr w:rsidR="000E7B8B" w:rsidRPr="000E7B8B" w14:paraId="67AC795F"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46BBF1F3"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Prepayments</w:t>
            </w:r>
          </w:p>
        </w:tc>
        <w:tc>
          <w:tcPr>
            <w:tcW w:w="890" w:type="dxa"/>
            <w:tcBorders>
              <w:top w:val="nil"/>
              <w:left w:val="nil"/>
              <w:bottom w:val="nil"/>
              <w:right w:val="nil"/>
            </w:tcBorders>
            <w:shd w:val="clear" w:color="auto" w:fill="auto"/>
            <w:noWrap/>
            <w:vAlign w:val="bottom"/>
            <w:hideMark/>
          </w:tcPr>
          <w:p w14:paraId="333DBFE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367</w:t>
            </w:r>
          </w:p>
        </w:tc>
        <w:tc>
          <w:tcPr>
            <w:tcW w:w="870" w:type="dxa"/>
            <w:tcBorders>
              <w:top w:val="nil"/>
              <w:left w:val="nil"/>
              <w:bottom w:val="nil"/>
              <w:right w:val="nil"/>
            </w:tcBorders>
            <w:shd w:val="clear" w:color="000000" w:fill="D9D9D9"/>
            <w:noWrap/>
            <w:vAlign w:val="bottom"/>
            <w:hideMark/>
          </w:tcPr>
          <w:p w14:paraId="62F71B50"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367</w:t>
            </w:r>
          </w:p>
        </w:tc>
        <w:tc>
          <w:tcPr>
            <w:tcW w:w="879" w:type="dxa"/>
            <w:tcBorders>
              <w:top w:val="nil"/>
              <w:left w:val="nil"/>
              <w:bottom w:val="nil"/>
              <w:right w:val="nil"/>
            </w:tcBorders>
            <w:shd w:val="clear" w:color="auto" w:fill="auto"/>
            <w:noWrap/>
            <w:vAlign w:val="bottom"/>
            <w:hideMark/>
          </w:tcPr>
          <w:p w14:paraId="3CDFC09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367</w:t>
            </w:r>
          </w:p>
        </w:tc>
        <w:tc>
          <w:tcPr>
            <w:tcW w:w="879" w:type="dxa"/>
            <w:tcBorders>
              <w:top w:val="nil"/>
              <w:left w:val="nil"/>
              <w:bottom w:val="nil"/>
              <w:right w:val="nil"/>
            </w:tcBorders>
            <w:shd w:val="clear" w:color="auto" w:fill="auto"/>
            <w:noWrap/>
            <w:vAlign w:val="bottom"/>
            <w:hideMark/>
          </w:tcPr>
          <w:p w14:paraId="6EEBB28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367</w:t>
            </w:r>
          </w:p>
        </w:tc>
        <w:tc>
          <w:tcPr>
            <w:tcW w:w="879" w:type="dxa"/>
            <w:tcBorders>
              <w:top w:val="nil"/>
              <w:left w:val="nil"/>
              <w:bottom w:val="nil"/>
              <w:right w:val="nil"/>
            </w:tcBorders>
            <w:shd w:val="clear" w:color="auto" w:fill="auto"/>
            <w:noWrap/>
            <w:vAlign w:val="bottom"/>
            <w:hideMark/>
          </w:tcPr>
          <w:p w14:paraId="632D9B5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367</w:t>
            </w:r>
          </w:p>
        </w:tc>
      </w:tr>
      <w:tr w:rsidR="000E7B8B" w:rsidRPr="000E7B8B" w14:paraId="1610AF1A"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5EB91085" w14:textId="77777777" w:rsidR="000E7B8B" w:rsidRPr="000E7B8B" w:rsidRDefault="000E7B8B" w:rsidP="000E7B8B">
            <w:pPr>
              <w:spacing w:after="0"/>
              <w:ind w:firstLineChars="200" w:firstLine="320"/>
              <w:rPr>
                <w:rFonts w:ascii="Arial" w:hAnsi="Arial" w:cs="Arial"/>
                <w:b/>
                <w:bCs/>
                <w:sz w:val="16"/>
                <w:szCs w:val="16"/>
              </w:rPr>
            </w:pPr>
            <w:r w:rsidRPr="000E7B8B">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7CBBA471"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15,589</w:t>
            </w:r>
          </w:p>
        </w:tc>
        <w:tc>
          <w:tcPr>
            <w:tcW w:w="870" w:type="dxa"/>
            <w:tcBorders>
              <w:top w:val="nil"/>
              <w:left w:val="nil"/>
              <w:bottom w:val="single" w:sz="4" w:space="0" w:color="auto"/>
              <w:right w:val="nil"/>
            </w:tcBorders>
            <w:shd w:val="clear" w:color="000000" w:fill="D9D9D9"/>
            <w:noWrap/>
            <w:vAlign w:val="bottom"/>
            <w:hideMark/>
          </w:tcPr>
          <w:p w14:paraId="45A072F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14,806</w:t>
            </w:r>
          </w:p>
        </w:tc>
        <w:tc>
          <w:tcPr>
            <w:tcW w:w="879" w:type="dxa"/>
            <w:tcBorders>
              <w:top w:val="nil"/>
              <w:left w:val="nil"/>
              <w:bottom w:val="single" w:sz="4" w:space="0" w:color="auto"/>
              <w:right w:val="nil"/>
            </w:tcBorders>
            <w:shd w:val="clear" w:color="auto" w:fill="auto"/>
            <w:noWrap/>
            <w:vAlign w:val="bottom"/>
            <w:hideMark/>
          </w:tcPr>
          <w:p w14:paraId="37686280"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13,070</w:t>
            </w:r>
          </w:p>
        </w:tc>
        <w:tc>
          <w:tcPr>
            <w:tcW w:w="879" w:type="dxa"/>
            <w:tcBorders>
              <w:top w:val="nil"/>
              <w:left w:val="nil"/>
              <w:bottom w:val="single" w:sz="4" w:space="0" w:color="auto"/>
              <w:right w:val="nil"/>
            </w:tcBorders>
            <w:shd w:val="clear" w:color="auto" w:fill="auto"/>
            <w:noWrap/>
            <w:vAlign w:val="bottom"/>
            <w:hideMark/>
          </w:tcPr>
          <w:p w14:paraId="3A979561"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11,333</w:t>
            </w:r>
          </w:p>
        </w:tc>
        <w:tc>
          <w:tcPr>
            <w:tcW w:w="879" w:type="dxa"/>
            <w:tcBorders>
              <w:top w:val="nil"/>
              <w:left w:val="nil"/>
              <w:bottom w:val="single" w:sz="4" w:space="0" w:color="auto"/>
              <w:right w:val="nil"/>
            </w:tcBorders>
            <w:shd w:val="clear" w:color="auto" w:fill="auto"/>
            <w:noWrap/>
            <w:vAlign w:val="bottom"/>
            <w:hideMark/>
          </w:tcPr>
          <w:p w14:paraId="644A6BA6"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9,596</w:t>
            </w:r>
          </w:p>
        </w:tc>
      </w:tr>
      <w:tr w:rsidR="000E7B8B" w:rsidRPr="000E7B8B" w14:paraId="310012E9" w14:textId="77777777" w:rsidTr="00893C55">
        <w:trPr>
          <w:trHeight w:val="283"/>
          <w:jc w:val="center"/>
        </w:trPr>
        <w:tc>
          <w:tcPr>
            <w:tcW w:w="2963" w:type="dxa"/>
            <w:tcBorders>
              <w:top w:val="nil"/>
              <w:left w:val="nil"/>
              <w:bottom w:val="nil"/>
              <w:right w:val="nil"/>
            </w:tcBorders>
            <w:shd w:val="clear" w:color="auto" w:fill="auto"/>
            <w:noWrap/>
            <w:vAlign w:val="bottom"/>
            <w:hideMark/>
          </w:tcPr>
          <w:p w14:paraId="191A2C39"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C1F4DE4"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29,958</w:t>
            </w:r>
          </w:p>
        </w:tc>
        <w:tc>
          <w:tcPr>
            <w:tcW w:w="870" w:type="dxa"/>
            <w:tcBorders>
              <w:top w:val="nil"/>
              <w:left w:val="nil"/>
              <w:bottom w:val="single" w:sz="4" w:space="0" w:color="auto"/>
              <w:right w:val="nil"/>
            </w:tcBorders>
            <w:shd w:val="clear" w:color="000000" w:fill="D9D9D9"/>
            <w:noWrap/>
            <w:vAlign w:val="bottom"/>
            <w:hideMark/>
          </w:tcPr>
          <w:p w14:paraId="77FBECBB"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28,383</w:t>
            </w:r>
          </w:p>
        </w:tc>
        <w:tc>
          <w:tcPr>
            <w:tcW w:w="879" w:type="dxa"/>
            <w:tcBorders>
              <w:top w:val="nil"/>
              <w:left w:val="nil"/>
              <w:bottom w:val="single" w:sz="4" w:space="0" w:color="auto"/>
              <w:right w:val="nil"/>
            </w:tcBorders>
            <w:shd w:val="clear" w:color="auto" w:fill="auto"/>
            <w:noWrap/>
            <w:vAlign w:val="bottom"/>
            <w:hideMark/>
          </w:tcPr>
          <w:p w14:paraId="16B5B806"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27,100</w:t>
            </w:r>
          </w:p>
        </w:tc>
        <w:tc>
          <w:tcPr>
            <w:tcW w:w="879" w:type="dxa"/>
            <w:tcBorders>
              <w:top w:val="nil"/>
              <w:left w:val="nil"/>
              <w:bottom w:val="single" w:sz="4" w:space="0" w:color="auto"/>
              <w:right w:val="nil"/>
            </w:tcBorders>
            <w:shd w:val="clear" w:color="auto" w:fill="auto"/>
            <w:noWrap/>
            <w:vAlign w:val="bottom"/>
            <w:hideMark/>
          </w:tcPr>
          <w:p w14:paraId="54617BD8"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25,820</w:t>
            </w:r>
          </w:p>
        </w:tc>
        <w:tc>
          <w:tcPr>
            <w:tcW w:w="879" w:type="dxa"/>
            <w:tcBorders>
              <w:top w:val="nil"/>
              <w:left w:val="nil"/>
              <w:bottom w:val="single" w:sz="4" w:space="0" w:color="auto"/>
              <w:right w:val="nil"/>
            </w:tcBorders>
            <w:shd w:val="clear" w:color="auto" w:fill="auto"/>
            <w:noWrap/>
            <w:vAlign w:val="bottom"/>
            <w:hideMark/>
          </w:tcPr>
          <w:p w14:paraId="3AD8FA1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24,540</w:t>
            </w:r>
          </w:p>
        </w:tc>
      </w:tr>
      <w:tr w:rsidR="000E7B8B" w:rsidRPr="000E7B8B" w14:paraId="58CC0BBB"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6AE24F75" w14:textId="77777777" w:rsidR="000E7B8B" w:rsidRPr="000E7B8B" w:rsidRDefault="000E7B8B" w:rsidP="000E7B8B">
            <w:pPr>
              <w:spacing w:after="0"/>
              <w:rPr>
                <w:rFonts w:ascii="Arial" w:hAnsi="Arial" w:cs="Arial"/>
                <w:b/>
                <w:bCs/>
                <w:sz w:val="16"/>
                <w:szCs w:val="16"/>
              </w:rPr>
            </w:pPr>
            <w:r w:rsidRPr="000E7B8B">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070F1B0B" w14:textId="77777777" w:rsidR="000E7B8B" w:rsidRPr="000E7B8B" w:rsidRDefault="000E7B8B" w:rsidP="000E7B8B">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98D18E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5009687"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29B9F9E"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74763CB" w14:textId="77777777" w:rsidR="000E7B8B" w:rsidRPr="000E7B8B" w:rsidRDefault="000E7B8B" w:rsidP="000E7B8B">
            <w:pPr>
              <w:spacing w:after="0"/>
              <w:jc w:val="right"/>
              <w:rPr>
                <w:rFonts w:ascii="Times New Roman" w:hAnsi="Times New Roman"/>
                <w:color w:val="auto"/>
              </w:rPr>
            </w:pPr>
          </w:p>
        </w:tc>
      </w:tr>
      <w:tr w:rsidR="000E7B8B" w:rsidRPr="000E7B8B" w14:paraId="4E7705EC"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26EAEC7D"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D7F2BF0" w14:textId="77777777" w:rsidR="000E7B8B" w:rsidRPr="000E7B8B" w:rsidRDefault="000E7B8B" w:rsidP="000E7B8B">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2C5565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78D9A93"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E6FCCDF"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2136E30" w14:textId="77777777" w:rsidR="000E7B8B" w:rsidRPr="000E7B8B" w:rsidRDefault="000E7B8B" w:rsidP="000E7B8B">
            <w:pPr>
              <w:spacing w:after="0"/>
              <w:jc w:val="right"/>
              <w:rPr>
                <w:rFonts w:ascii="Times New Roman" w:hAnsi="Times New Roman"/>
                <w:color w:val="auto"/>
              </w:rPr>
            </w:pPr>
          </w:p>
        </w:tc>
      </w:tr>
      <w:tr w:rsidR="000E7B8B" w:rsidRPr="000E7B8B" w14:paraId="33641277"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472B0A72"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93C9DD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1,498</w:t>
            </w:r>
          </w:p>
        </w:tc>
        <w:tc>
          <w:tcPr>
            <w:tcW w:w="870" w:type="dxa"/>
            <w:tcBorders>
              <w:top w:val="nil"/>
              <w:left w:val="nil"/>
              <w:bottom w:val="nil"/>
              <w:right w:val="nil"/>
            </w:tcBorders>
            <w:shd w:val="clear" w:color="000000" w:fill="D9D9D9"/>
            <w:noWrap/>
            <w:vAlign w:val="bottom"/>
            <w:hideMark/>
          </w:tcPr>
          <w:p w14:paraId="05802690"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1,203</w:t>
            </w:r>
          </w:p>
        </w:tc>
        <w:tc>
          <w:tcPr>
            <w:tcW w:w="879" w:type="dxa"/>
            <w:tcBorders>
              <w:top w:val="nil"/>
              <w:left w:val="nil"/>
              <w:bottom w:val="nil"/>
              <w:right w:val="nil"/>
            </w:tcBorders>
            <w:shd w:val="clear" w:color="auto" w:fill="auto"/>
            <w:noWrap/>
            <w:vAlign w:val="bottom"/>
            <w:hideMark/>
          </w:tcPr>
          <w:p w14:paraId="2054138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1,200</w:t>
            </w:r>
          </w:p>
        </w:tc>
        <w:tc>
          <w:tcPr>
            <w:tcW w:w="879" w:type="dxa"/>
            <w:tcBorders>
              <w:top w:val="nil"/>
              <w:left w:val="nil"/>
              <w:bottom w:val="nil"/>
              <w:right w:val="nil"/>
            </w:tcBorders>
            <w:shd w:val="clear" w:color="auto" w:fill="auto"/>
            <w:noWrap/>
            <w:vAlign w:val="bottom"/>
            <w:hideMark/>
          </w:tcPr>
          <w:p w14:paraId="547E7BEF"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1,200</w:t>
            </w:r>
          </w:p>
        </w:tc>
        <w:tc>
          <w:tcPr>
            <w:tcW w:w="879" w:type="dxa"/>
            <w:tcBorders>
              <w:top w:val="nil"/>
              <w:left w:val="nil"/>
              <w:bottom w:val="nil"/>
              <w:right w:val="nil"/>
            </w:tcBorders>
            <w:shd w:val="clear" w:color="auto" w:fill="auto"/>
            <w:noWrap/>
            <w:vAlign w:val="bottom"/>
            <w:hideMark/>
          </w:tcPr>
          <w:p w14:paraId="136561C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1,200</w:t>
            </w:r>
          </w:p>
        </w:tc>
      </w:tr>
      <w:tr w:rsidR="000E7B8B" w:rsidRPr="000E7B8B" w14:paraId="312D02CD"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2125218B"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2884A1D2"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18</w:t>
            </w:r>
          </w:p>
        </w:tc>
        <w:tc>
          <w:tcPr>
            <w:tcW w:w="870" w:type="dxa"/>
            <w:tcBorders>
              <w:top w:val="nil"/>
              <w:left w:val="nil"/>
              <w:bottom w:val="nil"/>
              <w:right w:val="nil"/>
            </w:tcBorders>
            <w:shd w:val="clear" w:color="000000" w:fill="D9D9D9"/>
            <w:noWrap/>
            <w:vAlign w:val="bottom"/>
            <w:hideMark/>
          </w:tcPr>
          <w:p w14:paraId="0340C45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18</w:t>
            </w:r>
          </w:p>
        </w:tc>
        <w:tc>
          <w:tcPr>
            <w:tcW w:w="879" w:type="dxa"/>
            <w:tcBorders>
              <w:top w:val="nil"/>
              <w:left w:val="nil"/>
              <w:bottom w:val="nil"/>
              <w:right w:val="nil"/>
            </w:tcBorders>
            <w:shd w:val="clear" w:color="auto" w:fill="auto"/>
            <w:noWrap/>
            <w:vAlign w:val="bottom"/>
            <w:hideMark/>
          </w:tcPr>
          <w:p w14:paraId="66B9094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18</w:t>
            </w:r>
          </w:p>
        </w:tc>
        <w:tc>
          <w:tcPr>
            <w:tcW w:w="879" w:type="dxa"/>
            <w:tcBorders>
              <w:top w:val="nil"/>
              <w:left w:val="nil"/>
              <w:bottom w:val="nil"/>
              <w:right w:val="nil"/>
            </w:tcBorders>
            <w:shd w:val="clear" w:color="auto" w:fill="auto"/>
            <w:noWrap/>
            <w:vAlign w:val="bottom"/>
            <w:hideMark/>
          </w:tcPr>
          <w:p w14:paraId="63A5FA8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18</w:t>
            </w:r>
          </w:p>
        </w:tc>
        <w:tc>
          <w:tcPr>
            <w:tcW w:w="879" w:type="dxa"/>
            <w:tcBorders>
              <w:top w:val="nil"/>
              <w:left w:val="nil"/>
              <w:bottom w:val="nil"/>
              <w:right w:val="nil"/>
            </w:tcBorders>
            <w:shd w:val="clear" w:color="auto" w:fill="auto"/>
            <w:noWrap/>
            <w:vAlign w:val="bottom"/>
            <w:hideMark/>
          </w:tcPr>
          <w:p w14:paraId="7189090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18</w:t>
            </w:r>
          </w:p>
        </w:tc>
      </w:tr>
      <w:tr w:rsidR="000E7B8B" w:rsidRPr="000E7B8B" w14:paraId="56277CAD"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26D14C9D" w14:textId="77777777" w:rsidR="000E7B8B" w:rsidRPr="000E7B8B" w:rsidRDefault="000E7B8B" w:rsidP="000E7B8B">
            <w:pPr>
              <w:spacing w:after="0"/>
              <w:ind w:firstLineChars="200" w:firstLine="320"/>
              <w:rPr>
                <w:rFonts w:ascii="Arial" w:hAnsi="Arial" w:cs="Arial"/>
                <w:b/>
                <w:bCs/>
                <w:sz w:val="16"/>
                <w:szCs w:val="16"/>
              </w:rPr>
            </w:pPr>
            <w:r w:rsidRPr="000E7B8B">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4674EA38"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1,516</w:t>
            </w:r>
          </w:p>
        </w:tc>
        <w:tc>
          <w:tcPr>
            <w:tcW w:w="870" w:type="dxa"/>
            <w:tcBorders>
              <w:top w:val="nil"/>
              <w:left w:val="nil"/>
              <w:bottom w:val="single" w:sz="4" w:space="0" w:color="auto"/>
              <w:right w:val="nil"/>
            </w:tcBorders>
            <w:shd w:val="clear" w:color="000000" w:fill="D9D9D9"/>
            <w:noWrap/>
            <w:vAlign w:val="bottom"/>
            <w:hideMark/>
          </w:tcPr>
          <w:p w14:paraId="0E4A2F41"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1,221</w:t>
            </w:r>
          </w:p>
        </w:tc>
        <w:tc>
          <w:tcPr>
            <w:tcW w:w="879" w:type="dxa"/>
            <w:tcBorders>
              <w:top w:val="nil"/>
              <w:left w:val="nil"/>
              <w:bottom w:val="single" w:sz="4" w:space="0" w:color="auto"/>
              <w:right w:val="nil"/>
            </w:tcBorders>
            <w:shd w:val="clear" w:color="auto" w:fill="auto"/>
            <w:noWrap/>
            <w:vAlign w:val="bottom"/>
            <w:hideMark/>
          </w:tcPr>
          <w:p w14:paraId="4F0379F9"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1,218</w:t>
            </w:r>
          </w:p>
        </w:tc>
        <w:tc>
          <w:tcPr>
            <w:tcW w:w="879" w:type="dxa"/>
            <w:tcBorders>
              <w:top w:val="nil"/>
              <w:left w:val="nil"/>
              <w:bottom w:val="single" w:sz="4" w:space="0" w:color="auto"/>
              <w:right w:val="nil"/>
            </w:tcBorders>
            <w:shd w:val="clear" w:color="auto" w:fill="auto"/>
            <w:noWrap/>
            <w:vAlign w:val="bottom"/>
            <w:hideMark/>
          </w:tcPr>
          <w:p w14:paraId="536B297C"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1,218</w:t>
            </w:r>
          </w:p>
        </w:tc>
        <w:tc>
          <w:tcPr>
            <w:tcW w:w="879" w:type="dxa"/>
            <w:tcBorders>
              <w:top w:val="nil"/>
              <w:left w:val="nil"/>
              <w:bottom w:val="single" w:sz="4" w:space="0" w:color="auto"/>
              <w:right w:val="nil"/>
            </w:tcBorders>
            <w:shd w:val="clear" w:color="auto" w:fill="auto"/>
            <w:noWrap/>
            <w:vAlign w:val="bottom"/>
            <w:hideMark/>
          </w:tcPr>
          <w:p w14:paraId="512366B1"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1,218</w:t>
            </w:r>
          </w:p>
        </w:tc>
      </w:tr>
      <w:tr w:rsidR="000E7B8B" w:rsidRPr="000E7B8B" w14:paraId="4E0A5D84"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43E6D3A9"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0952D9EF" w14:textId="77777777" w:rsidR="000E7B8B" w:rsidRPr="000E7B8B" w:rsidRDefault="000E7B8B" w:rsidP="000E7B8B">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A7F49A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038EBAD"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2B6102E"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D97A7BA" w14:textId="77777777" w:rsidR="000E7B8B" w:rsidRPr="000E7B8B" w:rsidRDefault="000E7B8B" w:rsidP="000E7B8B">
            <w:pPr>
              <w:spacing w:after="0"/>
              <w:jc w:val="right"/>
              <w:rPr>
                <w:rFonts w:ascii="Times New Roman" w:hAnsi="Times New Roman"/>
                <w:color w:val="auto"/>
              </w:rPr>
            </w:pPr>
          </w:p>
        </w:tc>
      </w:tr>
      <w:tr w:rsidR="000E7B8B" w:rsidRPr="000E7B8B" w14:paraId="08458377"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7EB26DB6"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1E27DA60"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12,531</w:t>
            </w:r>
          </w:p>
        </w:tc>
        <w:tc>
          <w:tcPr>
            <w:tcW w:w="870" w:type="dxa"/>
            <w:tcBorders>
              <w:top w:val="nil"/>
              <w:left w:val="nil"/>
              <w:bottom w:val="nil"/>
              <w:right w:val="nil"/>
            </w:tcBorders>
            <w:shd w:val="clear" w:color="000000" w:fill="D9D9D9"/>
            <w:noWrap/>
            <w:vAlign w:val="bottom"/>
            <w:hideMark/>
          </w:tcPr>
          <w:p w14:paraId="79F1671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11,697</w:t>
            </w:r>
          </w:p>
        </w:tc>
        <w:tc>
          <w:tcPr>
            <w:tcW w:w="879" w:type="dxa"/>
            <w:tcBorders>
              <w:top w:val="nil"/>
              <w:left w:val="nil"/>
              <w:bottom w:val="nil"/>
              <w:right w:val="nil"/>
            </w:tcBorders>
            <w:shd w:val="clear" w:color="auto" w:fill="auto"/>
            <w:noWrap/>
            <w:vAlign w:val="bottom"/>
            <w:hideMark/>
          </w:tcPr>
          <w:p w14:paraId="3D0C015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10,803</w:t>
            </w:r>
          </w:p>
        </w:tc>
        <w:tc>
          <w:tcPr>
            <w:tcW w:w="879" w:type="dxa"/>
            <w:tcBorders>
              <w:top w:val="nil"/>
              <w:left w:val="nil"/>
              <w:bottom w:val="nil"/>
              <w:right w:val="nil"/>
            </w:tcBorders>
            <w:shd w:val="clear" w:color="auto" w:fill="auto"/>
            <w:noWrap/>
            <w:vAlign w:val="bottom"/>
            <w:hideMark/>
          </w:tcPr>
          <w:p w14:paraId="109C64B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9,845</w:t>
            </w:r>
          </w:p>
        </w:tc>
        <w:tc>
          <w:tcPr>
            <w:tcW w:w="879" w:type="dxa"/>
            <w:tcBorders>
              <w:top w:val="nil"/>
              <w:left w:val="nil"/>
              <w:bottom w:val="nil"/>
              <w:right w:val="nil"/>
            </w:tcBorders>
            <w:shd w:val="clear" w:color="auto" w:fill="auto"/>
            <w:noWrap/>
            <w:vAlign w:val="bottom"/>
            <w:hideMark/>
          </w:tcPr>
          <w:p w14:paraId="5AD0687E"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8,821</w:t>
            </w:r>
          </w:p>
        </w:tc>
      </w:tr>
      <w:tr w:rsidR="000E7B8B" w:rsidRPr="000E7B8B" w14:paraId="5F42E9CE"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6DD12FF7" w14:textId="77777777" w:rsidR="000E7B8B" w:rsidRPr="000E7B8B" w:rsidRDefault="000E7B8B" w:rsidP="000E7B8B">
            <w:pPr>
              <w:spacing w:after="0"/>
              <w:ind w:firstLineChars="200" w:firstLine="320"/>
              <w:rPr>
                <w:rFonts w:ascii="Arial" w:hAnsi="Arial" w:cs="Arial"/>
                <w:b/>
                <w:bCs/>
                <w:sz w:val="16"/>
                <w:szCs w:val="16"/>
              </w:rPr>
            </w:pPr>
            <w:r w:rsidRPr="000E7B8B">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0D29F85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12,531</w:t>
            </w:r>
          </w:p>
        </w:tc>
        <w:tc>
          <w:tcPr>
            <w:tcW w:w="870" w:type="dxa"/>
            <w:tcBorders>
              <w:top w:val="nil"/>
              <w:left w:val="nil"/>
              <w:bottom w:val="single" w:sz="4" w:space="0" w:color="auto"/>
              <w:right w:val="nil"/>
            </w:tcBorders>
            <w:shd w:val="clear" w:color="000000" w:fill="D9D9D9"/>
            <w:noWrap/>
            <w:vAlign w:val="bottom"/>
            <w:hideMark/>
          </w:tcPr>
          <w:p w14:paraId="1E29D55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11,697</w:t>
            </w:r>
          </w:p>
        </w:tc>
        <w:tc>
          <w:tcPr>
            <w:tcW w:w="879" w:type="dxa"/>
            <w:tcBorders>
              <w:top w:val="nil"/>
              <w:left w:val="nil"/>
              <w:bottom w:val="single" w:sz="4" w:space="0" w:color="auto"/>
              <w:right w:val="nil"/>
            </w:tcBorders>
            <w:shd w:val="clear" w:color="auto" w:fill="auto"/>
            <w:noWrap/>
            <w:vAlign w:val="bottom"/>
            <w:hideMark/>
          </w:tcPr>
          <w:p w14:paraId="45EA1E02"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10,803</w:t>
            </w:r>
          </w:p>
        </w:tc>
        <w:tc>
          <w:tcPr>
            <w:tcW w:w="879" w:type="dxa"/>
            <w:tcBorders>
              <w:top w:val="nil"/>
              <w:left w:val="nil"/>
              <w:bottom w:val="single" w:sz="4" w:space="0" w:color="auto"/>
              <w:right w:val="nil"/>
            </w:tcBorders>
            <w:shd w:val="clear" w:color="auto" w:fill="auto"/>
            <w:noWrap/>
            <w:vAlign w:val="bottom"/>
            <w:hideMark/>
          </w:tcPr>
          <w:p w14:paraId="418DFD6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9,845</w:t>
            </w:r>
          </w:p>
        </w:tc>
        <w:tc>
          <w:tcPr>
            <w:tcW w:w="879" w:type="dxa"/>
            <w:tcBorders>
              <w:top w:val="nil"/>
              <w:left w:val="nil"/>
              <w:bottom w:val="single" w:sz="4" w:space="0" w:color="auto"/>
              <w:right w:val="nil"/>
            </w:tcBorders>
            <w:shd w:val="clear" w:color="auto" w:fill="auto"/>
            <w:noWrap/>
            <w:vAlign w:val="bottom"/>
            <w:hideMark/>
          </w:tcPr>
          <w:p w14:paraId="7F404278"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8,821</w:t>
            </w:r>
          </w:p>
        </w:tc>
      </w:tr>
      <w:tr w:rsidR="000E7B8B" w:rsidRPr="000E7B8B" w14:paraId="7793D777"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2510798D"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0413D76A" w14:textId="77777777" w:rsidR="000E7B8B" w:rsidRPr="000E7B8B" w:rsidRDefault="000E7B8B" w:rsidP="000E7B8B">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83BB209"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529C368"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E3A5933"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7F7CF36F" w14:textId="77777777" w:rsidR="000E7B8B" w:rsidRPr="000E7B8B" w:rsidRDefault="000E7B8B" w:rsidP="000E7B8B">
            <w:pPr>
              <w:spacing w:after="0"/>
              <w:jc w:val="right"/>
              <w:rPr>
                <w:rFonts w:ascii="Times New Roman" w:hAnsi="Times New Roman"/>
                <w:color w:val="auto"/>
              </w:rPr>
            </w:pPr>
          </w:p>
        </w:tc>
      </w:tr>
      <w:tr w:rsidR="000E7B8B" w:rsidRPr="000E7B8B" w14:paraId="4F5E1ECC"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7DBDF107" w14:textId="77777777" w:rsidR="000E7B8B" w:rsidRPr="000E7B8B" w:rsidRDefault="000E7B8B" w:rsidP="000E7B8B">
            <w:pPr>
              <w:spacing w:after="0"/>
              <w:ind w:firstLineChars="200" w:firstLine="320"/>
              <w:rPr>
                <w:rFonts w:ascii="Arial" w:hAnsi="Arial" w:cs="Arial"/>
                <w:sz w:val="16"/>
                <w:szCs w:val="16"/>
              </w:rPr>
            </w:pPr>
            <w:r w:rsidRPr="000E7B8B">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7AD4A30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106</w:t>
            </w:r>
          </w:p>
        </w:tc>
        <w:tc>
          <w:tcPr>
            <w:tcW w:w="870" w:type="dxa"/>
            <w:tcBorders>
              <w:top w:val="nil"/>
              <w:left w:val="nil"/>
              <w:bottom w:val="nil"/>
              <w:right w:val="nil"/>
            </w:tcBorders>
            <w:shd w:val="clear" w:color="000000" w:fill="D9D9D9"/>
            <w:noWrap/>
            <w:vAlign w:val="bottom"/>
            <w:hideMark/>
          </w:tcPr>
          <w:p w14:paraId="4A7F7619"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106</w:t>
            </w:r>
          </w:p>
        </w:tc>
        <w:tc>
          <w:tcPr>
            <w:tcW w:w="879" w:type="dxa"/>
            <w:tcBorders>
              <w:top w:val="nil"/>
              <w:left w:val="nil"/>
              <w:bottom w:val="nil"/>
              <w:right w:val="nil"/>
            </w:tcBorders>
            <w:shd w:val="clear" w:color="auto" w:fill="auto"/>
            <w:noWrap/>
            <w:vAlign w:val="bottom"/>
            <w:hideMark/>
          </w:tcPr>
          <w:p w14:paraId="16E2713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106</w:t>
            </w:r>
          </w:p>
        </w:tc>
        <w:tc>
          <w:tcPr>
            <w:tcW w:w="879" w:type="dxa"/>
            <w:tcBorders>
              <w:top w:val="nil"/>
              <w:left w:val="nil"/>
              <w:bottom w:val="nil"/>
              <w:right w:val="nil"/>
            </w:tcBorders>
            <w:shd w:val="clear" w:color="auto" w:fill="auto"/>
            <w:noWrap/>
            <w:vAlign w:val="bottom"/>
            <w:hideMark/>
          </w:tcPr>
          <w:p w14:paraId="081E973D"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106</w:t>
            </w:r>
          </w:p>
        </w:tc>
        <w:tc>
          <w:tcPr>
            <w:tcW w:w="879" w:type="dxa"/>
            <w:tcBorders>
              <w:top w:val="nil"/>
              <w:left w:val="nil"/>
              <w:bottom w:val="nil"/>
              <w:right w:val="nil"/>
            </w:tcBorders>
            <w:shd w:val="clear" w:color="auto" w:fill="auto"/>
            <w:noWrap/>
            <w:vAlign w:val="bottom"/>
            <w:hideMark/>
          </w:tcPr>
          <w:p w14:paraId="189CB87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106</w:t>
            </w:r>
          </w:p>
        </w:tc>
      </w:tr>
      <w:tr w:rsidR="000E7B8B" w:rsidRPr="000E7B8B" w14:paraId="6349A92A"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68D06953" w14:textId="77777777" w:rsidR="000E7B8B" w:rsidRPr="000E7B8B" w:rsidRDefault="000E7B8B" w:rsidP="000E7B8B">
            <w:pPr>
              <w:spacing w:after="0"/>
              <w:ind w:firstLineChars="200" w:firstLine="320"/>
              <w:rPr>
                <w:rFonts w:ascii="Arial" w:hAnsi="Arial" w:cs="Arial"/>
                <w:b/>
                <w:bCs/>
                <w:sz w:val="16"/>
                <w:szCs w:val="16"/>
              </w:rPr>
            </w:pPr>
            <w:r w:rsidRPr="000E7B8B">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1E65809A"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106</w:t>
            </w:r>
          </w:p>
        </w:tc>
        <w:tc>
          <w:tcPr>
            <w:tcW w:w="870" w:type="dxa"/>
            <w:tcBorders>
              <w:top w:val="nil"/>
              <w:left w:val="nil"/>
              <w:bottom w:val="single" w:sz="4" w:space="0" w:color="auto"/>
              <w:right w:val="nil"/>
            </w:tcBorders>
            <w:shd w:val="clear" w:color="000000" w:fill="D9D9D9"/>
            <w:noWrap/>
            <w:vAlign w:val="bottom"/>
            <w:hideMark/>
          </w:tcPr>
          <w:p w14:paraId="3703598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106</w:t>
            </w:r>
          </w:p>
        </w:tc>
        <w:tc>
          <w:tcPr>
            <w:tcW w:w="879" w:type="dxa"/>
            <w:tcBorders>
              <w:top w:val="nil"/>
              <w:left w:val="nil"/>
              <w:bottom w:val="single" w:sz="4" w:space="0" w:color="auto"/>
              <w:right w:val="nil"/>
            </w:tcBorders>
            <w:shd w:val="clear" w:color="auto" w:fill="auto"/>
            <w:noWrap/>
            <w:vAlign w:val="bottom"/>
            <w:hideMark/>
          </w:tcPr>
          <w:p w14:paraId="168F6C9D"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106</w:t>
            </w:r>
          </w:p>
        </w:tc>
        <w:tc>
          <w:tcPr>
            <w:tcW w:w="879" w:type="dxa"/>
            <w:tcBorders>
              <w:top w:val="nil"/>
              <w:left w:val="nil"/>
              <w:bottom w:val="single" w:sz="4" w:space="0" w:color="auto"/>
              <w:right w:val="nil"/>
            </w:tcBorders>
            <w:shd w:val="clear" w:color="auto" w:fill="auto"/>
            <w:noWrap/>
            <w:vAlign w:val="bottom"/>
            <w:hideMark/>
          </w:tcPr>
          <w:p w14:paraId="1746763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106</w:t>
            </w:r>
          </w:p>
        </w:tc>
        <w:tc>
          <w:tcPr>
            <w:tcW w:w="879" w:type="dxa"/>
            <w:tcBorders>
              <w:top w:val="nil"/>
              <w:left w:val="nil"/>
              <w:bottom w:val="single" w:sz="4" w:space="0" w:color="auto"/>
              <w:right w:val="nil"/>
            </w:tcBorders>
            <w:shd w:val="clear" w:color="auto" w:fill="auto"/>
            <w:noWrap/>
            <w:vAlign w:val="bottom"/>
            <w:hideMark/>
          </w:tcPr>
          <w:p w14:paraId="0531D1C8"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106</w:t>
            </w:r>
          </w:p>
        </w:tc>
      </w:tr>
      <w:tr w:rsidR="000E7B8B" w:rsidRPr="000E7B8B" w14:paraId="7755C8BC"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1BEBA35A"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39E6672C"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14,153</w:t>
            </w:r>
          </w:p>
        </w:tc>
        <w:tc>
          <w:tcPr>
            <w:tcW w:w="870" w:type="dxa"/>
            <w:tcBorders>
              <w:top w:val="nil"/>
              <w:left w:val="nil"/>
              <w:bottom w:val="single" w:sz="4" w:space="0" w:color="auto"/>
              <w:right w:val="nil"/>
            </w:tcBorders>
            <w:shd w:val="clear" w:color="000000" w:fill="D9D9D9"/>
            <w:noWrap/>
            <w:vAlign w:val="bottom"/>
            <w:hideMark/>
          </w:tcPr>
          <w:p w14:paraId="5710D4A8"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13,024</w:t>
            </w:r>
          </w:p>
        </w:tc>
        <w:tc>
          <w:tcPr>
            <w:tcW w:w="879" w:type="dxa"/>
            <w:tcBorders>
              <w:top w:val="nil"/>
              <w:left w:val="nil"/>
              <w:bottom w:val="single" w:sz="4" w:space="0" w:color="auto"/>
              <w:right w:val="nil"/>
            </w:tcBorders>
            <w:shd w:val="clear" w:color="auto" w:fill="auto"/>
            <w:noWrap/>
            <w:vAlign w:val="bottom"/>
            <w:hideMark/>
          </w:tcPr>
          <w:p w14:paraId="3BBB0A6C"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12,127</w:t>
            </w:r>
          </w:p>
        </w:tc>
        <w:tc>
          <w:tcPr>
            <w:tcW w:w="879" w:type="dxa"/>
            <w:tcBorders>
              <w:top w:val="nil"/>
              <w:left w:val="nil"/>
              <w:bottom w:val="single" w:sz="4" w:space="0" w:color="auto"/>
              <w:right w:val="nil"/>
            </w:tcBorders>
            <w:shd w:val="clear" w:color="auto" w:fill="auto"/>
            <w:noWrap/>
            <w:vAlign w:val="bottom"/>
            <w:hideMark/>
          </w:tcPr>
          <w:p w14:paraId="118B9F76"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11,169</w:t>
            </w:r>
          </w:p>
        </w:tc>
        <w:tc>
          <w:tcPr>
            <w:tcW w:w="879" w:type="dxa"/>
            <w:tcBorders>
              <w:top w:val="nil"/>
              <w:left w:val="nil"/>
              <w:bottom w:val="single" w:sz="4" w:space="0" w:color="auto"/>
              <w:right w:val="nil"/>
            </w:tcBorders>
            <w:shd w:val="clear" w:color="auto" w:fill="auto"/>
            <w:noWrap/>
            <w:vAlign w:val="bottom"/>
            <w:hideMark/>
          </w:tcPr>
          <w:p w14:paraId="34713D9F"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10,145</w:t>
            </w:r>
          </w:p>
        </w:tc>
      </w:tr>
      <w:tr w:rsidR="000E7B8B" w:rsidRPr="000E7B8B" w14:paraId="108D0411"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3102DB8B" w14:textId="77777777" w:rsidR="000E7B8B" w:rsidRPr="000E7B8B" w:rsidRDefault="000E7B8B" w:rsidP="000E7B8B">
            <w:pPr>
              <w:spacing w:after="0"/>
              <w:rPr>
                <w:rFonts w:ascii="Arial" w:hAnsi="Arial" w:cs="Arial"/>
                <w:b/>
                <w:bCs/>
                <w:sz w:val="16"/>
                <w:szCs w:val="16"/>
              </w:rPr>
            </w:pPr>
            <w:r w:rsidRPr="000E7B8B">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55AD381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15,805</w:t>
            </w:r>
          </w:p>
        </w:tc>
        <w:tc>
          <w:tcPr>
            <w:tcW w:w="870" w:type="dxa"/>
            <w:tcBorders>
              <w:top w:val="nil"/>
              <w:left w:val="nil"/>
              <w:bottom w:val="single" w:sz="4" w:space="0" w:color="auto"/>
              <w:right w:val="nil"/>
            </w:tcBorders>
            <w:shd w:val="clear" w:color="000000" w:fill="D9D9D9"/>
            <w:noWrap/>
            <w:vAlign w:val="bottom"/>
            <w:hideMark/>
          </w:tcPr>
          <w:p w14:paraId="714DA6F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15,359</w:t>
            </w:r>
          </w:p>
        </w:tc>
        <w:tc>
          <w:tcPr>
            <w:tcW w:w="879" w:type="dxa"/>
            <w:tcBorders>
              <w:top w:val="nil"/>
              <w:left w:val="nil"/>
              <w:bottom w:val="single" w:sz="4" w:space="0" w:color="auto"/>
              <w:right w:val="nil"/>
            </w:tcBorders>
            <w:shd w:val="clear" w:color="auto" w:fill="auto"/>
            <w:noWrap/>
            <w:vAlign w:val="bottom"/>
            <w:hideMark/>
          </w:tcPr>
          <w:p w14:paraId="4B0B3F0D"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14,973</w:t>
            </w:r>
          </w:p>
        </w:tc>
        <w:tc>
          <w:tcPr>
            <w:tcW w:w="879" w:type="dxa"/>
            <w:tcBorders>
              <w:top w:val="nil"/>
              <w:left w:val="nil"/>
              <w:bottom w:val="single" w:sz="4" w:space="0" w:color="auto"/>
              <w:right w:val="nil"/>
            </w:tcBorders>
            <w:shd w:val="clear" w:color="auto" w:fill="auto"/>
            <w:noWrap/>
            <w:vAlign w:val="bottom"/>
            <w:hideMark/>
          </w:tcPr>
          <w:p w14:paraId="097EB02A"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14,651</w:t>
            </w:r>
          </w:p>
        </w:tc>
        <w:tc>
          <w:tcPr>
            <w:tcW w:w="879" w:type="dxa"/>
            <w:tcBorders>
              <w:top w:val="nil"/>
              <w:left w:val="nil"/>
              <w:bottom w:val="single" w:sz="4" w:space="0" w:color="auto"/>
              <w:right w:val="nil"/>
            </w:tcBorders>
            <w:shd w:val="clear" w:color="auto" w:fill="auto"/>
            <w:noWrap/>
            <w:vAlign w:val="bottom"/>
            <w:hideMark/>
          </w:tcPr>
          <w:p w14:paraId="5C38F7F3"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14,395</w:t>
            </w:r>
          </w:p>
        </w:tc>
      </w:tr>
      <w:tr w:rsidR="000E7B8B" w:rsidRPr="000E7B8B" w14:paraId="6F45F1CA" w14:textId="77777777" w:rsidTr="000E7B8B">
        <w:trPr>
          <w:trHeight w:val="300"/>
          <w:jc w:val="center"/>
        </w:trPr>
        <w:tc>
          <w:tcPr>
            <w:tcW w:w="2963" w:type="dxa"/>
            <w:tcBorders>
              <w:top w:val="nil"/>
              <w:left w:val="nil"/>
              <w:bottom w:val="nil"/>
              <w:right w:val="nil"/>
            </w:tcBorders>
            <w:shd w:val="clear" w:color="auto" w:fill="auto"/>
            <w:noWrap/>
            <w:vAlign w:val="bottom"/>
            <w:hideMark/>
          </w:tcPr>
          <w:p w14:paraId="0CE1AB0A" w14:textId="77777777" w:rsidR="000E7B8B" w:rsidRPr="000E7B8B" w:rsidRDefault="000E7B8B" w:rsidP="000E7B8B">
            <w:pPr>
              <w:spacing w:after="0"/>
              <w:rPr>
                <w:rFonts w:ascii="Arial" w:hAnsi="Arial" w:cs="Arial"/>
                <w:b/>
                <w:bCs/>
                <w:sz w:val="16"/>
                <w:szCs w:val="16"/>
              </w:rPr>
            </w:pPr>
            <w:r w:rsidRPr="000E7B8B">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486B4E36" w14:textId="77777777" w:rsidR="000E7B8B" w:rsidRPr="000E7B8B" w:rsidRDefault="000E7B8B" w:rsidP="000E7B8B">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7A45491"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64D2E8B" w14:textId="77777777" w:rsidR="000E7B8B" w:rsidRPr="000E7B8B" w:rsidRDefault="000E7B8B" w:rsidP="000E7B8B">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9FF6B9A" w14:textId="77777777" w:rsidR="000E7B8B" w:rsidRPr="000E7B8B" w:rsidRDefault="000E7B8B" w:rsidP="000E7B8B">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6CFDC60" w14:textId="77777777" w:rsidR="000E7B8B" w:rsidRPr="000E7B8B" w:rsidRDefault="000E7B8B" w:rsidP="000E7B8B">
            <w:pPr>
              <w:spacing w:after="0"/>
              <w:jc w:val="right"/>
              <w:rPr>
                <w:rFonts w:ascii="Times New Roman" w:hAnsi="Times New Roman"/>
                <w:color w:val="auto"/>
              </w:rPr>
            </w:pPr>
          </w:p>
        </w:tc>
      </w:tr>
      <w:tr w:rsidR="000E7B8B" w:rsidRPr="000E7B8B" w14:paraId="28461FB1"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6959C4F2" w14:textId="77777777" w:rsidR="000E7B8B" w:rsidRPr="000E7B8B" w:rsidRDefault="000E7B8B" w:rsidP="00893C55">
            <w:pPr>
              <w:spacing w:after="0"/>
              <w:ind w:leftChars="75" w:left="150"/>
              <w:rPr>
                <w:rFonts w:ascii="Arial" w:hAnsi="Arial" w:cs="Arial"/>
                <w:sz w:val="16"/>
                <w:szCs w:val="16"/>
              </w:rPr>
            </w:pPr>
            <w:r w:rsidRPr="000E7B8B">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33E56DC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400</w:t>
            </w:r>
          </w:p>
        </w:tc>
        <w:tc>
          <w:tcPr>
            <w:tcW w:w="870" w:type="dxa"/>
            <w:tcBorders>
              <w:top w:val="nil"/>
              <w:left w:val="nil"/>
              <w:bottom w:val="nil"/>
              <w:right w:val="nil"/>
            </w:tcBorders>
            <w:shd w:val="clear" w:color="000000" w:fill="D9D9D9"/>
            <w:noWrap/>
            <w:vAlign w:val="bottom"/>
            <w:hideMark/>
          </w:tcPr>
          <w:p w14:paraId="03B13A6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411AED8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4116C834"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220B5845"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400</w:t>
            </w:r>
          </w:p>
        </w:tc>
      </w:tr>
      <w:tr w:rsidR="000E7B8B" w:rsidRPr="000E7B8B" w14:paraId="59C90AE5" w14:textId="77777777" w:rsidTr="000E7B8B">
        <w:trPr>
          <w:trHeight w:val="225"/>
          <w:jc w:val="center"/>
        </w:trPr>
        <w:tc>
          <w:tcPr>
            <w:tcW w:w="2963" w:type="dxa"/>
            <w:tcBorders>
              <w:top w:val="nil"/>
              <w:left w:val="nil"/>
              <w:bottom w:val="nil"/>
              <w:right w:val="nil"/>
            </w:tcBorders>
            <w:shd w:val="clear" w:color="auto" w:fill="auto"/>
            <w:noWrap/>
            <w:vAlign w:val="bottom"/>
            <w:hideMark/>
          </w:tcPr>
          <w:p w14:paraId="253A8DDD" w14:textId="77777777" w:rsidR="000E7B8B" w:rsidRPr="000E7B8B" w:rsidRDefault="000E7B8B" w:rsidP="00893C55">
            <w:pPr>
              <w:spacing w:after="0"/>
              <w:ind w:leftChars="75" w:left="150"/>
              <w:rPr>
                <w:rFonts w:ascii="Arial" w:hAnsi="Arial" w:cs="Arial"/>
                <w:sz w:val="16"/>
                <w:szCs w:val="16"/>
              </w:rPr>
            </w:pPr>
            <w:r w:rsidRPr="000E7B8B">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5261127A"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710EBF30"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5DC991B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8E80E4C"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97933E8"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w:t>
            </w:r>
          </w:p>
        </w:tc>
      </w:tr>
      <w:tr w:rsidR="000E7B8B" w:rsidRPr="000E7B8B" w14:paraId="30F65EDD" w14:textId="77777777" w:rsidTr="0067180E">
        <w:trPr>
          <w:trHeight w:val="425"/>
          <w:jc w:val="center"/>
        </w:trPr>
        <w:tc>
          <w:tcPr>
            <w:tcW w:w="2963" w:type="dxa"/>
            <w:tcBorders>
              <w:top w:val="nil"/>
              <w:left w:val="nil"/>
              <w:bottom w:val="nil"/>
              <w:right w:val="nil"/>
            </w:tcBorders>
            <w:shd w:val="clear" w:color="auto" w:fill="auto"/>
            <w:vAlign w:val="bottom"/>
            <w:hideMark/>
          </w:tcPr>
          <w:p w14:paraId="10B3D533" w14:textId="77777777" w:rsidR="000E7B8B" w:rsidRPr="000E7B8B" w:rsidRDefault="000E7B8B" w:rsidP="00893C55">
            <w:pPr>
              <w:spacing w:after="0"/>
              <w:ind w:leftChars="75" w:left="150"/>
              <w:rPr>
                <w:rFonts w:ascii="Arial" w:hAnsi="Arial" w:cs="Arial"/>
                <w:sz w:val="16"/>
                <w:szCs w:val="16"/>
              </w:rPr>
            </w:pPr>
            <w:r w:rsidRPr="000E7B8B">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5E06CF7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15,405</w:t>
            </w:r>
          </w:p>
        </w:tc>
        <w:tc>
          <w:tcPr>
            <w:tcW w:w="870" w:type="dxa"/>
            <w:tcBorders>
              <w:top w:val="nil"/>
              <w:left w:val="nil"/>
              <w:bottom w:val="single" w:sz="4" w:space="0" w:color="auto"/>
              <w:right w:val="nil"/>
            </w:tcBorders>
            <w:shd w:val="clear" w:color="000000" w:fill="D9D9D9"/>
            <w:noWrap/>
            <w:vAlign w:val="bottom"/>
            <w:hideMark/>
          </w:tcPr>
          <w:p w14:paraId="4652863D"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14,959</w:t>
            </w:r>
          </w:p>
        </w:tc>
        <w:tc>
          <w:tcPr>
            <w:tcW w:w="879" w:type="dxa"/>
            <w:tcBorders>
              <w:top w:val="nil"/>
              <w:left w:val="nil"/>
              <w:bottom w:val="single" w:sz="4" w:space="0" w:color="auto"/>
              <w:right w:val="nil"/>
            </w:tcBorders>
            <w:shd w:val="clear" w:color="auto" w:fill="auto"/>
            <w:noWrap/>
            <w:vAlign w:val="bottom"/>
            <w:hideMark/>
          </w:tcPr>
          <w:p w14:paraId="66F4A2DB"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14,573</w:t>
            </w:r>
          </w:p>
        </w:tc>
        <w:tc>
          <w:tcPr>
            <w:tcW w:w="879" w:type="dxa"/>
            <w:tcBorders>
              <w:top w:val="nil"/>
              <w:left w:val="nil"/>
              <w:bottom w:val="single" w:sz="4" w:space="0" w:color="auto"/>
              <w:right w:val="nil"/>
            </w:tcBorders>
            <w:shd w:val="clear" w:color="auto" w:fill="auto"/>
            <w:noWrap/>
            <w:vAlign w:val="bottom"/>
            <w:hideMark/>
          </w:tcPr>
          <w:p w14:paraId="52189D73"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14,251</w:t>
            </w:r>
          </w:p>
        </w:tc>
        <w:tc>
          <w:tcPr>
            <w:tcW w:w="879" w:type="dxa"/>
            <w:tcBorders>
              <w:top w:val="nil"/>
              <w:left w:val="nil"/>
              <w:bottom w:val="single" w:sz="4" w:space="0" w:color="auto"/>
              <w:right w:val="nil"/>
            </w:tcBorders>
            <w:shd w:val="clear" w:color="auto" w:fill="auto"/>
            <w:noWrap/>
            <w:vAlign w:val="bottom"/>
            <w:hideMark/>
          </w:tcPr>
          <w:p w14:paraId="155D2237" w14:textId="77777777" w:rsidR="000E7B8B" w:rsidRPr="000E7B8B" w:rsidRDefault="000E7B8B" w:rsidP="000E7B8B">
            <w:pPr>
              <w:spacing w:after="0"/>
              <w:jc w:val="right"/>
              <w:rPr>
                <w:rFonts w:ascii="Arial" w:hAnsi="Arial" w:cs="Arial"/>
                <w:sz w:val="16"/>
                <w:szCs w:val="16"/>
              </w:rPr>
            </w:pPr>
            <w:r w:rsidRPr="000E7B8B">
              <w:rPr>
                <w:rFonts w:ascii="Arial" w:hAnsi="Arial" w:cs="Arial"/>
                <w:sz w:val="16"/>
                <w:szCs w:val="16"/>
              </w:rPr>
              <w:t>13,995</w:t>
            </w:r>
          </w:p>
        </w:tc>
      </w:tr>
      <w:tr w:rsidR="000E7B8B" w:rsidRPr="000E7B8B" w14:paraId="47C96C16" w14:textId="77777777" w:rsidTr="00893C55">
        <w:trPr>
          <w:trHeight w:val="283"/>
          <w:jc w:val="center"/>
        </w:trPr>
        <w:tc>
          <w:tcPr>
            <w:tcW w:w="2963" w:type="dxa"/>
            <w:tcBorders>
              <w:top w:val="nil"/>
              <w:left w:val="nil"/>
              <w:bottom w:val="single" w:sz="4" w:space="0" w:color="auto"/>
              <w:right w:val="nil"/>
            </w:tcBorders>
            <w:shd w:val="clear" w:color="auto" w:fill="auto"/>
            <w:noWrap/>
            <w:vAlign w:val="bottom"/>
            <w:hideMark/>
          </w:tcPr>
          <w:p w14:paraId="76A217AD" w14:textId="77777777" w:rsidR="000E7B8B" w:rsidRPr="000E7B8B" w:rsidRDefault="000E7B8B" w:rsidP="00893C55">
            <w:pPr>
              <w:spacing w:after="0"/>
              <w:ind w:leftChars="75" w:left="150"/>
              <w:rPr>
                <w:rFonts w:ascii="Arial" w:hAnsi="Arial" w:cs="Arial"/>
                <w:b/>
                <w:bCs/>
                <w:sz w:val="16"/>
                <w:szCs w:val="16"/>
              </w:rPr>
            </w:pPr>
            <w:r w:rsidRPr="000E7B8B">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43734E6B"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15,805</w:t>
            </w:r>
          </w:p>
        </w:tc>
        <w:tc>
          <w:tcPr>
            <w:tcW w:w="870" w:type="dxa"/>
            <w:tcBorders>
              <w:top w:val="nil"/>
              <w:left w:val="nil"/>
              <w:bottom w:val="single" w:sz="4" w:space="0" w:color="auto"/>
              <w:right w:val="nil"/>
            </w:tcBorders>
            <w:shd w:val="clear" w:color="000000" w:fill="D9D9D9"/>
            <w:noWrap/>
            <w:vAlign w:val="bottom"/>
            <w:hideMark/>
          </w:tcPr>
          <w:p w14:paraId="3994416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15,359</w:t>
            </w:r>
          </w:p>
        </w:tc>
        <w:tc>
          <w:tcPr>
            <w:tcW w:w="879" w:type="dxa"/>
            <w:tcBorders>
              <w:top w:val="nil"/>
              <w:left w:val="nil"/>
              <w:bottom w:val="single" w:sz="4" w:space="0" w:color="auto"/>
              <w:right w:val="nil"/>
            </w:tcBorders>
            <w:shd w:val="clear" w:color="auto" w:fill="auto"/>
            <w:noWrap/>
            <w:vAlign w:val="bottom"/>
            <w:hideMark/>
          </w:tcPr>
          <w:p w14:paraId="079DE0CA"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14,973</w:t>
            </w:r>
          </w:p>
        </w:tc>
        <w:tc>
          <w:tcPr>
            <w:tcW w:w="879" w:type="dxa"/>
            <w:tcBorders>
              <w:top w:val="nil"/>
              <w:left w:val="nil"/>
              <w:bottom w:val="single" w:sz="4" w:space="0" w:color="auto"/>
              <w:right w:val="nil"/>
            </w:tcBorders>
            <w:shd w:val="clear" w:color="auto" w:fill="auto"/>
            <w:noWrap/>
            <w:vAlign w:val="bottom"/>
            <w:hideMark/>
          </w:tcPr>
          <w:p w14:paraId="4EC56D17"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14,651</w:t>
            </w:r>
          </w:p>
        </w:tc>
        <w:tc>
          <w:tcPr>
            <w:tcW w:w="879" w:type="dxa"/>
            <w:tcBorders>
              <w:top w:val="nil"/>
              <w:left w:val="nil"/>
              <w:bottom w:val="single" w:sz="4" w:space="0" w:color="auto"/>
              <w:right w:val="nil"/>
            </w:tcBorders>
            <w:shd w:val="clear" w:color="auto" w:fill="auto"/>
            <w:noWrap/>
            <w:vAlign w:val="bottom"/>
            <w:hideMark/>
          </w:tcPr>
          <w:p w14:paraId="06F6DEAE" w14:textId="77777777" w:rsidR="000E7B8B" w:rsidRPr="000E7B8B" w:rsidRDefault="000E7B8B" w:rsidP="000E7B8B">
            <w:pPr>
              <w:spacing w:after="0"/>
              <w:jc w:val="right"/>
              <w:rPr>
                <w:rFonts w:ascii="Arial" w:hAnsi="Arial" w:cs="Arial"/>
                <w:b/>
                <w:bCs/>
                <w:sz w:val="16"/>
                <w:szCs w:val="16"/>
              </w:rPr>
            </w:pPr>
            <w:r w:rsidRPr="000E7B8B">
              <w:rPr>
                <w:rFonts w:ascii="Arial" w:hAnsi="Arial" w:cs="Arial"/>
                <w:b/>
                <w:bCs/>
                <w:sz w:val="16"/>
                <w:szCs w:val="16"/>
              </w:rPr>
              <w:t>14,395</w:t>
            </w:r>
          </w:p>
        </w:tc>
      </w:tr>
    </w:tbl>
    <w:p w14:paraId="575E257B" w14:textId="77777777" w:rsidR="006974CE" w:rsidRDefault="006974CE" w:rsidP="00893C55">
      <w:pPr>
        <w:pStyle w:val="Tablenumberandreference"/>
        <w:spacing w:before="120"/>
        <w:rPr>
          <w:color w:val="000000" w:themeColor="text1"/>
        </w:rPr>
      </w:pPr>
    </w:p>
    <w:p w14:paraId="4EA0E467" w14:textId="77777777" w:rsidR="006974CE" w:rsidRDefault="006974CE">
      <w:pPr>
        <w:spacing w:after="160" w:line="259" w:lineRule="auto"/>
        <w:rPr>
          <w:rFonts w:ascii="Arial" w:hAnsi="Arial" w:cs="Arial"/>
          <w:b/>
          <w:color w:val="000000" w:themeColor="text1"/>
          <w:szCs w:val="18"/>
          <w:lang w:eastAsia="en-US"/>
        </w:rPr>
      </w:pPr>
      <w:r>
        <w:rPr>
          <w:color w:val="000000" w:themeColor="text1"/>
        </w:rPr>
        <w:br w:type="page"/>
      </w:r>
    </w:p>
    <w:p w14:paraId="0442E5A0" w14:textId="51D0B447" w:rsidR="00BC0659" w:rsidRDefault="00BC0659" w:rsidP="00893C55">
      <w:pPr>
        <w:pStyle w:val="Tablenumberandreference"/>
        <w:spacing w:before="120"/>
        <w:rPr>
          <w:color w:val="000000" w:themeColor="text1"/>
        </w:rPr>
      </w:pPr>
      <w:r w:rsidRPr="00191F54">
        <w:rPr>
          <w:color w:val="000000" w:themeColor="text1"/>
        </w:rPr>
        <w:lastRenderedPageBreak/>
        <w:t>Table 3.3: Departmental Statement of Changes in Equity – Summary of Movement (Budg</w:t>
      </w:r>
      <w:r w:rsidR="00C30185" w:rsidRPr="00191F54">
        <w:rPr>
          <w:color w:val="000000" w:themeColor="text1"/>
        </w:rPr>
        <w:t xml:space="preserve">et year </w:t>
      </w:r>
      <w:r w:rsidR="00883696">
        <w:rPr>
          <w:color w:val="000000" w:themeColor="text1"/>
        </w:rPr>
        <w:t>2022–</w:t>
      </w:r>
      <w:r w:rsidR="003947C1">
        <w:rPr>
          <w:color w:val="000000" w:themeColor="text1"/>
        </w:rPr>
        <w:t>23</w:t>
      </w:r>
      <w:r w:rsidRPr="00191F54">
        <w:rPr>
          <w:color w:val="000000" w:themeColor="text1"/>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893C55" w:rsidRPr="00893C55" w14:paraId="17034485" w14:textId="77777777" w:rsidTr="00893C55">
        <w:trPr>
          <w:trHeight w:val="765"/>
          <w:jc w:val="center"/>
        </w:trPr>
        <w:tc>
          <w:tcPr>
            <w:tcW w:w="2860" w:type="dxa"/>
            <w:tcBorders>
              <w:top w:val="single" w:sz="4" w:space="0" w:color="auto"/>
              <w:left w:val="nil"/>
              <w:bottom w:val="nil"/>
              <w:right w:val="nil"/>
            </w:tcBorders>
            <w:shd w:val="clear" w:color="auto" w:fill="auto"/>
            <w:hideMark/>
          </w:tcPr>
          <w:p w14:paraId="3CBEA282" w14:textId="77777777" w:rsidR="00893C55" w:rsidRPr="00893C55" w:rsidRDefault="00893C55" w:rsidP="00893C55">
            <w:pPr>
              <w:spacing w:before="40" w:after="0"/>
              <w:jc w:val="right"/>
              <w:rPr>
                <w:rFonts w:ascii="Arial" w:hAnsi="Arial" w:cs="Arial"/>
                <w:sz w:val="16"/>
                <w:szCs w:val="16"/>
              </w:rPr>
            </w:pPr>
            <w:r w:rsidRPr="00893C55">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786D1A28" w14:textId="77777777" w:rsidR="00893C55" w:rsidRPr="00893C55" w:rsidRDefault="00893C55" w:rsidP="00893C55">
            <w:pPr>
              <w:spacing w:before="40" w:after="0"/>
              <w:jc w:val="right"/>
              <w:rPr>
                <w:rFonts w:ascii="Arial" w:hAnsi="Arial" w:cs="Arial"/>
                <w:sz w:val="16"/>
                <w:szCs w:val="16"/>
              </w:rPr>
            </w:pPr>
            <w:r w:rsidRPr="00893C55">
              <w:rPr>
                <w:rFonts w:ascii="Arial" w:hAnsi="Arial" w:cs="Arial"/>
                <w:b/>
                <w:bCs/>
                <w:sz w:val="16"/>
                <w:szCs w:val="16"/>
              </w:rPr>
              <w:t xml:space="preserve">Retained earnings </w:t>
            </w:r>
            <w:r w:rsidRPr="00893C55">
              <w:rPr>
                <w:rFonts w:ascii="Arial" w:hAnsi="Arial" w:cs="Arial"/>
                <w:sz w:val="16"/>
                <w:szCs w:val="16"/>
              </w:rPr>
              <w:br/>
            </w:r>
            <w:r w:rsidRPr="00893C55">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C9174EF" w14:textId="77777777" w:rsidR="00893C55" w:rsidRPr="00893C55" w:rsidRDefault="00893C55" w:rsidP="00893C55">
            <w:pPr>
              <w:spacing w:before="40" w:after="0"/>
              <w:jc w:val="right"/>
              <w:rPr>
                <w:rFonts w:ascii="Arial" w:hAnsi="Arial" w:cs="Arial"/>
                <w:sz w:val="16"/>
                <w:szCs w:val="16"/>
              </w:rPr>
            </w:pPr>
            <w:r w:rsidRPr="00893C55">
              <w:rPr>
                <w:rFonts w:ascii="Arial" w:hAnsi="Arial" w:cs="Arial"/>
                <w:b/>
                <w:bCs/>
                <w:sz w:val="16"/>
                <w:szCs w:val="16"/>
              </w:rPr>
              <w:t xml:space="preserve">Asset revaluation reserve </w:t>
            </w:r>
            <w:r w:rsidRPr="00893C55">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433FA6CD" w14:textId="77777777" w:rsidR="00893C55" w:rsidRPr="00893C55" w:rsidRDefault="00893C55" w:rsidP="00893C55">
            <w:pPr>
              <w:spacing w:before="40" w:after="0"/>
              <w:jc w:val="right"/>
              <w:rPr>
                <w:rFonts w:ascii="Arial" w:hAnsi="Arial" w:cs="Arial"/>
                <w:sz w:val="16"/>
                <w:szCs w:val="16"/>
              </w:rPr>
            </w:pPr>
            <w:r w:rsidRPr="00893C55">
              <w:rPr>
                <w:rFonts w:ascii="Arial" w:hAnsi="Arial" w:cs="Arial"/>
                <w:b/>
                <w:bCs/>
                <w:sz w:val="16"/>
                <w:szCs w:val="16"/>
              </w:rPr>
              <w:t>Contributed equity/</w:t>
            </w:r>
            <w:r w:rsidRPr="00893C55">
              <w:rPr>
                <w:rFonts w:ascii="Arial" w:hAnsi="Arial" w:cs="Arial"/>
                <w:b/>
                <w:bCs/>
                <w:sz w:val="16"/>
                <w:szCs w:val="16"/>
              </w:rPr>
              <w:br/>
              <w:t xml:space="preserve">capital </w:t>
            </w:r>
            <w:r w:rsidRPr="00893C55">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BEEE63A" w14:textId="77777777" w:rsidR="00893C55" w:rsidRPr="00893C55" w:rsidRDefault="00893C55" w:rsidP="00893C55">
            <w:pPr>
              <w:spacing w:before="40" w:after="0"/>
              <w:jc w:val="right"/>
              <w:rPr>
                <w:rFonts w:ascii="Arial" w:hAnsi="Arial" w:cs="Arial"/>
                <w:sz w:val="16"/>
                <w:szCs w:val="16"/>
              </w:rPr>
            </w:pPr>
            <w:r w:rsidRPr="00893C55">
              <w:rPr>
                <w:rFonts w:ascii="Arial" w:hAnsi="Arial" w:cs="Arial"/>
                <w:b/>
                <w:bCs/>
                <w:sz w:val="16"/>
                <w:szCs w:val="16"/>
              </w:rPr>
              <w:t xml:space="preserve">Total </w:t>
            </w:r>
            <w:r w:rsidRPr="00893C55">
              <w:rPr>
                <w:rFonts w:ascii="Arial" w:hAnsi="Arial" w:cs="Arial"/>
                <w:b/>
                <w:bCs/>
                <w:sz w:val="16"/>
                <w:szCs w:val="16"/>
              </w:rPr>
              <w:br/>
              <w:t xml:space="preserve">equity </w:t>
            </w:r>
            <w:r w:rsidRPr="00893C55">
              <w:rPr>
                <w:rFonts w:ascii="Arial" w:hAnsi="Arial" w:cs="Arial"/>
                <w:sz w:val="16"/>
                <w:szCs w:val="16"/>
              </w:rPr>
              <w:br/>
            </w:r>
            <w:r w:rsidRPr="00893C55">
              <w:rPr>
                <w:rFonts w:ascii="Arial" w:hAnsi="Arial" w:cs="Arial"/>
                <w:sz w:val="16"/>
                <w:szCs w:val="16"/>
              </w:rPr>
              <w:br/>
              <w:t>$'000</w:t>
            </w:r>
          </w:p>
        </w:tc>
      </w:tr>
      <w:tr w:rsidR="00893C55" w:rsidRPr="00893C55" w14:paraId="25FDE3CD" w14:textId="77777777" w:rsidTr="00893C55">
        <w:trPr>
          <w:trHeight w:val="225"/>
          <w:jc w:val="center"/>
        </w:trPr>
        <w:tc>
          <w:tcPr>
            <w:tcW w:w="2860" w:type="dxa"/>
            <w:tcBorders>
              <w:top w:val="nil"/>
              <w:left w:val="nil"/>
              <w:bottom w:val="nil"/>
              <w:right w:val="nil"/>
            </w:tcBorders>
            <w:shd w:val="clear" w:color="auto" w:fill="auto"/>
            <w:noWrap/>
            <w:vAlign w:val="bottom"/>
            <w:hideMark/>
          </w:tcPr>
          <w:p w14:paraId="7368691F" w14:textId="77777777" w:rsidR="00893C55" w:rsidRPr="00893C55" w:rsidRDefault="00893C55" w:rsidP="00893C55">
            <w:pPr>
              <w:spacing w:after="0"/>
              <w:rPr>
                <w:rFonts w:ascii="Arial" w:hAnsi="Arial" w:cs="Arial"/>
                <w:b/>
                <w:bCs/>
                <w:sz w:val="16"/>
                <w:szCs w:val="16"/>
              </w:rPr>
            </w:pPr>
            <w:r w:rsidRPr="00893C55">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0795BD0E" w14:textId="77777777" w:rsidR="00893C55" w:rsidRPr="00893C55" w:rsidRDefault="00893C55" w:rsidP="00893C55">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682800E" w14:textId="77777777" w:rsidR="00893C55" w:rsidRPr="00893C55" w:rsidRDefault="00893C55" w:rsidP="00893C55">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277754E1" w14:textId="77777777" w:rsidR="00893C55" w:rsidRPr="00893C55" w:rsidRDefault="00893C55" w:rsidP="00893C55">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80013A2" w14:textId="77777777" w:rsidR="00893C55" w:rsidRPr="00893C55" w:rsidRDefault="00893C55" w:rsidP="00893C55">
            <w:pPr>
              <w:spacing w:after="0"/>
              <w:jc w:val="right"/>
              <w:rPr>
                <w:rFonts w:ascii="Times New Roman" w:hAnsi="Times New Roman"/>
                <w:color w:val="auto"/>
              </w:rPr>
            </w:pPr>
          </w:p>
        </w:tc>
      </w:tr>
      <w:tr w:rsidR="00893C55" w:rsidRPr="00893C55" w14:paraId="07031A03" w14:textId="77777777" w:rsidTr="00893C55">
        <w:trPr>
          <w:trHeight w:val="450"/>
          <w:jc w:val="center"/>
        </w:trPr>
        <w:tc>
          <w:tcPr>
            <w:tcW w:w="2860" w:type="dxa"/>
            <w:tcBorders>
              <w:top w:val="nil"/>
              <w:left w:val="nil"/>
              <w:bottom w:val="nil"/>
              <w:right w:val="nil"/>
            </w:tcBorders>
            <w:shd w:val="clear" w:color="auto" w:fill="auto"/>
            <w:vAlign w:val="bottom"/>
            <w:hideMark/>
          </w:tcPr>
          <w:p w14:paraId="181900EC" w14:textId="77777777" w:rsidR="00893C55" w:rsidRPr="00893C55" w:rsidRDefault="00893C55" w:rsidP="00893C55">
            <w:pPr>
              <w:spacing w:after="0"/>
              <w:ind w:leftChars="75" w:left="150"/>
              <w:rPr>
                <w:rFonts w:ascii="Arial" w:hAnsi="Arial" w:cs="Arial"/>
                <w:sz w:val="16"/>
                <w:szCs w:val="16"/>
              </w:rPr>
            </w:pPr>
            <w:r w:rsidRPr="00893C55">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12452239"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15,405</w:t>
            </w:r>
          </w:p>
        </w:tc>
        <w:tc>
          <w:tcPr>
            <w:tcW w:w="1200" w:type="dxa"/>
            <w:tcBorders>
              <w:top w:val="nil"/>
              <w:left w:val="nil"/>
              <w:bottom w:val="nil"/>
              <w:right w:val="nil"/>
            </w:tcBorders>
            <w:shd w:val="clear" w:color="auto" w:fill="auto"/>
            <w:noWrap/>
            <w:vAlign w:val="bottom"/>
            <w:hideMark/>
          </w:tcPr>
          <w:p w14:paraId="013E98F0"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97DD374"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400</w:t>
            </w:r>
          </w:p>
        </w:tc>
        <w:tc>
          <w:tcPr>
            <w:tcW w:w="1060" w:type="dxa"/>
            <w:tcBorders>
              <w:top w:val="nil"/>
              <w:left w:val="nil"/>
              <w:bottom w:val="nil"/>
              <w:right w:val="nil"/>
            </w:tcBorders>
            <w:shd w:val="clear" w:color="auto" w:fill="auto"/>
            <w:noWrap/>
            <w:vAlign w:val="bottom"/>
            <w:hideMark/>
          </w:tcPr>
          <w:p w14:paraId="4B25DFAF"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15,805</w:t>
            </w:r>
          </w:p>
        </w:tc>
      </w:tr>
      <w:tr w:rsidR="00893C55" w:rsidRPr="00893C55" w14:paraId="0E4F3FE3" w14:textId="77777777" w:rsidTr="0067180E">
        <w:trPr>
          <w:trHeight w:val="283"/>
          <w:jc w:val="center"/>
        </w:trPr>
        <w:tc>
          <w:tcPr>
            <w:tcW w:w="2860" w:type="dxa"/>
            <w:tcBorders>
              <w:top w:val="nil"/>
              <w:left w:val="nil"/>
              <w:bottom w:val="nil"/>
              <w:right w:val="nil"/>
            </w:tcBorders>
            <w:shd w:val="clear" w:color="auto" w:fill="auto"/>
            <w:noWrap/>
            <w:vAlign w:val="bottom"/>
            <w:hideMark/>
          </w:tcPr>
          <w:p w14:paraId="1D09ABF9" w14:textId="77777777" w:rsidR="00893C55" w:rsidRPr="00893C55" w:rsidRDefault="00893C55" w:rsidP="00893C55">
            <w:pPr>
              <w:spacing w:after="0"/>
              <w:ind w:leftChars="75" w:left="150"/>
              <w:rPr>
                <w:rFonts w:ascii="Arial" w:hAnsi="Arial" w:cs="Arial"/>
                <w:color w:val="auto"/>
                <w:sz w:val="16"/>
                <w:szCs w:val="16"/>
              </w:rPr>
            </w:pPr>
            <w:r w:rsidRPr="00893C55">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171742DB"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(446)</w:t>
            </w:r>
          </w:p>
        </w:tc>
        <w:tc>
          <w:tcPr>
            <w:tcW w:w="1200" w:type="dxa"/>
            <w:tcBorders>
              <w:top w:val="nil"/>
              <w:left w:val="nil"/>
              <w:bottom w:val="nil"/>
              <w:right w:val="nil"/>
            </w:tcBorders>
            <w:shd w:val="clear" w:color="auto" w:fill="auto"/>
            <w:noWrap/>
            <w:vAlign w:val="bottom"/>
            <w:hideMark/>
          </w:tcPr>
          <w:p w14:paraId="726C8567"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846A2F3"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8E618B8"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(446)</w:t>
            </w:r>
          </w:p>
        </w:tc>
      </w:tr>
      <w:tr w:rsidR="00893C55" w:rsidRPr="00893C55" w14:paraId="68B34567" w14:textId="77777777" w:rsidTr="003425A8">
        <w:trPr>
          <w:trHeight w:val="283"/>
          <w:jc w:val="center"/>
        </w:trPr>
        <w:tc>
          <w:tcPr>
            <w:tcW w:w="2860" w:type="dxa"/>
            <w:tcBorders>
              <w:top w:val="nil"/>
              <w:left w:val="nil"/>
              <w:bottom w:val="nil"/>
              <w:right w:val="nil"/>
            </w:tcBorders>
            <w:shd w:val="clear" w:color="auto" w:fill="auto"/>
            <w:noWrap/>
            <w:vAlign w:val="bottom"/>
            <w:hideMark/>
          </w:tcPr>
          <w:p w14:paraId="1152904E" w14:textId="77777777" w:rsidR="00893C55" w:rsidRPr="00893C55" w:rsidRDefault="00893C55" w:rsidP="00893C55">
            <w:pPr>
              <w:spacing w:after="0"/>
              <w:ind w:leftChars="75" w:left="150"/>
              <w:rPr>
                <w:rFonts w:ascii="Arial" w:hAnsi="Arial" w:cs="Arial"/>
                <w:sz w:val="16"/>
                <w:szCs w:val="16"/>
              </w:rPr>
            </w:pPr>
            <w:r w:rsidRPr="00893C55">
              <w:rPr>
                <w:rFonts w:ascii="Arial" w:hAnsi="Arial" w:cs="Arial"/>
                <w:sz w:val="16"/>
                <w:szCs w:val="16"/>
              </w:rPr>
              <w:t>Appropriation (equity injection)</w:t>
            </w:r>
          </w:p>
        </w:tc>
        <w:tc>
          <w:tcPr>
            <w:tcW w:w="1060" w:type="dxa"/>
            <w:tcBorders>
              <w:top w:val="nil"/>
              <w:left w:val="nil"/>
              <w:bottom w:val="single" w:sz="4" w:space="0" w:color="auto"/>
              <w:right w:val="nil"/>
            </w:tcBorders>
            <w:shd w:val="clear" w:color="auto" w:fill="auto"/>
            <w:noWrap/>
            <w:vAlign w:val="bottom"/>
            <w:hideMark/>
          </w:tcPr>
          <w:p w14:paraId="2776B397"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FD464A0"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2250D83" w14:textId="77777777" w:rsidR="00893C55" w:rsidRPr="00893C55" w:rsidRDefault="00893C55" w:rsidP="00893C55">
            <w:pPr>
              <w:spacing w:after="0"/>
              <w:jc w:val="right"/>
              <w:rPr>
                <w:rFonts w:ascii="Arial" w:hAnsi="Arial" w:cs="Arial"/>
                <w:sz w:val="16"/>
                <w:szCs w:val="16"/>
              </w:rPr>
            </w:pPr>
            <w:r w:rsidRPr="00893C55">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42844E0E"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w:t>
            </w:r>
          </w:p>
        </w:tc>
      </w:tr>
      <w:tr w:rsidR="00893C55" w:rsidRPr="00893C55" w14:paraId="36E77022" w14:textId="77777777" w:rsidTr="00893C55">
        <w:trPr>
          <w:trHeight w:val="450"/>
          <w:jc w:val="center"/>
        </w:trPr>
        <w:tc>
          <w:tcPr>
            <w:tcW w:w="2860" w:type="dxa"/>
            <w:tcBorders>
              <w:top w:val="nil"/>
              <w:left w:val="nil"/>
              <w:bottom w:val="single" w:sz="4" w:space="0" w:color="auto"/>
              <w:right w:val="nil"/>
            </w:tcBorders>
            <w:shd w:val="clear" w:color="auto" w:fill="auto"/>
            <w:vAlign w:val="bottom"/>
            <w:hideMark/>
          </w:tcPr>
          <w:p w14:paraId="407A63D9" w14:textId="0F67526D" w:rsidR="00893C55" w:rsidRPr="00893C55" w:rsidRDefault="00893C55" w:rsidP="00893C55">
            <w:pPr>
              <w:spacing w:after="0"/>
              <w:rPr>
                <w:rFonts w:ascii="Arial" w:hAnsi="Arial" w:cs="Arial"/>
                <w:b/>
                <w:bCs/>
                <w:sz w:val="16"/>
                <w:szCs w:val="16"/>
              </w:rPr>
            </w:pPr>
            <w:r w:rsidRPr="00893C55">
              <w:rPr>
                <w:rFonts w:ascii="Arial" w:hAnsi="Arial" w:cs="Arial"/>
                <w:b/>
                <w:bCs/>
                <w:sz w:val="16"/>
                <w:szCs w:val="16"/>
              </w:rPr>
              <w:t>Est</w:t>
            </w:r>
            <w:r>
              <w:rPr>
                <w:rFonts w:ascii="Arial" w:hAnsi="Arial" w:cs="Arial"/>
                <w:b/>
                <w:bCs/>
                <w:sz w:val="16"/>
                <w:szCs w:val="16"/>
              </w:rPr>
              <w:t>imated closing balance as at 30 </w:t>
            </w:r>
            <w:r w:rsidRPr="00893C55">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32555719"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14,959</w:t>
            </w:r>
          </w:p>
        </w:tc>
        <w:tc>
          <w:tcPr>
            <w:tcW w:w="1200" w:type="dxa"/>
            <w:tcBorders>
              <w:top w:val="nil"/>
              <w:left w:val="nil"/>
              <w:bottom w:val="single" w:sz="4" w:space="0" w:color="auto"/>
              <w:right w:val="nil"/>
            </w:tcBorders>
            <w:shd w:val="clear" w:color="auto" w:fill="auto"/>
            <w:noWrap/>
            <w:vAlign w:val="bottom"/>
            <w:hideMark/>
          </w:tcPr>
          <w:p w14:paraId="0EFB16B4"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14:paraId="51A2A8D8"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400</w:t>
            </w:r>
          </w:p>
        </w:tc>
        <w:tc>
          <w:tcPr>
            <w:tcW w:w="1060" w:type="dxa"/>
            <w:tcBorders>
              <w:top w:val="nil"/>
              <w:left w:val="nil"/>
              <w:bottom w:val="single" w:sz="4" w:space="0" w:color="auto"/>
              <w:right w:val="nil"/>
            </w:tcBorders>
            <w:shd w:val="clear" w:color="auto" w:fill="auto"/>
            <w:noWrap/>
            <w:vAlign w:val="bottom"/>
            <w:hideMark/>
          </w:tcPr>
          <w:p w14:paraId="68343BCF" w14:textId="77777777" w:rsidR="00893C55" w:rsidRPr="00893C55" w:rsidRDefault="00893C55" w:rsidP="00893C55">
            <w:pPr>
              <w:spacing w:after="0"/>
              <w:jc w:val="right"/>
              <w:rPr>
                <w:rFonts w:ascii="Arial" w:hAnsi="Arial" w:cs="Arial"/>
                <w:b/>
                <w:bCs/>
                <w:sz w:val="16"/>
                <w:szCs w:val="16"/>
              </w:rPr>
            </w:pPr>
            <w:r w:rsidRPr="00893C55">
              <w:rPr>
                <w:rFonts w:ascii="Arial" w:hAnsi="Arial" w:cs="Arial"/>
                <w:b/>
                <w:bCs/>
                <w:sz w:val="16"/>
                <w:szCs w:val="16"/>
              </w:rPr>
              <w:t>15,359</w:t>
            </w:r>
          </w:p>
        </w:tc>
      </w:tr>
    </w:tbl>
    <w:p w14:paraId="0A614560" w14:textId="77777777" w:rsidR="006974CE" w:rsidRDefault="006974CE" w:rsidP="00BC0659">
      <w:pPr>
        <w:pStyle w:val="Tablenumberandreference"/>
        <w:rPr>
          <w:color w:val="000000" w:themeColor="text1"/>
        </w:rPr>
      </w:pPr>
    </w:p>
    <w:p w14:paraId="6D0F1C23" w14:textId="77777777" w:rsidR="006974CE" w:rsidRDefault="006974CE">
      <w:pPr>
        <w:spacing w:after="160" w:line="259" w:lineRule="auto"/>
        <w:rPr>
          <w:rFonts w:ascii="Arial" w:hAnsi="Arial" w:cs="Arial"/>
          <w:b/>
          <w:color w:val="000000" w:themeColor="text1"/>
          <w:szCs w:val="18"/>
          <w:lang w:eastAsia="en-US"/>
        </w:rPr>
      </w:pPr>
      <w:r>
        <w:rPr>
          <w:color w:val="000000" w:themeColor="text1"/>
        </w:rPr>
        <w:br w:type="page"/>
      </w:r>
    </w:p>
    <w:p w14:paraId="47DD169D" w14:textId="50AF3849" w:rsidR="00BC0659" w:rsidRDefault="00BC0659" w:rsidP="00BC0659">
      <w:pPr>
        <w:pStyle w:val="Tablenumberandreference"/>
        <w:rPr>
          <w:color w:val="000000" w:themeColor="text1"/>
        </w:rPr>
      </w:pPr>
      <w:r w:rsidRPr="00191F54">
        <w:rPr>
          <w:color w:val="000000" w:themeColor="text1"/>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F57DD7" w:rsidRPr="00F57DD7" w14:paraId="68D803F5" w14:textId="77777777" w:rsidTr="00F57DD7">
        <w:trPr>
          <w:trHeight w:val="765"/>
          <w:jc w:val="center"/>
        </w:trPr>
        <w:tc>
          <w:tcPr>
            <w:tcW w:w="3052" w:type="dxa"/>
            <w:tcBorders>
              <w:top w:val="single" w:sz="4" w:space="0" w:color="auto"/>
              <w:left w:val="nil"/>
              <w:bottom w:val="nil"/>
              <w:right w:val="nil"/>
            </w:tcBorders>
            <w:shd w:val="clear" w:color="auto" w:fill="auto"/>
            <w:vAlign w:val="bottom"/>
            <w:hideMark/>
          </w:tcPr>
          <w:p w14:paraId="224997E8" w14:textId="77777777" w:rsidR="00F57DD7" w:rsidRPr="00F57DD7" w:rsidRDefault="00F57DD7" w:rsidP="00F57DD7">
            <w:pPr>
              <w:spacing w:before="40" w:after="0"/>
              <w:jc w:val="right"/>
              <w:rPr>
                <w:rFonts w:ascii="Arial" w:hAnsi="Arial" w:cs="Arial"/>
                <w:color w:val="auto"/>
                <w:sz w:val="16"/>
                <w:szCs w:val="16"/>
              </w:rPr>
            </w:pPr>
            <w:r w:rsidRPr="00F57DD7">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7C556410" w14:textId="63241D0F" w:rsidR="00F57DD7" w:rsidRPr="00F57DD7" w:rsidRDefault="004C6E42" w:rsidP="00F57DD7">
            <w:pPr>
              <w:spacing w:before="40" w:after="0"/>
              <w:jc w:val="right"/>
              <w:rPr>
                <w:rFonts w:ascii="Arial" w:hAnsi="Arial" w:cs="Arial"/>
                <w:b/>
                <w:bCs/>
                <w:color w:val="auto"/>
                <w:sz w:val="16"/>
                <w:szCs w:val="16"/>
              </w:rPr>
            </w:pPr>
            <w:r>
              <w:rPr>
                <w:rFonts w:ascii="Arial" w:hAnsi="Arial" w:cs="Arial"/>
                <w:b/>
                <w:bCs/>
                <w:color w:val="auto"/>
                <w:sz w:val="16"/>
                <w:szCs w:val="16"/>
              </w:rPr>
              <w:t>2021–</w:t>
            </w:r>
            <w:r w:rsidR="00F57DD7" w:rsidRPr="00F57DD7">
              <w:rPr>
                <w:rFonts w:ascii="Arial" w:hAnsi="Arial" w:cs="Arial"/>
                <w:b/>
                <w:bCs/>
                <w:color w:val="auto"/>
                <w:sz w:val="16"/>
                <w:szCs w:val="16"/>
              </w:rPr>
              <w:t>22</w:t>
            </w:r>
            <w:r w:rsidR="00F57DD7" w:rsidRPr="00F57DD7">
              <w:rPr>
                <w:rFonts w:ascii="Arial" w:hAnsi="Arial" w:cs="Arial"/>
                <w:b/>
                <w:bCs/>
                <w:color w:val="auto"/>
                <w:sz w:val="16"/>
                <w:szCs w:val="16"/>
              </w:rPr>
              <w:br/>
              <w:t>Estimated actual</w:t>
            </w:r>
            <w:r w:rsidR="00F57DD7" w:rsidRPr="00F57DD7">
              <w:rPr>
                <w:rFonts w:ascii="Arial" w:hAnsi="Arial" w:cs="Arial"/>
                <w:b/>
                <w:bCs/>
                <w:color w:val="auto"/>
                <w:sz w:val="16"/>
                <w:szCs w:val="16"/>
              </w:rPr>
              <w:br/>
            </w:r>
            <w:r w:rsidR="00F57DD7" w:rsidRPr="00F57DD7">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72ECB045" w14:textId="7EF72BB6" w:rsidR="00F57DD7" w:rsidRPr="00F57DD7" w:rsidRDefault="004C6E42" w:rsidP="00F57DD7">
            <w:pPr>
              <w:spacing w:before="40" w:after="0"/>
              <w:jc w:val="right"/>
              <w:rPr>
                <w:rFonts w:ascii="Arial" w:hAnsi="Arial" w:cs="Arial"/>
                <w:b/>
                <w:bCs/>
                <w:color w:val="auto"/>
                <w:sz w:val="16"/>
                <w:szCs w:val="16"/>
              </w:rPr>
            </w:pPr>
            <w:r>
              <w:rPr>
                <w:rFonts w:ascii="Arial" w:hAnsi="Arial" w:cs="Arial"/>
                <w:b/>
                <w:bCs/>
                <w:color w:val="auto"/>
                <w:sz w:val="16"/>
                <w:szCs w:val="16"/>
              </w:rPr>
              <w:t>2022–</w:t>
            </w:r>
            <w:r w:rsidR="00F57DD7" w:rsidRPr="00F57DD7">
              <w:rPr>
                <w:rFonts w:ascii="Arial" w:hAnsi="Arial" w:cs="Arial"/>
                <w:b/>
                <w:bCs/>
                <w:color w:val="auto"/>
                <w:sz w:val="16"/>
                <w:szCs w:val="16"/>
              </w:rPr>
              <w:t>23</w:t>
            </w:r>
            <w:r w:rsidR="00F57DD7" w:rsidRPr="00F57DD7">
              <w:rPr>
                <w:rFonts w:ascii="Arial" w:hAnsi="Arial" w:cs="Arial"/>
                <w:b/>
                <w:bCs/>
                <w:color w:val="auto"/>
                <w:sz w:val="16"/>
                <w:szCs w:val="16"/>
              </w:rPr>
              <w:br/>
              <w:t xml:space="preserve">Budget </w:t>
            </w:r>
            <w:r w:rsidR="00F57DD7" w:rsidRPr="00F57DD7">
              <w:rPr>
                <w:rFonts w:ascii="Arial" w:hAnsi="Arial" w:cs="Arial"/>
                <w:b/>
                <w:bCs/>
                <w:color w:val="auto"/>
                <w:sz w:val="16"/>
                <w:szCs w:val="16"/>
              </w:rPr>
              <w:br/>
            </w:r>
            <w:r w:rsidR="00F57DD7" w:rsidRPr="00F57DD7">
              <w:rPr>
                <w:rFonts w:ascii="Arial" w:hAnsi="Arial" w:cs="Arial"/>
                <w:b/>
                <w:bCs/>
                <w:color w:val="auto"/>
                <w:sz w:val="16"/>
                <w:szCs w:val="16"/>
              </w:rPr>
              <w:br/>
            </w:r>
            <w:r w:rsidR="00F57DD7" w:rsidRPr="00F57DD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7D334E02" w14:textId="274F4767" w:rsidR="00F57DD7" w:rsidRPr="00F57DD7" w:rsidRDefault="004C6E42" w:rsidP="00F57DD7">
            <w:pPr>
              <w:spacing w:before="40" w:after="0"/>
              <w:jc w:val="right"/>
              <w:rPr>
                <w:rFonts w:ascii="Arial" w:hAnsi="Arial" w:cs="Arial"/>
                <w:b/>
                <w:bCs/>
                <w:color w:val="auto"/>
                <w:sz w:val="16"/>
                <w:szCs w:val="16"/>
              </w:rPr>
            </w:pPr>
            <w:r>
              <w:rPr>
                <w:rFonts w:ascii="Arial" w:hAnsi="Arial" w:cs="Arial"/>
                <w:b/>
                <w:bCs/>
                <w:color w:val="auto"/>
                <w:sz w:val="16"/>
                <w:szCs w:val="16"/>
              </w:rPr>
              <w:t>2023–</w:t>
            </w:r>
            <w:r w:rsidR="00F57DD7" w:rsidRPr="00F57DD7">
              <w:rPr>
                <w:rFonts w:ascii="Arial" w:hAnsi="Arial" w:cs="Arial"/>
                <w:b/>
                <w:bCs/>
                <w:color w:val="auto"/>
                <w:sz w:val="16"/>
                <w:szCs w:val="16"/>
              </w:rPr>
              <w:t>24</w:t>
            </w:r>
            <w:r w:rsidR="00F57DD7" w:rsidRPr="00F57DD7">
              <w:rPr>
                <w:rFonts w:ascii="Arial" w:hAnsi="Arial" w:cs="Arial"/>
                <w:b/>
                <w:bCs/>
                <w:color w:val="auto"/>
                <w:sz w:val="16"/>
                <w:szCs w:val="16"/>
              </w:rPr>
              <w:br/>
              <w:t>Forward estimate</w:t>
            </w:r>
            <w:r w:rsidR="00F57DD7" w:rsidRPr="00F57DD7">
              <w:rPr>
                <w:rFonts w:ascii="Arial" w:hAnsi="Arial" w:cs="Arial"/>
                <w:b/>
                <w:bCs/>
                <w:color w:val="auto"/>
                <w:sz w:val="16"/>
                <w:szCs w:val="16"/>
              </w:rPr>
              <w:br/>
            </w:r>
            <w:r w:rsidR="00F57DD7" w:rsidRPr="00F57DD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3444A82D" w14:textId="3E1C3662" w:rsidR="00F57DD7" w:rsidRPr="00F57DD7" w:rsidRDefault="004C6E42" w:rsidP="00F57DD7">
            <w:pPr>
              <w:spacing w:before="40" w:after="0"/>
              <w:jc w:val="right"/>
              <w:rPr>
                <w:rFonts w:ascii="Arial" w:hAnsi="Arial" w:cs="Arial"/>
                <w:b/>
                <w:bCs/>
                <w:color w:val="auto"/>
                <w:sz w:val="16"/>
                <w:szCs w:val="16"/>
              </w:rPr>
            </w:pPr>
            <w:r>
              <w:rPr>
                <w:rFonts w:ascii="Arial" w:hAnsi="Arial" w:cs="Arial"/>
                <w:b/>
                <w:bCs/>
                <w:color w:val="auto"/>
                <w:sz w:val="16"/>
                <w:szCs w:val="16"/>
              </w:rPr>
              <w:t>2024–</w:t>
            </w:r>
            <w:r w:rsidR="00F57DD7" w:rsidRPr="00F57DD7">
              <w:rPr>
                <w:rFonts w:ascii="Arial" w:hAnsi="Arial" w:cs="Arial"/>
                <w:b/>
                <w:bCs/>
                <w:color w:val="auto"/>
                <w:sz w:val="16"/>
                <w:szCs w:val="16"/>
              </w:rPr>
              <w:t>25</w:t>
            </w:r>
            <w:r w:rsidR="00F57DD7" w:rsidRPr="00F57DD7">
              <w:rPr>
                <w:rFonts w:ascii="Arial" w:hAnsi="Arial" w:cs="Arial"/>
                <w:b/>
                <w:bCs/>
                <w:color w:val="auto"/>
                <w:sz w:val="16"/>
                <w:szCs w:val="16"/>
              </w:rPr>
              <w:br/>
              <w:t>Forward estimate</w:t>
            </w:r>
            <w:r w:rsidR="00F57DD7" w:rsidRPr="00F57DD7">
              <w:rPr>
                <w:rFonts w:ascii="Arial" w:hAnsi="Arial" w:cs="Arial"/>
                <w:b/>
                <w:bCs/>
                <w:color w:val="auto"/>
                <w:sz w:val="16"/>
                <w:szCs w:val="16"/>
              </w:rPr>
              <w:br/>
            </w:r>
            <w:r w:rsidR="00F57DD7" w:rsidRPr="00F57DD7">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vAlign w:val="bottom"/>
            <w:hideMark/>
          </w:tcPr>
          <w:p w14:paraId="48F48D28" w14:textId="0F7E61F1" w:rsidR="00F57DD7" w:rsidRPr="00F57DD7" w:rsidRDefault="004C6E42" w:rsidP="00F57DD7">
            <w:pPr>
              <w:spacing w:before="40" w:after="0"/>
              <w:jc w:val="right"/>
              <w:rPr>
                <w:rFonts w:ascii="Arial" w:hAnsi="Arial" w:cs="Arial"/>
                <w:b/>
                <w:bCs/>
                <w:color w:val="auto"/>
                <w:sz w:val="16"/>
                <w:szCs w:val="16"/>
              </w:rPr>
            </w:pPr>
            <w:r>
              <w:rPr>
                <w:rFonts w:ascii="Arial" w:hAnsi="Arial" w:cs="Arial"/>
                <w:b/>
                <w:bCs/>
                <w:color w:val="auto"/>
                <w:sz w:val="16"/>
                <w:szCs w:val="16"/>
              </w:rPr>
              <w:t>2025–</w:t>
            </w:r>
            <w:r w:rsidR="00F57DD7" w:rsidRPr="00F57DD7">
              <w:rPr>
                <w:rFonts w:ascii="Arial" w:hAnsi="Arial" w:cs="Arial"/>
                <w:b/>
                <w:bCs/>
                <w:color w:val="auto"/>
                <w:sz w:val="16"/>
                <w:szCs w:val="16"/>
              </w:rPr>
              <w:t>26</w:t>
            </w:r>
            <w:r w:rsidR="00F57DD7" w:rsidRPr="00F57DD7">
              <w:rPr>
                <w:rFonts w:ascii="Arial" w:hAnsi="Arial" w:cs="Arial"/>
                <w:b/>
                <w:bCs/>
                <w:color w:val="auto"/>
                <w:sz w:val="16"/>
                <w:szCs w:val="16"/>
              </w:rPr>
              <w:br/>
              <w:t>Forward estimate</w:t>
            </w:r>
            <w:r w:rsidR="00F57DD7" w:rsidRPr="00F57DD7">
              <w:rPr>
                <w:rFonts w:ascii="Arial" w:hAnsi="Arial" w:cs="Arial"/>
                <w:b/>
                <w:bCs/>
                <w:color w:val="auto"/>
                <w:sz w:val="16"/>
                <w:szCs w:val="16"/>
              </w:rPr>
              <w:br/>
            </w:r>
            <w:r w:rsidR="00F57DD7" w:rsidRPr="00F57DD7">
              <w:rPr>
                <w:rFonts w:ascii="Arial" w:hAnsi="Arial" w:cs="Arial"/>
                <w:color w:val="auto"/>
                <w:sz w:val="16"/>
                <w:szCs w:val="16"/>
              </w:rPr>
              <w:t>$'000</w:t>
            </w:r>
          </w:p>
        </w:tc>
      </w:tr>
      <w:tr w:rsidR="00F57DD7" w:rsidRPr="00F57DD7" w14:paraId="0B9001F8" w14:textId="77777777" w:rsidTr="00F57DD7">
        <w:trPr>
          <w:trHeight w:val="300"/>
          <w:jc w:val="center"/>
        </w:trPr>
        <w:tc>
          <w:tcPr>
            <w:tcW w:w="3052" w:type="dxa"/>
            <w:tcBorders>
              <w:top w:val="nil"/>
              <w:left w:val="nil"/>
              <w:bottom w:val="nil"/>
              <w:right w:val="nil"/>
            </w:tcBorders>
            <w:shd w:val="clear" w:color="auto" w:fill="auto"/>
            <w:noWrap/>
            <w:vAlign w:val="bottom"/>
            <w:hideMark/>
          </w:tcPr>
          <w:p w14:paraId="421CB255" w14:textId="77777777" w:rsidR="00F57DD7" w:rsidRPr="00F57DD7" w:rsidRDefault="00F57DD7" w:rsidP="00F57DD7">
            <w:pPr>
              <w:spacing w:after="0"/>
              <w:rPr>
                <w:rFonts w:ascii="Arial" w:hAnsi="Arial" w:cs="Arial"/>
                <w:b/>
                <w:bCs/>
                <w:sz w:val="16"/>
                <w:szCs w:val="16"/>
              </w:rPr>
            </w:pPr>
            <w:r w:rsidRPr="00F57DD7">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61F24909"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26E8B62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8A11F35"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83705B3"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1E28EE1"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r>
      <w:tr w:rsidR="00F57DD7" w:rsidRPr="00F57DD7" w14:paraId="163D013A"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2EA82B5C"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04943EF8" w14:textId="77777777" w:rsidR="00F57DD7" w:rsidRPr="00F57DD7" w:rsidRDefault="00F57DD7" w:rsidP="00F57D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6405BB4"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E0AD74B"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0F215FC"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242582A" w14:textId="77777777" w:rsidR="00F57DD7" w:rsidRPr="00F57DD7" w:rsidRDefault="00F57DD7" w:rsidP="00F57DD7">
            <w:pPr>
              <w:spacing w:after="0"/>
              <w:jc w:val="right"/>
              <w:rPr>
                <w:rFonts w:ascii="Times New Roman" w:hAnsi="Times New Roman"/>
                <w:color w:val="auto"/>
              </w:rPr>
            </w:pPr>
          </w:p>
        </w:tc>
      </w:tr>
      <w:tr w:rsidR="00F57DD7" w:rsidRPr="00F57DD7" w14:paraId="03A70011" w14:textId="77777777" w:rsidTr="00F57DD7">
        <w:trPr>
          <w:trHeight w:val="397"/>
          <w:jc w:val="center"/>
        </w:trPr>
        <w:tc>
          <w:tcPr>
            <w:tcW w:w="3052" w:type="dxa"/>
            <w:tcBorders>
              <w:top w:val="nil"/>
              <w:left w:val="nil"/>
              <w:bottom w:val="nil"/>
              <w:right w:val="nil"/>
            </w:tcBorders>
            <w:shd w:val="clear" w:color="auto" w:fill="auto"/>
            <w:vAlign w:val="bottom"/>
            <w:hideMark/>
          </w:tcPr>
          <w:p w14:paraId="3D64C9DD"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Amounts from the Portfolio Department</w:t>
            </w:r>
          </w:p>
        </w:tc>
        <w:tc>
          <w:tcPr>
            <w:tcW w:w="881" w:type="dxa"/>
            <w:tcBorders>
              <w:top w:val="nil"/>
              <w:left w:val="nil"/>
              <w:bottom w:val="nil"/>
              <w:right w:val="nil"/>
            </w:tcBorders>
            <w:shd w:val="clear" w:color="auto" w:fill="auto"/>
            <w:noWrap/>
            <w:vAlign w:val="bottom"/>
            <w:hideMark/>
          </w:tcPr>
          <w:p w14:paraId="5EA0FB2D"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19,561</w:t>
            </w:r>
          </w:p>
        </w:tc>
        <w:tc>
          <w:tcPr>
            <w:tcW w:w="844" w:type="dxa"/>
            <w:tcBorders>
              <w:top w:val="nil"/>
              <w:left w:val="nil"/>
              <w:bottom w:val="nil"/>
              <w:right w:val="nil"/>
            </w:tcBorders>
            <w:shd w:val="clear" w:color="000000" w:fill="D9D9D9"/>
            <w:noWrap/>
            <w:vAlign w:val="bottom"/>
            <w:hideMark/>
          </w:tcPr>
          <w:p w14:paraId="60D0C9A8"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22,624</w:t>
            </w:r>
          </w:p>
        </w:tc>
        <w:tc>
          <w:tcPr>
            <w:tcW w:w="861" w:type="dxa"/>
            <w:tcBorders>
              <w:top w:val="nil"/>
              <w:left w:val="nil"/>
              <w:bottom w:val="nil"/>
              <w:right w:val="nil"/>
            </w:tcBorders>
            <w:shd w:val="clear" w:color="auto" w:fill="auto"/>
            <w:noWrap/>
            <w:vAlign w:val="bottom"/>
            <w:hideMark/>
          </w:tcPr>
          <w:p w14:paraId="44D529D7"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23,815</w:t>
            </w:r>
          </w:p>
        </w:tc>
        <w:tc>
          <w:tcPr>
            <w:tcW w:w="861" w:type="dxa"/>
            <w:tcBorders>
              <w:top w:val="nil"/>
              <w:left w:val="nil"/>
              <w:bottom w:val="nil"/>
              <w:right w:val="nil"/>
            </w:tcBorders>
            <w:shd w:val="clear" w:color="auto" w:fill="auto"/>
            <w:noWrap/>
            <w:vAlign w:val="bottom"/>
            <w:hideMark/>
          </w:tcPr>
          <w:p w14:paraId="40B307F4"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27,802</w:t>
            </w:r>
          </w:p>
        </w:tc>
        <w:tc>
          <w:tcPr>
            <w:tcW w:w="861" w:type="dxa"/>
            <w:tcBorders>
              <w:top w:val="nil"/>
              <w:left w:val="nil"/>
              <w:bottom w:val="nil"/>
              <w:right w:val="nil"/>
            </w:tcBorders>
            <w:shd w:val="clear" w:color="auto" w:fill="auto"/>
            <w:noWrap/>
            <w:vAlign w:val="bottom"/>
            <w:hideMark/>
          </w:tcPr>
          <w:p w14:paraId="2F44F63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27,935</w:t>
            </w:r>
          </w:p>
        </w:tc>
      </w:tr>
      <w:tr w:rsidR="00F57DD7" w:rsidRPr="00F57DD7" w14:paraId="07ECE8C3"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38BA3C5B"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5BAA4107"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825</w:t>
            </w:r>
          </w:p>
        </w:tc>
        <w:tc>
          <w:tcPr>
            <w:tcW w:w="844" w:type="dxa"/>
            <w:tcBorders>
              <w:top w:val="nil"/>
              <w:left w:val="nil"/>
              <w:bottom w:val="nil"/>
              <w:right w:val="nil"/>
            </w:tcBorders>
            <w:shd w:val="clear" w:color="000000" w:fill="D9D9D9"/>
            <w:noWrap/>
            <w:vAlign w:val="bottom"/>
            <w:hideMark/>
          </w:tcPr>
          <w:p w14:paraId="2D8D9ECF"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860</w:t>
            </w:r>
          </w:p>
        </w:tc>
        <w:tc>
          <w:tcPr>
            <w:tcW w:w="861" w:type="dxa"/>
            <w:tcBorders>
              <w:top w:val="nil"/>
              <w:left w:val="nil"/>
              <w:bottom w:val="nil"/>
              <w:right w:val="nil"/>
            </w:tcBorders>
            <w:shd w:val="clear" w:color="auto" w:fill="auto"/>
            <w:noWrap/>
            <w:vAlign w:val="bottom"/>
            <w:hideMark/>
          </w:tcPr>
          <w:p w14:paraId="2D1228F1"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879</w:t>
            </w:r>
          </w:p>
        </w:tc>
        <w:tc>
          <w:tcPr>
            <w:tcW w:w="861" w:type="dxa"/>
            <w:tcBorders>
              <w:top w:val="nil"/>
              <w:left w:val="nil"/>
              <w:bottom w:val="nil"/>
              <w:right w:val="nil"/>
            </w:tcBorders>
            <w:shd w:val="clear" w:color="auto" w:fill="auto"/>
            <w:noWrap/>
            <w:vAlign w:val="bottom"/>
            <w:hideMark/>
          </w:tcPr>
          <w:p w14:paraId="2CB972CE"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860</w:t>
            </w:r>
          </w:p>
        </w:tc>
        <w:tc>
          <w:tcPr>
            <w:tcW w:w="861" w:type="dxa"/>
            <w:tcBorders>
              <w:top w:val="nil"/>
              <w:left w:val="nil"/>
              <w:bottom w:val="nil"/>
              <w:right w:val="nil"/>
            </w:tcBorders>
            <w:shd w:val="clear" w:color="auto" w:fill="auto"/>
            <w:noWrap/>
            <w:vAlign w:val="bottom"/>
            <w:hideMark/>
          </w:tcPr>
          <w:p w14:paraId="617606B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860</w:t>
            </w:r>
          </w:p>
        </w:tc>
      </w:tr>
      <w:tr w:rsidR="00F57DD7" w:rsidRPr="00F57DD7" w14:paraId="5D41C2EE"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26AA367E"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6AF93558"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5</w:t>
            </w:r>
          </w:p>
        </w:tc>
        <w:tc>
          <w:tcPr>
            <w:tcW w:w="844" w:type="dxa"/>
            <w:tcBorders>
              <w:top w:val="nil"/>
              <w:left w:val="nil"/>
              <w:bottom w:val="nil"/>
              <w:right w:val="nil"/>
            </w:tcBorders>
            <w:shd w:val="clear" w:color="000000" w:fill="D9D9D9"/>
            <w:noWrap/>
            <w:vAlign w:val="bottom"/>
            <w:hideMark/>
          </w:tcPr>
          <w:p w14:paraId="75806C4C"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5</w:t>
            </w:r>
          </w:p>
        </w:tc>
        <w:tc>
          <w:tcPr>
            <w:tcW w:w="861" w:type="dxa"/>
            <w:tcBorders>
              <w:top w:val="nil"/>
              <w:left w:val="nil"/>
              <w:bottom w:val="nil"/>
              <w:right w:val="nil"/>
            </w:tcBorders>
            <w:shd w:val="clear" w:color="auto" w:fill="auto"/>
            <w:noWrap/>
            <w:vAlign w:val="bottom"/>
            <w:hideMark/>
          </w:tcPr>
          <w:p w14:paraId="5AC79F36"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5</w:t>
            </w:r>
          </w:p>
        </w:tc>
        <w:tc>
          <w:tcPr>
            <w:tcW w:w="861" w:type="dxa"/>
            <w:tcBorders>
              <w:top w:val="nil"/>
              <w:left w:val="nil"/>
              <w:bottom w:val="nil"/>
              <w:right w:val="nil"/>
            </w:tcBorders>
            <w:shd w:val="clear" w:color="auto" w:fill="auto"/>
            <w:noWrap/>
            <w:vAlign w:val="bottom"/>
            <w:hideMark/>
          </w:tcPr>
          <w:p w14:paraId="3733C158"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5</w:t>
            </w:r>
          </w:p>
        </w:tc>
        <w:tc>
          <w:tcPr>
            <w:tcW w:w="861" w:type="dxa"/>
            <w:tcBorders>
              <w:top w:val="nil"/>
              <w:left w:val="nil"/>
              <w:bottom w:val="nil"/>
              <w:right w:val="nil"/>
            </w:tcBorders>
            <w:shd w:val="clear" w:color="auto" w:fill="auto"/>
            <w:noWrap/>
            <w:vAlign w:val="bottom"/>
            <w:hideMark/>
          </w:tcPr>
          <w:p w14:paraId="578D27EE"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5</w:t>
            </w:r>
          </w:p>
        </w:tc>
      </w:tr>
      <w:tr w:rsidR="00F57DD7" w:rsidRPr="00F57DD7" w14:paraId="013DB578"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3EE00CC3"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345668B0"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1,650</w:t>
            </w:r>
          </w:p>
        </w:tc>
        <w:tc>
          <w:tcPr>
            <w:tcW w:w="844" w:type="dxa"/>
            <w:tcBorders>
              <w:top w:val="nil"/>
              <w:left w:val="nil"/>
              <w:bottom w:val="nil"/>
              <w:right w:val="nil"/>
            </w:tcBorders>
            <w:shd w:val="clear" w:color="000000" w:fill="D9D9D9"/>
            <w:noWrap/>
            <w:vAlign w:val="bottom"/>
            <w:hideMark/>
          </w:tcPr>
          <w:p w14:paraId="71FAE53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1,960</w:t>
            </w:r>
          </w:p>
        </w:tc>
        <w:tc>
          <w:tcPr>
            <w:tcW w:w="861" w:type="dxa"/>
            <w:tcBorders>
              <w:top w:val="nil"/>
              <w:left w:val="nil"/>
              <w:bottom w:val="nil"/>
              <w:right w:val="nil"/>
            </w:tcBorders>
            <w:shd w:val="clear" w:color="auto" w:fill="auto"/>
            <w:noWrap/>
            <w:vAlign w:val="bottom"/>
            <w:hideMark/>
          </w:tcPr>
          <w:p w14:paraId="4138D23D"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2,048</w:t>
            </w:r>
          </w:p>
        </w:tc>
        <w:tc>
          <w:tcPr>
            <w:tcW w:w="861" w:type="dxa"/>
            <w:tcBorders>
              <w:top w:val="nil"/>
              <w:left w:val="nil"/>
              <w:bottom w:val="nil"/>
              <w:right w:val="nil"/>
            </w:tcBorders>
            <w:shd w:val="clear" w:color="auto" w:fill="auto"/>
            <w:noWrap/>
            <w:vAlign w:val="bottom"/>
            <w:hideMark/>
          </w:tcPr>
          <w:p w14:paraId="3BE644D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2,414</w:t>
            </w:r>
          </w:p>
        </w:tc>
        <w:tc>
          <w:tcPr>
            <w:tcW w:w="861" w:type="dxa"/>
            <w:tcBorders>
              <w:top w:val="nil"/>
              <w:left w:val="nil"/>
              <w:bottom w:val="nil"/>
              <w:right w:val="nil"/>
            </w:tcBorders>
            <w:shd w:val="clear" w:color="auto" w:fill="auto"/>
            <w:noWrap/>
            <w:vAlign w:val="bottom"/>
            <w:hideMark/>
          </w:tcPr>
          <w:p w14:paraId="0BEC3F1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2,421</w:t>
            </w:r>
          </w:p>
        </w:tc>
      </w:tr>
      <w:tr w:rsidR="00F57DD7" w:rsidRPr="00F57DD7" w14:paraId="5460A850"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37677B16" w14:textId="77777777" w:rsidR="00F57DD7" w:rsidRPr="00F57DD7" w:rsidRDefault="00F57DD7" w:rsidP="00F57DD7">
            <w:pPr>
              <w:spacing w:after="0"/>
              <w:ind w:leftChars="150" w:left="300"/>
              <w:rPr>
                <w:rFonts w:ascii="Arial" w:hAnsi="Arial" w:cs="Arial"/>
                <w:b/>
                <w:bCs/>
                <w:sz w:val="16"/>
                <w:szCs w:val="16"/>
              </w:rPr>
            </w:pPr>
            <w:r w:rsidRPr="00F57DD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7E9C134"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22,041</w:t>
            </w:r>
          </w:p>
        </w:tc>
        <w:tc>
          <w:tcPr>
            <w:tcW w:w="844" w:type="dxa"/>
            <w:tcBorders>
              <w:top w:val="nil"/>
              <w:left w:val="nil"/>
              <w:bottom w:val="single" w:sz="4" w:space="0" w:color="auto"/>
              <w:right w:val="nil"/>
            </w:tcBorders>
            <w:shd w:val="clear" w:color="000000" w:fill="D9D9D9"/>
            <w:noWrap/>
            <w:vAlign w:val="bottom"/>
            <w:hideMark/>
          </w:tcPr>
          <w:p w14:paraId="7DA5AE65"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25,449</w:t>
            </w:r>
          </w:p>
        </w:tc>
        <w:tc>
          <w:tcPr>
            <w:tcW w:w="861" w:type="dxa"/>
            <w:tcBorders>
              <w:top w:val="nil"/>
              <w:left w:val="nil"/>
              <w:bottom w:val="single" w:sz="4" w:space="0" w:color="auto"/>
              <w:right w:val="nil"/>
            </w:tcBorders>
            <w:shd w:val="clear" w:color="auto" w:fill="auto"/>
            <w:noWrap/>
            <w:vAlign w:val="bottom"/>
            <w:hideMark/>
          </w:tcPr>
          <w:p w14:paraId="582055F8"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26,747</w:t>
            </w:r>
          </w:p>
        </w:tc>
        <w:tc>
          <w:tcPr>
            <w:tcW w:w="861" w:type="dxa"/>
            <w:tcBorders>
              <w:top w:val="nil"/>
              <w:left w:val="nil"/>
              <w:bottom w:val="single" w:sz="4" w:space="0" w:color="auto"/>
              <w:right w:val="nil"/>
            </w:tcBorders>
            <w:shd w:val="clear" w:color="auto" w:fill="auto"/>
            <w:noWrap/>
            <w:vAlign w:val="bottom"/>
            <w:hideMark/>
          </w:tcPr>
          <w:p w14:paraId="6B8EFFE8"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31,081</w:t>
            </w:r>
          </w:p>
        </w:tc>
        <w:tc>
          <w:tcPr>
            <w:tcW w:w="861" w:type="dxa"/>
            <w:tcBorders>
              <w:top w:val="nil"/>
              <w:left w:val="nil"/>
              <w:bottom w:val="single" w:sz="4" w:space="0" w:color="auto"/>
              <w:right w:val="nil"/>
            </w:tcBorders>
            <w:shd w:val="clear" w:color="auto" w:fill="auto"/>
            <w:noWrap/>
            <w:vAlign w:val="bottom"/>
            <w:hideMark/>
          </w:tcPr>
          <w:p w14:paraId="67FC47F0"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31,221</w:t>
            </w:r>
          </w:p>
        </w:tc>
      </w:tr>
      <w:tr w:rsidR="00F57DD7" w:rsidRPr="00F57DD7" w14:paraId="5045B695" w14:textId="77777777" w:rsidTr="00F57DD7">
        <w:trPr>
          <w:trHeight w:val="283"/>
          <w:jc w:val="center"/>
        </w:trPr>
        <w:tc>
          <w:tcPr>
            <w:tcW w:w="3052" w:type="dxa"/>
            <w:tcBorders>
              <w:top w:val="nil"/>
              <w:left w:val="nil"/>
              <w:bottom w:val="nil"/>
              <w:right w:val="nil"/>
            </w:tcBorders>
            <w:shd w:val="clear" w:color="auto" w:fill="auto"/>
            <w:noWrap/>
            <w:vAlign w:val="bottom"/>
            <w:hideMark/>
          </w:tcPr>
          <w:p w14:paraId="1B25F502"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A350F71" w14:textId="77777777" w:rsidR="00F57DD7" w:rsidRPr="00F57DD7" w:rsidRDefault="00F57DD7" w:rsidP="00F57D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09E20FF"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D6479ED"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2A66825"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4F619B9" w14:textId="77777777" w:rsidR="00F57DD7" w:rsidRPr="00F57DD7" w:rsidRDefault="00F57DD7" w:rsidP="00F57DD7">
            <w:pPr>
              <w:spacing w:after="0"/>
              <w:jc w:val="right"/>
              <w:rPr>
                <w:rFonts w:ascii="Times New Roman" w:hAnsi="Times New Roman"/>
                <w:color w:val="auto"/>
              </w:rPr>
            </w:pPr>
          </w:p>
        </w:tc>
      </w:tr>
      <w:tr w:rsidR="00F57DD7" w:rsidRPr="00F57DD7" w14:paraId="48FC55F4"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1D7A4CF2"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77E69915"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860</w:t>
            </w:r>
          </w:p>
        </w:tc>
        <w:tc>
          <w:tcPr>
            <w:tcW w:w="844" w:type="dxa"/>
            <w:tcBorders>
              <w:top w:val="nil"/>
              <w:left w:val="nil"/>
              <w:bottom w:val="nil"/>
              <w:right w:val="nil"/>
            </w:tcBorders>
            <w:shd w:val="clear" w:color="000000" w:fill="D9D9D9"/>
            <w:noWrap/>
            <w:vAlign w:val="bottom"/>
            <w:hideMark/>
          </w:tcPr>
          <w:p w14:paraId="648BAB2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880</w:t>
            </w:r>
          </w:p>
        </w:tc>
        <w:tc>
          <w:tcPr>
            <w:tcW w:w="861" w:type="dxa"/>
            <w:tcBorders>
              <w:top w:val="nil"/>
              <w:left w:val="nil"/>
              <w:bottom w:val="nil"/>
              <w:right w:val="nil"/>
            </w:tcBorders>
            <w:shd w:val="clear" w:color="auto" w:fill="auto"/>
            <w:noWrap/>
            <w:vAlign w:val="bottom"/>
            <w:hideMark/>
          </w:tcPr>
          <w:p w14:paraId="5D328A3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900</w:t>
            </w:r>
          </w:p>
        </w:tc>
        <w:tc>
          <w:tcPr>
            <w:tcW w:w="861" w:type="dxa"/>
            <w:tcBorders>
              <w:top w:val="nil"/>
              <w:left w:val="nil"/>
              <w:bottom w:val="nil"/>
              <w:right w:val="nil"/>
            </w:tcBorders>
            <w:shd w:val="clear" w:color="auto" w:fill="auto"/>
            <w:noWrap/>
            <w:vAlign w:val="bottom"/>
            <w:hideMark/>
          </w:tcPr>
          <w:p w14:paraId="76EDCBB4"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920</w:t>
            </w:r>
          </w:p>
        </w:tc>
        <w:tc>
          <w:tcPr>
            <w:tcW w:w="861" w:type="dxa"/>
            <w:tcBorders>
              <w:top w:val="nil"/>
              <w:left w:val="nil"/>
              <w:bottom w:val="nil"/>
              <w:right w:val="nil"/>
            </w:tcBorders>
            <w:shd w:val="clear" w:color="auto" w:fill="auto"/>
            <w:noWrap/>
            <w:vAlign w:val="bottom"/>
            <w:hideMark/>
          </w:tcPr>
          <w:p w14:paraId="1BACA32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920</w:t>
            </w:r>
          </w:p>
        </w:tc>
      </w:tr>
      <w:tr w:rsidR="00F57DD7" w:rsidRPr="00F57DD7" w14:paraId="27D078A8"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137A475D"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55106678"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19,638</w:t>
            </w:r>
          </w:p>
        </w:tc>
        <w:tc>
          <w:tcPr>
            <w:tcW w:w="844" w:type="dxa"/>
            <w:tcBorders>
              <w:top w:val="nil"/>
              <w:left w:val="nil"/>
              <w:bottom w:val="nil"/>
              <w:right w:val="nil"/>
            </w:tcBorders>
            <w:shd w:val="clear" w:color="000000" w:fill="D9D9D9"/>
            <w:noWrap/>
            <w:vAlign w:val="bottom"/>
            <w:hideMark/>
          </w:tcPr>
          <w:p w14:paraId="7137DF75"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23,352</w:t>
            </w:r>
          </w:p>
        </w:tc>
        <w:tc>
          <w:tcPr>
            <w:tcW w:w="861" w:type="dxa"/>
            <w:tcBorders>
              <w:top w:val="nil"/>
              <w:left w:val="nil"/>
              <w:bottom w:val="nil"/>
              <w:right w:val="nil"/>
            </w:tcBorders>
            <w:shd w:val="clear" w:color="auto" w:fill="auto"/>
            <w:noWrap/>
            <w:vAlign w:val="bottom"/>
            <w:hideMark/>
          </w:tcPr>
          <w:p w14:paraId="078491D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24,336</w:t>
            </w:r>
          </w:p>
        </w:tc>
        <w:tc>
          <w:tcPr>
            <w:tcW w:w="861" w:type="dxa"/>
            <w:tcBorders>
              <w:top w:val="nil"/>
              <w:left w:val="nil"/>
              <w:bottom w:val="nil"/>
              <w:right w:val="nil"/>
            </w:tcBorders>
            <w:shd w:val="clear" w:color="auto" w:fill="auto"/>
            <w:noWrap/>
            <w:vAlign w:val="bottom"/>
            <w:hideMark/>
          </w:tcPr>
          <w:p w14:paraId="03DC25E6"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28,597</w:t>
            </w:r>
          </w:p>
        </w:tc>
        <w:tc>
          <w:tcPr>
            <w:tcW w:w="861" w:type="dxa"/>
            <w:tcBorders>
              <w:top w:val="nil"/>
              <w:left w:val="nil"/>
              <w:bottom w:val="nil"/>
              <w:right w:val="nil"/>
            </w:tcBorders>
            <w:shd w:val="clear" w:color="auto" w:fill="auto"/>
            <w:noWrap/>
            <w:vAlign w:val="bottom"/>
            <w:hideMark/>
          </w:tcPr>
          <w:p w14:paraId="2FA6A9E5"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28,684</w:t>
            </w:r>
          </w:p>
        </w:tc>
      </w:tr>
      <w:tr w:rsidR="00F57DD7" w:rsidRPr="00F57DD7" w14:paraId="4B63B60E"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03B17CEF"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4B127D45"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61</w:t>
            </w:r>
          </w:p>
        </w:tc>
        <w:tc>
          <w:tcPr>
            <w:tcW w:w="844" w:type="dxa"/>
            <w:tcBorders>
              <w:top w:val="nil"/>
              <w:left w:val="nil"/>
              <w:bottom w:val="nil"/>
              <w:right w:val="nil"/>
            </w:tcBorders>
            <w:shd w:val="clear" w:color="000000" w:fill="D9D9D9"/>
            <w:noWrap/>
            <w:vAlign w:val="bottom"/>
            <w:hideMark/>
          </w:tcPr>
          <w:p w14:paraId="1F5C8C7F"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175</w:t>
            </w:r>
          </w:p>
        </w:tc>
        <w:tc>
          <w:tcPr>
            <w:tcW w:w="861" w:type="dxa"/>
            <w:tcBorders>
              <w:top w:val="nil"/>
              <w:left w:val="nil"/>
              <w:bottom w:val="nil"/>
              <w:right w:val="nil"/>
            </w:tcBorders>
            <w:shd w:val="clear" w:color="auto" w:fill="auto"/>
            <w:noWrap/>
            <w:vAlign w:val="bottom"/>
            <w:hideMark/>
          </w:tcPr>
          <w:p w14:paraId="3C86A21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164</w:t>
            </w:r>
          </w:p>
        </w:tc>
        <w:tc>
          <w:tcPr>
            <w:tcW w:w="861" w:type="dxa"/>
            <w:tcBorders>
              <w:top w:val="nil"/>
              <w:left w:val="nil"/>
              <w:bottom w:val="nil"/>
              <w:right w:val="nil"/>
            </w:tcBorders>
            <w:shd w:val="clear" w:color="auto" w:fill="auto"/>
            <w:noWrap/>
            <w:vAlign w:val="bottom"/>
            <w:hideMark/>
          </w:tcPr>
          <w:p w14:paraId="1405A19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149</w:t>
            </w:r>
          </w:p>
        </w:tc>
        <w:tc>
          <w:tcPr>
            <w:tcW w:w="861" w:type="dxa"/>
            <w:tcBorders>
              <w:top w:val="nil"/>
              <w:left w:val="nil"/>
              <w:bottom w:val="nil"/>
              <w:right w:val="nil"/>
            </w:tcBorders>
            <w:shd w:val="clear" w:color="auto" w:fill="auto"/>
            <w:noWrap/>
            <w:vAlign w:val="bottom"/>
            <w:hideMark/>
          </w:tcPr>
          <w:p w14:paraId="371568D6"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136</w:t>
            </w:r>
          </w:p>
        </w:tc>
      </w:tr>
      <w:tr w:rsidR="00F57DD7" w:rsidRPr="00F57DD7" w14:paraId="220E2E18"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4B4C0888" w14:textId="77777777" w:rsidR="00F57DD7" w:rsidRPr="00F57DD7" w:rsidRDefault="00F57DD7" w:rsidP="00F57DD7">
            <w:pPr>
              <w:spacing w:after="0"/>
              <w:ind w:leftChars="150" w:left="300"/>
              <w:rPr>
                <w:rFonts w:ascii="Arial" w:hAnsi="Arial" w:cs="Arial"/>
                <w:b/>
                <w:bCs/>
                <w:sz w:val="16"/>
                <w:szCs w:val="16"/>
              </w:rPr>
            </w:pPr>
            <w:r w:rsidRPr="00F57D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EF0344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20,559</w:t>
            </w:r>
          </w:p>
        </w:tc>
        <w:tc>
          <w:tcPr>
            <w:tcW w:w="844" w:type="dxa"/>
            <w:tcBorders>
              <w:top w:val="nil"/>
              <w:left w:val="nil"/>
              <w:bottom w:val="single" w:sz="4" w:space="0" w:color="auto"/>
              <w:right w:val="nil"/>
            </w:tcBorders>
            <w:shd w:val="clear" w:color="000000" w:fill="D9D9D9"/>
            <w:noWrap/>
            <w:vAlign w:val="bottom"/>
            <w:hideMark/>
          </w:tcPr>
          <w:p w14:paraId="20117C34"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24,407</w:t>
            </w:r>
          </w:p>
        </w:tc>
        <w:tc>
          <w:tcPr>
            <w:tcW w:w="861" w:type="dxa"/>
            <w:tcBorders>
              <w:top w:val="nil"/>
              <w:left w:val="nil"/>
              <w:bottom w:val="single" w:sz="4" w:space="0" w:color="auto"/>
              <w:right w:val="nil"/>
            </w:tcBorders>
            <w:shd w:val="clear" w:color="auto" w:fill="auto"/>
            <w:noWrap/>
            <w:vAlign w:val="bottom"/>
            <w:hideMark/>
          </w:tcPr>
          <w:p w14:paraId="59D6A185"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25,400</w:t>
            </w:r>
          </w:p>
        </w:tc>
        <w:tc>
          <w:tcPr>
            <w:tcW w:w="861" w:type="dxa"/>
            <w:tcBorders>
              <w:top w:val="nil"/>
              <w:left w:val="nil"/>
              <w:bottom w:val="single" w:sz="4" w:space="0" w:color="auto"/>
              <w:right w:val="nil"/>
            </w:tcBorders>
            <w:shd w:val="clear" w:color="auto" w:fill="auto"/>
            <w:noWrap/>
            <w:vAlign w:val="bottom"/>
            <w:hideMark/>
          </w:tcPr>
          <w:p w14:paraId="19FF41DC"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29,666</w:t>
            </w:r>
          </w:p>
        </w:tc>
        <w:tc>
          <w:tcPr>
            <w:tcW w:w="861" w:type="dxa"/>
            <w:tcBorders>
              <w:top w:val="nil"/>
              <w:left w:val="nil"/>
              <w:bottom w:val="single" w:sz="4" w:space="0" w:color="auto"/>
              <w:right w:val="nil"/>
            </w:tcBorders>
            <w:shd w:val="clear" w:color="auto" w:fill="auto"/>
            <w:noWrap/>
            <w:vAlign w:val="bottom"/>
            <w:hideMark/>
          </w:tcPr>
          <w:p w14:paraId="708E66E4"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29,740</w:t>
            </w:r>
          </w:p>
        </w:tc>
      </w:tr>
      <w:tr w:rsidR="00F57DD7" w:rsidRPr="00F57DD7" w14:paraId="00D87473" w14:textId="77777777" w:rsidTr="00F57DD7">
        <w:trPr>
          <w:trHeight w:val="425"/>
          <w:jc w:val="center"/>
        </w:trPr>
        <w:tc>
          <w:tcPr>
            <w:tcW w:w="3052" w:type="dxa"/>
            <w:tcBorders>
              <w:top w:val="nil"/>
              <w:left w:val="nil"/>
              <w:bottom w:val="nil"/>
              <w:right w:val="nil"/>
            </w:tcBorders>
            <w:shd w:val="clear" w:color="auto" w:fill="auto"/>
            <w:vAlign w:val="bottom"/>
            <w:hideMark/>
          </w:tcPr>
          <w:p w14:paraId="150B0C8A"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63ECB7F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1,482</w:t>
            </w:r>
          </w:p>
        </w:tc>
        <w:tc>
          <w:tcPr>
            <w:tcW w:w="844" w:type="dxa"/>
            <w:tcBorders>
              <w:top w:val="nil"/>
              <w:left w:val="nil"/>
              <w:bottom w:val="single" w:sz="4" w:space="0" w:color="auto"/>
              <w:right w:val="nil"/>
            </w:tcBorders>
            <w:shd w:val="clear" w:color="000000" w:fill="D9D9D9"/>
            <w:noWrap/>
            <w:vAlign w:val="bottom"/>
            <w:hideMark/>
          </w:tcPr>
          <w:p w14:paraId="0B5B450C"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1,042</w:t>
            </w:r>
          </w:p>
        </w:tc>
        <w:tc>
          <w:tcPr>
            <w:tcW w:w="861" w:type="dxa"/>
            <w:tcBorders>
              <w:top w:val="nil"/>
              <w:left w:val="nil"/>
              <w:bottom w:val="single" w:sz="4" w:space="0" w:color="auto"/>
              <w:right w:val="nil"/>
            </w:tcBorders>
            <w:shd w:val="clear" w:color="auto" w:fill="auto"/>
            <w:noWrap/>
            <w:vAlign w:val="bottom"/>
            <w:hideMark/>
          </w:tcPr>
          <w:p w14:paraId="4774928F"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1,347</w:t>
            </w:r>
          </w:p>
        </w:tc>
        <w:tc>
          <w:tcPr>
            <w:tcW w:w="861" w:type="dxa"/>
            <w:tcBorders>
              <w:top w:val="nil"/>
              <w:left w:val="nil"/>
              <w:bottom w:val="single" w:sz="4" w:space="0" w:color="auto"/>
              <w:right w:val="nil"/>
            </w:tcBorders>
            <w:shd w:val="clear" w:color="auto" w:fill="auto"/>
            <w:noWrap/>
            <w:vAlign w:val="bottom"/>
            <w:hideMark/>
          </w:tcPr>
          <w:p w14:paraId="5E275070"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1,415</w:t>
            </w:r>
          </w:p>
        </w:tc>
        <w:tc>
          <w:tcPr>
            <w:tcW w:w="861" w:type="dxa"/>
            <w:tcBorders>
              <w:top w:val="nil"/>
              <w:left w:val="nil"/>
              <w:bottom w:val="single" w:sz="4" w:space="0" w:color="auto"/>
              <w:right w:val="nil"/>
            </w:tcBorders>
            <w:shd w:val="clear" w:color="auto" w:fill="auto"/>
            <w:noWrap/>
            <w:vAlign w:val="bottom"/>
            <w:hideMark/>
          </w:tcPr>
          <w:p w14:paraId="2545C662"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1,481</w:t>
            </w:r>
          </w:p>
        </w:tc>
      </w:tr>
      <w:tr w:rsidR="00F57DD7" w:rsidRPr="00F57DD7" w14:paraId="0765CECB" w14:textId="77777777" w:rsidTr="00F57DD7">
        <w:trPr>
          <w:trHeight w:val="300"/>
          <w:jc w:val="center"/>
        </w:trPr>
        <w:tc>
          <w:tcPr>
            <w:tcW w:w="3052" w:type="dxa"/>
            <w:tcBorders>
              <w:top w:val="nil"/>
              <w:left w:val="nil"/>
              <w:bottom w:val="nil"/>
              <w:right w:val="nil"/>
            </w:tcBorders>
            <w:shd w:val="clear" w:color="auto" w:fill="auto"/>
            <w:noWrap/>
            <w:vAlign w:val="bottom"/>
            <w:hideMark/>
          </w:tcPr>
          <w:p w14:paraId="0AF800E6" w14:textId="77777777" w:rsidR="00F57DD7" w:rsidRPr="00F57DD7" w:rsidRDefault="00F57DD7" w:rsidP="00F57DD7">
            <w:pPr>
              <w:spacing w:after="0"/>
              <w:rPr>
                <w:rFonts w:ascii="Arial" w:hAnsi="Arial" w:cs="Arial"/>
                <w:b/>
                <w:bCs/>
                <w:sz w:val="16"/>
                <w:szCs w:val="16"/>
              </w:rPr>
            </w:pPr>
            <w:r w:rsidRPr="00F57DD7">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74735F8" w14:textId="77777777" w:rsidR="00F57DD7" w:rsidRPr="00F57DD7" w:rsidRDefault="00F57DD7" w:rsidP="00F57DD7">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1EE5C33"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053DE4E"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C841EA4"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3985E49" w14:textId="77777777" w:rsidR="00F57DD7" w:rsidRPr="00F57DD7" w:rsidRDefault="00F57DD7" w:rsidP="00F57DD7">
            <w:pPr>
              <w:spacing w:after="0"/>
              <w:jc w:val="right"/>
              <w:rPr>
                <w:rFonts w:ascii="Times New Roman" w:hAnsi="Times New Roman"/>
                <w:color w:val="auto"/>
              </w:rPr>
            </w:pPr>
          </w:p>
        </w:tc>
      </w:tr>
      <w:tr w:rsidR="00F57DD7" w:rsidRPr="00F57DD7" w14:paraId="79106B24"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67BB0508"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CBCE218" w14:textId="77777777" w:rsidR="00F57DD7" w:rsidRPr="00F57DD7" w:rsidRDefault="00F57DD7" w:rsidP="00F57D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53A728F"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E49A87F"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AD1F418"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38DFC30" w14:textId="77777777" w:rsidR="00F57DD7" w:rsidRPr="00F57DD7" w:rsidRDefault="00F57DD7" w:rsidP="00F57DD7">
            <w:pPr>
              <w:spacing w:after="0"/>
              <w:jc w:val="right"/>
              <w:rPr>
                <w:rFonts w:ascii="Times New Roman" w:hAnsi="Times New Roman"/>
                <w:color w:val="auto"/>
              </w:rPr>
            </w:pPr>
          </w:p>
        </w:tc>
      </w:tr>
      <w:tr w:rsidR="00F57DD7" w:rsidRPr="00F57DD7" w14:paraId="7ED0E66D" w14:textId="77777777" w:rsidTr="00F57DD7">
        <w:trPr>
          <w:trHeight w:val="425"/>
          <w:jc w:val="center"/>
        </w:trPr>
        <w:tc>
          <w:tcPr>
            <w:tcW w:w="3052" w:type="dxa"/>
            <w:tcBorders>
              <w:top w:val="nil"/>
              <w:left w:val="nil"/>
              <w:bottom w:val="nil"/>
              <w:right w:val="nil"/>
            </w:tcBorders>
            <w:shd w:val="clear" w:color="auto" w:fill="auto"/>
            <w:vAlign w:val="bottom"/>
            <w:hideMark/>
          </w:tcPr>
          <w:p w14:paraId="05EB3CA4"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2C821D19"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2,900</w:t>
            </w:r>
          </w:p>
        </w:tc>
        <w:tc>
          <w:tcPr>
            <w:tcW w:w="844" w:type="dxa"/>
            <w:tcBorders>
              <w:top w:val="nil"/>
              <w:left w:val="nil"/>
              <w:bottom w:val="nil"/>
              <w:right w:val="nil"/>
            </w:tcBorders>
            <w:shd w:val="clear" w:color="000000" w:fill="D9D9D9"/>
            <w:noWrap/>
            <w:vAlign w:val="bottom"/>
            <w:hideMark/>
          </w:tcPr>
          <w:p w14:paraId="16A3006E"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1,000</w:t>
            </w:r>
          </w:p>
        </w:tc>
        <w:tc>
          <w:tcPr>
            <w:tcW w:w="861" w:type="dxa"/>
            <w:tcBorders>
              <w:top w:val="nil"/>
              <w:left w:val="nil"/>
              <w:bottom w:val="nil"/>
              <w:right w:val="nil"/>
            </w:tcBorders>
            <w:shd w:val="clear" w:color="auto" w:fill="auto"/>
            <w:noWrap/>
            <w:vAlign w:val="bottom"/>
            <w:hideMark/>
          </w:tcPr>
          <w:p w14:paraId="06544638"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A16860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D213A92"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r>
      <w:tr w:rsidR="00F57DD7" w:rsidRPr="00F57DD7" w14:paraId="6E12049F"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2F24D950" w14:textId="77777777" w:rsidR="00F57DD7" w:rsidRPr="00F57DD7" w:rsidRDefault="00F57DD7" w:rsidP="00F57DD7">
            <w:pPr>
              <w:spacing w:after="0"/>
              <w:ind w:leftChars="150" w:left="300"/>
              <w:rPr>
                <w:rFonts w:ascii="Arial" w:hAnsi="Arial" w:cs="Arial"/>
                <w:b/>
                <w:bCs/>
                <w:sz w:val="16"/>
                <w:szCs w:val="16"/>
              </w:rPr>
            </w:pPr>
            <w:r w:rsidRPr="00F57D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3B19353"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2,900</w:t>
            </w:r>
          </w:p>
        </w:tc>
        <w:tc>
          <w:tcPr>
            <w:tcW w:w="844" w:type="dxa"/>
            <w:tcBorders>
              <w:top w:val="nil"/>
              <w:left w:val="nil"/>
              <w:bottom w:val="single" w:sz="4" w:space="0" w:color="auto"/>
              <w:right w:val="nil"/>
            </w:tcBorders>
            <w:shd w:val="clear" w:color="000000" w:fill="D9D9D9"/>
            <w:noWrap/>
            <w:vAlign w:val="bottom"/>
            <w:hideMark/>
          </w:tcPr>
          <w:p w14:paraId="3E6DB902"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1,000</w:t>
            </w:r>
          </w:p>
        </w:tc>
        <w:tc>
          <w:tcPr>
            <w:tcW w:w="861" w:type="dxa"/>
            <w:tcBorders>
              <w:top w:val="nil"/>
              <w:left w:val="nil"/>
              <w:bottom w:val="single" w:sz="4" w:space="0" w:color="auto"/>
              <w:right w:val="nil"/>
            </w:tcBorders>
            <w:shd w:val="clear" w:color="auto" w:fill="auto"/>
            <w:noWrap/>
            <w:vAlign w:val="bottom"/>
            <w:hideMark/>
          </w:tcPr>
          <w:p w14:paraId="125F641C"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0904C9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AD7A64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r>
      <w:tr w:rsidR="00F57DD7" w:rsidRPr="00F57DD7" w14:paraId="722ACEFE" w14:textId="77777777" w:rsidTr="00F57DD7">
        <w:trPr>
          <w:trHeight w:val="425"/>
          <w:jc w:val="center"/>
        </w:trPr>
        <w:tc>
          <w:tcPr>
            <w:tcW w:w="3052" w:type="dxa"/>
            <w:tcBorders>
              <w:top w:val="nil"/>
              <w:left w:val="nil"/>
              <w:bottom w:val="nil"/>
              <w:right w:val="nil"/>
            </w:tcBorders>
            <w:shd w:val="clear" w:color="auto" w:fill="auto"/>
            <w:vAlign w:val="bottom"/>
            <w:hideMark/>
          </w:tcPr>
          <w:p w14:paraId="44482F17"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20434B6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(2,900)</w:t>
            </w:r>
          </w:p>
        </w:tc>
        <w:tc>
          <w:tcPr>
            <w:tcW w:w="844" w:type="dxa"/>
            <w:tcBorders>
              <w:top w:val="nil"/>
              <w:left w:val="nil"/>
              <w:bottom w:val="single" w:sz="4" w:space="0" w:color="auto"/>
              <w:right w:val="nil"/>
            </w:tcBorders>
            <w:shd w:val="clear" w:color="000000" w:fill="D9D9D9"/>
            <w:noWrap/>
            <w:vAlign w:val="bottom"/>
            <w:hideMark/>
          </w:tcPr>
          <w:p w14:paraId="50B0F4F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(1,000)</w:t>
            </w:r>
          </w:p>
        </w:tc>
        <w:tc>
          <w:tcPr>
            <w:tcW w:w="861" w:type="dxa"/>
            <w:tcBorders>
              <w:top w:val="nil"/>
              <w:left w:val="nil"/>
              <w:bottom w:val="single" w:sz="4" w:space="0" w:color="auto"/>
              <w:right w:val="nil"/>
            </w:tcBorders>
            <w:shd w:val="clear" w:color="auto" w:fill="auto"/>
            <w:noWrap/>
            <w:vAlign w:val="bottom"/>
            <w:hideMark/>
          </w:tcPr>
          <w:p w14:paraId="2FB301FF"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0160720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C040B1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r>
      <w:tr w:rsidR="00F57DD7" w:rsidRPr="00F57DD7" w14:paraId="6B6A3E45" w14:textId="77777777" w:rsidTr="00F57DD7">
        <w:trPr>
          <w:trHeight w:val="300"/>
          <w:jc w:val="center"/>
        </w:trPr>
        <w:tc>
          <w:tcPr>
            <w:tcW w:w="3052" w:type="dxa"/>
            <w:tcBorders>
              <w:top w:val="nil"/>
              <w:left w:val="nil"/>
              <w:bottom w:val="nil"/>
              <w:right w:val="nil"/>
            </w:tcBorders>
            <w:shd w:val="clear" w:color="auto" w:fill="auto"/>
            <w:noWrap/>
            <w:vAlign w:val="bottom"/>
            <w:hideMark/>
          </w:tcPr>
          <w:p w14:paraId="6F53D6E3" w14:textId="77777777" w:rsidR="00F57DD7" w:rsidRPr="00F57DD7" w:rsidRDefault="00F57DD7" w:rsidP="00F57DD7">
            <w:pPr>
              <w:spacing w:after="0"/>
              <w:rPr>
                <w:rFonts w:ascii="Arial" w:hAnsi="Arial" w:cs="Arial"/>
                <w:b/>
                <w:bCs/>
                <w:sz w:val="16"/>
                <w:szCs w:val="16"/>
              </w:rPr>
            </w:pPr>
            <w:r w:rsidRPr="00F57DD7">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7E67C2F7" w14:textId="77777777" w:rsidR="00F57DD7" w:rsidRPr="00F57DD7" w:rsidRDefault="00F57DD7" w:rsidP="00F57DD7">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DAF6B59"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DB62BA4"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0B52B96"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15600D1" w14:textId="77777777" w:rsidR="00F57DD7" w:rsidRPr="00F57DD7" w:rsidRDefault="00F57DD7" w:rsidP="00F57DD7">
            <w:pPr>
              <w:spacing w:after="0"/>
              <w:jc w:val="right"/>
              <w:rPr>
                <w:rFonts w:ascii="Times New Roman" w:hAnsi="Times New Roman"/>
                <w:color w:val="auto"/>
              </w:rPr>
            </w:pPr>
          </w:p>
        </w:tc>
      </w:tr>
      <w:tr w:rsidR="00F57DD7" w:rsidRPr="00F57DD7" w14:paraId="67AD5B65"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65E3CFEE"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FACC8D5" w14:textId="77777777" w:rsidR="00F57DD7" w:rsidRPr="00F57DD7" w:rsidRDefault="00F57DD7" w:rsidP="00F57D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2A17862"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7941BC0" w14:textId="77777777" w:rsidR="00F57DD7" w:rsidRPr="00F57DD7" w:rsidRDefault="00F57DD7" w:rsidP="00F57D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7F9478E"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13ACBE9" w14:textId="77777777" w:rsidR="00F57DD7" w:rsidRPr="00F57DD7" w:rsidRDefault="00F57DD7" w:rsidP="00F57DD7">
            <w:pPr>
              <w:spacing w:after="0"/>
              <w:jc w:val="right"/>
              <w:rPr>
                <w:rFonts w:ascii="Times New Roman" w:hAnsi="Times New Roman"/>
                <w:color w:val="auto"/>
              </w:rPr>
            </w:pPr>
          </w:p>
        </w:tc>
      </w:tr>
      <w:tr w:rsidR="00F57DD7" w:rsidRPr="00F57DD7" w14:paraId="1B98C7BE" w14:textId="77777777" w:rsidTr="00F57DD7">
        <w:trPr>
          <w:trHeight w:val="225"/>
          <w:jc w:val="center"/>
        </w:trPr>
        <w:tc>
          <w:tcPr>
            <w:tcW w:w="3052" w:type="dxa"/>
            <w:tcBorders>
              <w:top w:val="nil"/>
              <w:left w:val="nil"/>
              <w:bottom w:val="nil"/>
              <w:right w:val="nil"/>
            </w:tcBorders>
            <w:shd w:val="clear" w:color="000000" w:fill="FFFFFF"/>
            <w:noWrap/>
            <w:vAlign w:val="bottom"/>
            <w:hideMark/>
          </w:tcPr>
          <w:p w14:paraId="009822EA" w14:textId="77777777" w:rsidR="00F57DD7" w:rsidRPr="00F57DD7" w:rsidRDefault="00F57DD7" w:rsidP="00F57DD7">
            <w:pPr>
              <w:spacing w:after="0"/>
              <w:ind w:leftChars="150" w:left="300"/>
              <w:rPr>
                <w:rFonts w:ascii="Arial" w:hAnsi="Arial" w:cs="Arial"/>
                <w:color w:val="auto"/>
                <w:sz w:val="16"/>
                <w:szCs w:val="16"/>
              </w:rPr>
            </w:pPr>
            <w:r w:rsidRPr="00F57DD7">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678009B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3602108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8417FFD"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3D7B811"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5BD55FF"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w:t>
            </w:r>
          </w:p>
        </w:tc>
      </w:tr>
      <w:tr w:rsidR="00F57DD7" w:rsidRPr="00F57DD7" w14:paraId="22723807"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4F338F07" w14:textId="77777777" w:rsidR="00F57DD7" w:rsidRPr="00F57DD7" w:rsidRDefault="00F57DD7" w:rsidP="00F57DD7">
            <w:pPr>
              <w:spacing w:after="0"/>
              <w:ind w:leftChars="150" w:left="300"/>
              <w:rPr>
                <w:rFonts w:ascii="Arial" w:hAnsi="Arial" w:cs="Arial"/>
                <w:b/>
                <w:bCs/>
                <w:sz w:val="16"/>
                <w:szCs w:val="16"/>
              </w:rPr>
            </w:pPr>
            <w:r w:rsidRPr="00F57DD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802D29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6F54C20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1A4F0C5"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FB58836"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023766DF"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w:t>
            </w:r>
          </w:p>
        </w:tc>
      </w:tr>
      <w:tr w:rsidR="00F57DD7" w:rsidRPr="00F57DD7" w14:paraId="269B88F8" w14:textId="77777777" w:rsidTr="00F57DD7">
        <w:trPr>
          <w:trHeight w:val="283"/>
          <w:jc w:val="center"/>
        </w:trPr>
        <w:tc>
          <w:tcPr>
            <w:tcW w:w="3052" w:type="dxa"/>
            <w:tcBorders>
              <w:top w:val="nil"/>
              <w:left w:val="nil"/>
              <w:bottom w:val="nil"/>
              <w:right w:val="nil"/>
            </w:tcBorders>
            <w:shd w:val="clear" w:color="auto" w:fill="auto"/>
            <w:noWrap/>
            <w:vAlign w:val="bottom"/>
            <w:hideMark/>
          </w:tcPr>
          <w:p w14:paraId="12DC352C"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4F08E2F" w14:textId="77777777" w:rsidR="00F57DD7" w:rsidRPr="00F57DD7" w:rsidRDefault="00F57DD7" w:rsidP="00F57D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B8B799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70C37701" w14:textId="77777777" w:rsidR="00F57DD7" w:rsidRPr="00F57DD7" w:rsidRDefault="00F57DD7" w:rsidP="00F57DD7">
            <w:pPr>
              <w:spacing w:after="0"/>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15B95E92" w14:textId="77777777" w:rsidR="00F57DD7" w:rsidRPr="00F57DD7" w:rsidRDefault="00F57DD7" w:rsidP="00F57DD7">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36DCE99" w14:textId="77777777" w:rsidR="00F57DD7" w:rsidRPr="00F57DD7" w:rsidRDefault="00F57DD7" w:rsidP="00F57DD7">
            <w:pPr>
              <w:spacing w:after="0"/>
              <w:jc w:val="right"/>
              <w:rPr>
                <w:rFonts w:ascii="Times New Roman" w:hAnsi="Times New Roman"/>
                <w:color w:val="auto"/>
              </w:rPr>
            </w:pPr>
          </w:p>
        </w:tc>
      </w:tr>
      <w:tr w:rsidR="00F57DD7" w:rsidRPr="00F57DD7" w14:paraId="7223BD59" w14:textId="77777777" w:rsidTr="00F57DD7">
        <w:trPr>
          <w:trHeight w:val="225"/>
          <w:jc w:val="center"/>
        </w:trPr>
        <w:tc>
          <w:tcPr>
            <w:tcW w:w="3052" w:type="dxa"/>
            <w:tcBorders>
              <w:top w:val="nil"/>
              <w:left w:val="nil"/>
              <w:bottom w:val="nil"/>
              <w:right w:val="nil"/>
            </w:tcBorders>
            <w:shd w:val="clear" w:color="000000" w:fill="FFFFFF"/>
            <w:vAlign w:val="bottom"/>
            <w:hideMark/>
          </w:tcPr>
          <w:p w14:paraId="37E24D37" w14:textId="77777777" w:rsidR="00F57DD7" w:rsidRPr="00F57DD7" w:rsidRDefault="00F57DD7" w:rsidP="00F57DD7">
            <w:pPr>
              <w:spacing w:after="0"/>
              <w:ind w:leftChars="150" w:left="300"/>
              <w:rPr>
                <w:rFonts w:ascii="Arial" w:hAnsi="Arial" w:cs="Arial"/>
                <w:sz w:val="16"/>
                <w:szCs w:val="16"/>
              </w:rPr>
            </w:pPr>
            <w:r w:rsidRPr="00F57DD7">
              <w:rPr>
                <w:rFonts w:ascii="Arial" w:hAnsi="Arial" w:cs="Arial"/>
                <w:sz w:val="16"/>
                <w:szCs w:val="16"/>
              </w:rPr>
              <w:t>Lease principal repayments</w:t>
            </w:r>
          </w:p>
        </w:tc>
        <w:tc>
          <w:tcPr>
            <w:tcW w:w="881" w:type="dxa"/>
            <w:tcBorders>
              <w:top w:val="nil"/>
              <w:left w:val="nil"/>
              <w:bottom w:val="nil"/>
              <w:right w:val="nil"/>
            </w:tcBorders>
            <w:shd w:val="clear" w:color="auto" w:fill="auto"/>
            <w:noWrap/>
            <w:vAlign w:val="bottom"/>
            <w:hideMark/>
          </w:tcPr>
          <w:p w14:paraId="7FB8F684"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787</w:t>
            </w:r>
          </w:p>
        </w:tc>
        <w:tc>
          <w:tcPr>
            <w:tcW w:w="844" w:type="dxa"/>
            <w:tcBorders>
              <w:top w:val="nil"/>
              <w:left w:val="nil"/>
              <w:bottom w:val="nil"/>
              <w:right w:val="nil"/>
            </w:tcBorders>
            <w:shd w:val="clear" w:color="000000" w:fill="D9D9D9"/>
            <w:noWrap/>
            <w:vAlign w:val="bottom"/>
            <w:hideMark/>
          </w:tcPr>
          <w:p w14:paraId="75D6275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834</w:t>
            </w:r>
          </w:p>
        </w:tc>
        <w:tc>
          <w:tcPr>
            <w:tcW w:w="861" w:type="dxa"/>
            <w:tcBorders>
              <w:top w:val="nil"/>
              <w:left w:val="nil"/>
              <w:bottom w:val="nil"/>
              <w:right w:val="nil"/>
            </w:tcBorders>
            <w:shd w:val="clear" w:color="auto" w:fill="auto"/>
            <w:noWrap/>
            <w:vAlign w:val="bottom"/>
            <w:hideMark/>
          </w:tcPr>
          <w:p w14:paraId="33B09C36"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894</w:t>
            </w:r>
          </w:p>
        </w:tc>
        <w:tc>
          <w:tcPr>
            <w:tcW w:w="861" w:type="dxa"/>
            <w:tcBorders>
              <w:top w:val="nil"/>
              <w:left w:val="nil"/>
              <w:bottom w:val="nil"/>
              <w:right w:val="nil"/>
            </w:tcBorders>
            <w:shd w:val="clear" w:color="auto" w:fill="auto"/>
            <w:noWrap/>
            <w:vAlign w:val="bottom"/>
            <w:hideMark/>
          </w:tcPr>
          <w:p w14:paraId="1965887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958</w:t>
            </w:r>
          </w:p>
        </w:tc>
        <w:tc>
          <w:tcPr>
            <w:tcW w:w="861" w:type="dxa"/>
            <w:tcBorders>
              <w:top w:val="nil"/>
              <w:left w:val="nil"/>
              <w:bottom w:val="nil"/>
              <w:right w:val="nil"/>
            </w:tcBorders>
            <w:shd w:val="clear" w:color="auto" w:fill="auto"/>
            <w:noWrap/>
            <w:vAlign w:val="bottom"/>
            <w:hideMark/>
          </w:tcPr>
          <w:p w14:paraId="67318763"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1,024</w:t>
            </w:r>
          </w:p>
        </w:tc>
      </w:tr>
      <w:tr w:rsidR="00F57DD7" w:rsidRPr="00F57DD7" w14:paraId="1A9909B1" w14:textId="77777777" w:rsidTr="00F57DD7">
        <w:trPr>
          <w:trHeight w:val="225"/>
          <w:jc w:val="center"/>
        </w:trPr>
        <w:tc>
          <w:tcPr>
            <w:tcW w:w="3052" w:type="dxa"/>
            <w:tcBorders>
              <w:top w:val="nil"/>
              <w:left w:val="nil"/>
              <w:bottom w:val="nil"/>
              <w:right w:val="nil"/>
            </w:tcBorders>
            <w:shd w:val="clear" w:color="auto" w:fill="auto"/>
            <w:noWrap/>
            <w:vAlign w:val="bottom"/>
            <w:hideMark/>
          </w:tcPr>
          <w:p w14:paraId="6023FE1C" w14:textId="77777777" w:rsidR="00F57DD7" w:rsidRPr="00F57DD7" w:rsidRDefault="00F57DD7" w:rsidP="00F57DD7">
            <w:pPr>
              <w:spacing w:after="0"/>
              <w:ind w:leftChars="150" w:left="300"/>
              <w:rPr>
                <w:rFonts w:ascii="Arial" w:hAnsi="Arial" w:cs="Arial"/>
                <w:b/>
                <w:bCs/>
                <w:sz w:val="16"/>
                <w:szCs w:val="16"/>
              </w:rPr>
            </w:pPr>
            <w:r w:rsidRPr="00F57D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FD85EE6"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787</w:t>
            </w:r>
          </w:p>
        </w:tc>
        <w:tc>
          <w:tcPr>
            <w:tcW w:w="844" w:type="dxa"/>
            <w:tcBorders>
              <w:top w:val="nil"/>
              <w:left w:val="nil"/>
              <w:bottom w:val="single" w:sz="4" w:space="0" w:color="auto"/>
              <w:right w:val="nil"/>
            </w:tcBorders>
            <w:shd w:val="clear" w:color="000000" w:fill="D9D9D9"/>
            <w:noWrap/>
            <w:vAlign w:val="bottom"/>
            <w:hideMark/>
          </w:tcPr>
          <w:p w14:paraId="0ABD7885"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834</w:t>
            </w:r>
          </w:p>
        </w:tc>
        <w:tc>
          <w:tcPr>
            <w:tcW w:w="861" w:type="dxa"/>
            <w:tcBorders>
              <w:top w:val="nil"/>
              <w:left w:val="nil"/>
              <w:bottom w:val="single" w:sz="4" w:space="0" w:color="auto"/>
              <w:right w:val="nil"/>
            </w:tcBorders>
            <w:shd w:val="clear" w:color="auto" w:fill="auto"/>
            <w:noWrap/>
            <w:vAlign w:val="bottom"/>
            <w:hideMark/>
          </w:tcPr>
          <w:p w14:paraId="21C54D6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894</w:t>
            </w:r>
          </w:p>
        </w:tc>
        <w:tc>
          <w:tcPr>
            <w:tcW w:w="861" w:type="dxa"/>
            <w:tcBorders>
              <w:top w:val="nil"/>
              <w:left w:val="nil"/>
              <w:bottom w:val="single" w:sz="4" w:space="0" w:color="auto"/>
              <w:right w:val="nil"/>
            </w:tcBorders>
            <w:shd w:val="clear" w:color="auto" w:fill="auto"/>
            <w:noWrap/>
            <w:vAlign w:val="bottom"/>
            <w:hideMark/>
          </w:tcPr>
          <w:p w14:paraId="29381089"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958</w:t>
            </w:r>
          </w:p>
        </w:tc>
        <w:tc>
          <w:tcPr>
            <w:tcW w:w="861" w:type="dxa"/>
            <w:tcBorders>
              <w:top w:val="nil"/>
              <w:left w:val="nil"/>
              <w:bottom w:val="single" w:sz="4" w:space="0" w:color="auto"/>
              <w:right w:val="nil"/>
            </w:tcBorders>
            <w:shd w:val="clear" w:color="auto" w:fill="auto"/>
            <w:noWrap/>
            <w:vAlign w:val="bottom"/>
            <w:hideMark/>
          </w:tcPr>
          <w:p w14:paraId="66DF2B9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1,024</w:t>
            </w:r>
          </w:p>
        </w:tc>
      </w:tr>
      <w:tr w:rsidR="00F57DD7" w:rsidRPr="00F57DD7" w14:paraId="55059B7D" w14:textId="77777777" w:rsidTr="00F57DD7">
        <w:trPr>
          <w:trHeight w:val="425"/>
          <w:jc w:val="center"/>
        </w:trPr>
        <w:tc>
          <w:tcPr>
            <w:tcW w:w="3052" w:type="dxa"/>
            <w:tcBorders>
              <w:top w:val="nil"/>
              <w:left w:val="nil"/>
              <w:bottom w:val="nil"/>
              <w:right w:val="nil"/>
            </w:tcBorders>
            <w:shd w:val="clear" w:color="auto" w:fill="auto"/>
            <w:vAlign w:val="bottom"/>
            <w:hideMark/>
          </w:tcPr>
          <w:p w14:paraId="7C15951A"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306036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(787)</w:t>
            </w:r>
          </w:p>
        </w:tc>
        <w:tc>
          <w:tcPr>
            <w:tcW w:w="844" w:type="dxa"/>
            <w:tcBorders>
              <w:top w:val="nil"/>
              <w:left w:val="nil"/>
              <w:bottom w:val="single" w:sz="4" w:space="0" w:color="auto"/>
              <w:right w:val="nil"/>
            </w:tcBorders>
            <w:shd w:val="clear" w:color="000000" w:fill="D9D9D9"/>
            <w:noWrap/>
            <w:vAlign w:val="bottom"/>
            <w:hideMark/>
          </w:tcPr>
          <w:p w14:paraId="78BE4589"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(834)</w:t>
            </w:r>
          </w:p>
        </w:tc>
        <w:tc>
          <w:tcPr>
            <w:tcW w:w="861" w:type="dxa"/>
            <w:tcBorders>
              <w:top w:val="nil"/>
              <w:left w:val="nil"/>
              <w:bottom w:val="single" w:sz="4" w:space="0" w:color="auto"/>
              <w:right w:val="nil"/>
            </w:tcBorders>
            <w:shd w:val="clear" w:color="auto" w:fill="auto"/>
            <w:noWrap/>
            <w:vAlign w:val="bottom"/>
            <w:hideMark/>
          </w:tcPr>
          <w:p w14:paraId="367E89EA"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(894)</w:t>
            </w:r>
          </w:p>
        </w:tc>
        <w:tc>
          <w:tcPr>
            <w:tcW w:w="861" w:type="dxa"/>
            <w:tcBorders>
              <w:top w:val="nil"/>
              <w:left w:val="nil"/>
              <w:bottom w:val="single" w:sz="4" w:space="0" w:color="auto"/>
              <w:right w:val="nil"/>
            </w:tcBorders>
            <w:shd w:val="clear" w:color="auto" w:fill="auto"/>
            <w:noWrap/>
            <w:vAlign w:val="bottom"/>
            <w:hideMark/>
          </w:tcPr>
          <w:p w14:paraId="2F7D9446"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(958)</w:t>
            </w:r>
          </w:p>
        </w:tc>
        <w:tc>
          <w:tcPr>
            <w:tcW w:w="861" w:type="dxa"/>
            <w:tcBorders>
              <w:top w:val="nil"/>
              <w:left w:val="nil"/>
              <w:bottom w:val="single" w:sz="4" w:space="0" w:color="auto"/>
              <w:right w:val="nil"/>
            </w:tcBorders>
            <w:shd w:val="clear" w:color="auto" w:fill="auto"/>
            <w:noWrap/>
            <w:vAlign w:val="bottom"/>
            <w:hideMark/>
          </w:tcPr>
          <w:p w14:paraId="7FAE1918"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(1,024)</w:t>
            </w:r>
          </w:p>
        </w:tc>
      </w:tr>
      <w:tr w:rsidR="00F57DD7" w:rsidRPr="00F57DD7" w14:paraId="3017DAD6" w14:textId="77777777" w:rsidTr="00F57DD7">
        <w:trPr>
          <w:trHeight w:val="425"/>
          <w:jc w:val="center"/>
        </w:trPr>
        <w:tc>
          <w:tcPr>
            <w:tcW w:w="3052" w:type="dxa"/>
            <w:tcBorders>
              <w:top w:val="nil"/>
              <w:left w:val="nil"/>
              <w:bottom w:val="nil"/>
              <w:right w:val="nil"/>
            </w:tcBorders>
            <w:shd w:val="clear" w:color="auto" w:fill="auto"/>
            <w:vAlign w:val="bottom"/>
            <w:hideMark/>
          </w:tcPr>
          <w:p w14:paraId="532AE84B" w14:textId="77777777" w:rsidR="00F57DD7" w:rsidRPr="00F57DD7" w:rsidRDefault="00F57DD7" w:rsidP="00F57DD7">
            <w:pPr>
              <w:spacing w:after="0"/>
              <w:ind w:leftChars="75" w:left="150"/>
              <w:rPr>
                <w:rFonts w:ascii="Arial" w:hAnsi="Arial" w:cs="Arial"/>
                <w:b/>
                <w:bCs/>
                <w:sz w:val="16"/>
                <w:szCs w:val="16"/>
              </w:rPr>
            </w:pPr>
            <w:r w:rsidRPr="00F57DD7">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301E75F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(2,205)</w:t>
            </w:r>
          </w:p>
        </w:tc>
        <w:tc>
          <w:tcPr>
            <w:tcW w:w="844" w:type="dxa"/>
            <w:tcBorders>
              <w:top w:val="nil"/>
              <w:left w:val="nil"/>
              <w:bottom w:val="single" w:sz="4" w:space="0" w:color="auto"/>
              <w:right w:val="nil"/>
            </w:tcBorders>
            <w:shd w:val="clear" w:color="000000" w:fill="D9D9D9"/>
            <w:noWrap/>
            <w:vAlign w:val="bottom"/>
            <w:hideMark/>
          </w:tcPr>
          <w:p w14:paraId="1B9F5939"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(792)</w:t>
            </w:r>
          </w:p>
        </w:tc>
        <w:tc>
          <w:tcPr>
            <w:tcW w:w="861" w:type="dxa"/>
            <w:tcBorders>
              <w:top w:val="nil"/>
              <w:left w:val="nil"/>
              <w:bottom w:val="single" w:sz="4" w:space="0" w:color="auto"/>
              <w:right w:val="nil"/>
            </w:tcBorders>
            <w:shd w:val="clear" w:color="auto" w:fill="auto"/>
            <w:noWrap/>
            <w:vAlign w:val="bottom"/>
            <w:hideMark/>
          </w:tcPr>
          <w:p w14:paraId="4B2E9BCD"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453</w:t>
            </w:r>
          </w:p>
        </w:tc>
        <w:tc>
          <w:tcPr>
            <w:tcW w:w="861" w:type="dxa"/>
            <w:tcBorders>
              <w:top w:val="nil"/>
              <w:left w:val="nil"/>
              <w:bottom w:val="single" w:sz="4" w:space="0" w:color="auto"/>
              <w:right w:val="nil"/>
            </w:tcBorders>
            <w:shd w:val="clear" w:color="auto" w:fill="auto"/>
            <w:noWrap/>
            <w:vAlign w:val="bottom"/>
            <w:hideMark/>
          </w:tcPr>
          <w:p w14:paraId="561BD4DF"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457</w:t>
            </w:r>
          </w:p>
        </w:tc>
        <w:tc>
          <w:tcPr>
            <w:tcW w:w="861" w:type="dxa"/>
            <w:tcBorders>
              <w:top w:val="nil"/>
              <w:left w:val="nil"/>
              <w:bottom w:val="single" w:sz="4" w:space="0" w:color="auto"/>
              <w:right w:val="nil"/>
            </w:tcBorders>
            <w:shd w:val="clear" w:color="auto" w:fill="auto"/>
            <w:noWrap/>
            <w:vAlign w:val="bottom"/>
            <w:hideMark/>
          </w:tcPr>
          <w:p w14:paraId="04C26135"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457</w:t>
            </w:r>
          </w:p>
        </w:tc>
      </w:tr>
      <w:tr w:rsidR="00F57DD7" w:rsidRPr="00F57DD7" w14:paraId="016C41D3" w14:textId="77777777" w:rsidTr="00F57DD7">
        <w:trPr>
          <w:trHeight w:val="425"/>
          <w:jc w:val="center"/>
        </w:trPr>
        <w:tc>
          <w:tcPr>
            <w:tcW w:w="3052" w:type="dxa"/>
            <w:tcBorders>
              <w:top w:val="nil"/>
              <w:left w:val="nil"/>
              <w:bottom w:val="nil"/>
              <w:right w:val="nil"/>
            </w:tcBorders>
            <w:shd w:val="clear" w:color="auto" w:fill="auto"/>
            <w:vAlign w:val="bottom"/>
            <w:hideMark/>
          </w:tcPr>
          <w:p w14:paraId="1E332081" w14:textId="77777777" w:rsidR="00F57DD7" w:rsidRPr="00F57DD7" w:rsidRDefault="00F57DD7" w:rsidP="00F57DD7">
            <w:pPr>
              <w:spacing w:after="0"/>
              <w:ind w:leftChars="75" w:left="150"/>
              <w:rPr>
                <w:rFonts w:ascii="Arial" w:hAnsi="Arial" w:cs="Arial"/>
                <w:sz w:val="16"/>
                <w:szCs w:val="16"/>
              </w:rPr>
            </w:pPr>
            <w:r w:rsidRPr="00F57DD7">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2A72C9C2"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16,251</w:t>
            </w:r>
          </w:p>
        </w:tc>
        <w:tc>
          <w:tcPr>
            <w:tcW w:w="844" w:type="dxa"/>
            <w:tcBorders>
              <w:top w:val="nil"/>
              <w:left w:val="nil"/>
              <w:bottom w:val="nil"/>
              <w:right w:val="nil"/>
            </w:tcBorders>
            <w:shd w:val="clear" w:color="000000" w:fill="D9D9D9"/>
            <w:noWrap/>
            <w:vAlign w:val="bottom"/>
            <w:hideMark/>
          </w:tcPr>
          <w:p w14:paraId="10B2E99A"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14,046</w:t>
            </w:r>
          </w:p>
        </w:tc>
        <w:tc>
          <w:tcPr>
            <w:tcW w:w="861" w:type="dxa"/>
            <w:tcBorders>
              <w:top w:val="nil"/>
              <w:left w:val="nil"/>
              <w:bottom w:val="nil"/>
              <w:right w:val="nil"/>
            </w:tcBorders>
            <w:shd w:val="clear" w:color="auto" w:fill="auto"/>
            <w:noWrap/>
            <w:vAlign w:val="bottom"/>
            <w:hideMark/>
          </w:tcPr>
          <w:p w14:paraId="3AB86F6B"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13,254</w:t>
            </w:r>
          </w:p>
        </w:tc>
        <w:tc>
          <w:tcPr>
            <w:tcW w:w="861" w:type="dxa"/>
            <w:tcBorders>
              <w:top w:val="nil"/>
              <w:left w:val="nil"/>
              <w:bottom w:val="nil"/>
              <w:right w:val="nil"/>
            </w:tcBorders>
            <w:shd w:val="clear" w:color="auto" w:fill="auto"/>
            <w:noWrap/>
            <w:vAlign w:val="bottom"/>
            <w:hideMark/>
          </w:tcPr>
          <w:p w14:paraId="509737BC"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13,707</w:t>
            </w:r>
          </w:p>
        </w:tc>
        <w:tc>
          <w:tcPr>
            <w:tcW w:w="861" w:type="dxa"/>
            <w:tcBorders>
              <w:top w:val="nil"/>
              <w:left w:val="nil"/>
              <w:bottom w:val="nil"/>
              <w:right w:val="nil"/>
            </w:tcBorders>
            <w:shd w:val="clear" w:color="auto" w:fill="auto"/>
            <w:noWrap/>
            <w:vAlign w:val="bottom"/>
            <w:hideMark/>
          </w:tcPr>
          <w:p w14:paraId="5441F54C" w14:textId="77777777" w:rsidR="00F57DD7" w:rsidRPr="00F57DD7" w:rsidRDefault="00F57DD7" w:rsidP="00F57DD7">
            <w:pPr>
              <w:spacing w:after="0"/>
              <w:jc w:val="right"/>
              <w:rPr>
                <w:rFonts w:ascii="Arial" w:hAnsi="Arial" w:cs="Arial"/>
                <w:sz w:val="16"/>
                <w:szCs w:val="16"/>
              </w:rPr>
            </w:pPr>
            <w:r w:rsidRPr="00F57DD7">
              <w:rPr>
                <w:rFonts w:ascii="Arial" w:hAnsi="Arial" w:cs="Arial"/>
                <w:sz w:val="16"/>
                <w:szCs w:val="16"/>
              </w:rPr>
              <w:t>14,164</w:t>
            </w:r>
          </w:p>
        </w:tc>
      </w:tr>
      <w:tr w:rsidR="00F57DD7" w:rsidRPr="00F57DD7" w14:paraId="77A61D92" w14:textId="77777777" w:rsidTr="00F57DD7">
        <w:trPr>
          <w:trHeight w:val="454"/>
          <w:jc w:val="center"/>
        </w:trPr>
        <w:tc>
          <w:tcPr>
            <w:tcW w:w="3052" w:type="dxa"/>
            <w:tcBorders>
              <w:top w:val="nil"/>
              <w:left w:val="nil"/>
              <w:bottom w:val="single" w:sz="4" w:space="0" w:color="auto"/>
              <w:right w:val="nil"/>
            </w:tcBorders>
            <w:shd w:val="clear" w:color="auto" w:fill="auto"/>
            <w:vAlign w:val="bottom"/>
            <w:hideMark/>
          </w:tcPr>
          <w:p w14:paraId="3125EDA1" w14:textId="77777777" w:rsidR="00F57DD7" w:rsidRPr="00F57DD7" w:rsidRDefault="00F57DD7" w:rsidP="00F57DD7">
            <w:pPr>
              <w:spacing w:after="0"/>
              <w:rPr>
                <w:rFonts w:ascii="Arial" w:hAnsi="Arial" w:cs="Arial"/>
                <w:b/>
                <w:bCs/>
                <w:sz w:val="16"/>
                <w:szCs w:val="16"/>
              </w:rPr>
            </w:pPr>
            <w:r w:rsidRPr="00F57DD7">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71A1940"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14,046</w:t>
            </w:r>
          </w:p>
        </w:tc>
        <w:tc>
          <w:tcPr>
            <w:tcW w:w="844" w:type="dxa"/>
            <w:tcBorders>
              <w:top w:val="nil"/>
              <w:left w:val="nil"/>
              <w:bottom w:val="single" w:sz="4" w:space="0" w:color="auto"/>
              <w:right w:val="nil"/>
            </w:tcBorders>
            <w:shd w:val="clear" w:color="000000" w:fill="D9D9D9"/>
            <w:noWrap/>
            <w:vAlign w:val="bottom"/>
            <w:hideMark/>
          </w:tcPr>
          <w:p w14:paraId="5F477078"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13,254</w:t>
            </w:r>
          </w:p>
        </w:tc>
        <w:tc>
          <w:tcPr>
            <w:tcW w:w="861" w:type="dxa"/>
            <w:tcBorders>
              <w:top w:val="nil"/>
              <w:left w:val="nil"/>
              <w:bottom w:val="single" w:sz="4" w:space="0" w:color="auto"/>
              <w:right w:val="nil"/>
            </w:tcBorders>
            <w:shd w:val="clear" w:color="auto" w:fill="auto"/>
            <w:noWrap/>
            <w:vAlign w:val="bottom"/>
            <w:hideMark/>
          </w:tcPr>
          <w:p w14:paraId="52B2A756"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13,707</w:t>
            </w:r>
          </w:p>
        </w:tc>
        <w:tc>
          <w:tcPr>
            <w:tcW w:w="861" w:type="dxa"/>
            <w:tcBorders>
              <w:top w:val="nil"/>
              <w:left w:val="nil"/>
              <w:bottom w:val="single" w:sz="4" w:space="0" w:color="auto"/>
              <w:right w:val="nil"/>
            </w:tcBorders>
            <w:shd w:val="clear" w:color="auto" w:fill="auto"/>
            <w:noWrap/>
            <w:vAlign w:val="bottom"/>
            <w:hideMark/>
          </w:tcPr>
          <w:p w14:paraId="2ACA7A71"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14,164</w:t>
            </w:r>
          </w:p>
        </w:tc>
        <w:tc>
          <w:tcPr>
            <w:tcW w:w="861" w:type="dxa"/>
            <w:tcBorders>
              <w:top w:val="nil"/>
              <w:left w:val="nil"/>
              <w:bottom w:val="single" w:sz="4" w:space="0" w:color="auto"/>
              <w:right w:val="nil"/>
            </w:tcBorders>
            <w:shd w:val="clear" w:color="auto" w:fill="auto"/>
            <w:noWrap/>
            <w:vAlign w:val="bottom"/>
            <w:hideMark/>
          </w:tcPr>
          <w:p w14:paraId="34C7FF9E" w14:textId="77777777" w:rsidR="00F57DD7" w:rsidRPr="00F57DD7" w:rsidRDefault="00F57DD7" w:rsidP="00F57DD7">
            <w:pPr>
              <w:spacing w:after="0"/>
              <w:jc w:val="right"/>
              <w:rPr>
                <w:rFonts w:ascii="Arial" w:hAnsi="Arial" w:cs="Arial"/>
                <w:b/>
                <w:bCs/>
                <w:sz w:val="16"/>
                <w:szCs w:val="16"/>
              </w:rPr>
            </w:pPr>
            <w:r w:rsidRPr="00F57DD7">
              <w:rPr>
                <w:rFonts w:ascii="Arial" w:hAnsi="Arial" w:cs="Arial"/>
                <w:b/>
                <w:bCs/>
                <w:sz w:val="16"/>
                <w:szCs w:val="16"/>
              </w:rPr>
              <w:t>14,621</w:t>
            </w:r>
          </w:p>
        </w:tc>
      </w:tr>
    </w:tbl>
    <w:p w14:paraId="10D11084" w14:textId="77777777" w:rsidR="00F57DD7" w:rsidRDefault="00F57DD7" w:rsidP="00523D7C">
      <w:pPr>
        <w:pStyle w:val="Tablenumberandreference"/>
        <w:rPr>
          <w:color w:val="000000" w:themeColor="text1"/>
        </w:rPr>
      </w:pPr>
      <w:r>
        <w:rPr>
          <w:color w:val="000000" w:themeColor="text1"/>
        </w:rPr>
        <w:br w:type="page"/>
      </w:r>
    </w:p>
    <w:p w14:paraId="08891C5F" w14:textId="57F944CB" w:rsidR="00523D7C" w:rsidRDefault="00BC0659" w:rsidP="00523D7C">
      <w:pPr>
        <w:pStyle w:val="Tablenumberandreference"/>
        <w:rPr>
          <w:color w:val="000000" w:themeColor="text1"/>
        </w:rPr>
      </w:pPr>
      <w:r w:rsidRPr="00191F54">
        <w:rPr>
          <w:color w:val="000000" w:themeColor="text1"/>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E27B2E" w:rsidRPr="00E27B2E" w14:paraId="79C462DA" w14:textId="77777777" w:rsidTr="00C17567">
        <w:trPr>
          <w:trHeight w:val="765"/>
          <w:jc w:val="center"/>
        </w:trPr>
        <w:tc>
          <w:tcPr>
            <w:tcW w:w="2860" w:type="dxa"/>
            <w:tcBorders>
              <w:top w:val="single" w:sz="4" w:space="0" w:color="auto"/>
              <w:left w:val="nil"/>
              <w:bottom w:val="nil"/>
              <w:right w:val="nil"/>
            </w:tcBorders>
            <w:shd w:val="clear" w:color="auto" w:fill="auto"/>
            <w:hideMark/>
          </w:tcPr>
          <w:p w14:paraId="1FD53A82" w14:textId="77777777" w:rsidR="00E27B2E" w:rsidRPr="00E27B2E" w:rsidRDefault="00E27B2E" w:rsidP="00C17567">
            <w:pPr>
              <w:spacing w:before="40" w:after="0"/>
              <w:jc w:val="right"/>
              <w:rPr>
                <w:rFonts w:ascii="Arial" w:hAnsi="Arial" w:cs="Arial"/>
                <w:color w:val="auto"/>
                <w:sz w:val="16"/>
                <w:szCs w:val="16"/>
              </w:rPr>
            </w:pPr>
            <w:r w:rsidRPr="00E27B2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2323ED4" w14:textId="26539731" w:rsidR="00E27B2E" w:rsidRPr="00E27B2E" w:rsidRDefault="004C6E42" w:rsidP="00C17567">
            <w:pPr>
              <w:spacing w:before="40" w:after="0"/>
              <w:jc w:val="right"/>
              <w:rPr>
                <w:rFonts w:ascii="Arial" w:hAnsi="Arial" w:cs="Arial"/>
                <w:b/>
                <w:bCs/>
                <w:color w:val="auto"/>
                <w:sz w:val="16"/>
                <w:szCs w:val="16"/>
              </w:rPr>
            </w:pPr>
            <w:r>
              <w:rPr>
                <w:rFonts w:ascii="Arial" w:hAnsi="Arial" w:cs="Arial"/>
                <w:b/>
                <w:bCs/>
                <w:color w:val="auto"/>
                <w:sz w:val="16"/>
                <w:szCs w:val="16"/>
              </w:rPr>
              <w:t>2021–</w:t>
            </w:r>
            <w:r w:rsidR="00E27B2E" w:rsidRPr="00E27B2E">
              <w:rPr>
                <w:rFonts w:ascii="Arial" w:hAnsi="Arial" w:cs="Arial"/>
                <w:b/>
                <w:bCs/>
                <w:color w:val="auto"/>
                <w:sz w:val="16"/>
                <w:szCs w:val="16"/>
              </w:rPr>
              <w:t>22</w:t>
            </w:r>
            <w:r w:rsidR="00E27B2E" w:rsidRPr="00E27B2E">
              <w:rPr>
                <w:rFonts w:ascii="Arial" w:hAnsi="Arial" w:cs="Arial"/>
                <w:b/>
                <w:bCs/>
                <w:color w:val="auto"/>
                <w:sz w:val="16"/>
                <w:szCs w:val="16"/>
              </w:rPr>
              <w:br/>
              <w:t>Estimated actual</w:t>
            </w:r>
            <w:r w:rsidR="00E27B2E" w:rsidRPr="00E27B2E">
              <w:rPr>
                <w:rFonts w:ascii="Arial" w:hAnsi="Arial" w:cs="Arial"/>
                <w:b/>
                <w:bCs/>
                <w:color w:val="auto"/>
                <w:sz w:val="16"/>
                <w:szCs w:val="16"/>
              </w:rPr>
              <w:br/>
            </w:r>
            <w:r w:rsidR="00E27B2E" w:rsidRPr="00E27B2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6CA12E4B" w14:textId="7F04FF64" w:rsidR="00E27B2E" w:rsidRPr="00E27B2E" w:rsidRDefault="004C6E42" w:rsidP="00C17567">
            <w:pPr>
              <w:spacing w:before="40" w:after="0"/>
              <w:jc w:val="right"/>
              <w:rPr>
                <w:rFonts w:ascii="Arial" w:hAnsi="Arial" w:cs="Arial"/>
                <w:b/>
                <w:bCs/>
                <w:color w:val="auto"/>
                <w:sz w:val="16"/>
                <w:szCs w:val="16"/>
              </w:rPr>
            </w:pPr>
            <w:r>
              <w:rPr>
                <w:rFonts w:ascii="Arial" w:hAnsi="Arial" w:cs="Arial"/>
                <w:b/>
                <w:bCs/>
                <w:color w:val="auto"/>
                <w:sz w:val="16"/>
                <w:szCs w:val="16"/>
              </w:rPr>
              <w:t>2022–</w:t>
            </w:r>
            <w:r w:rsidR="00E27B2E" w:rsidRPr="00E27B2E">
              <w:rPr>
                <w:rFonts w:ascii="Arial" w:hAnsi="Arial" w:cs="Arial"/>
                <w:b/>
                <w:bCs/>
                <w:color w:val="auto"/>
                <w:sz w:val="16"/>
                <w:szCs w:val="16"/>
              </w:rPr>
              <w:t>23</w:t>
            </w:r>
            <w:r w:rsidR="00E27B2E" w:rsidRPr="00E27B2E">
              <w:rPr>
                <w:rFonts w:ascii="Arial" w:hAnsi="Arial" w:cs="Arial"/>
                <w:b/>
                <w:bCs/>
                <w:color w:val="auto"/>
                <w:sz w:val="16"/>
                <w:szCs w:val="16"/>
              </w:rPr>
              <w:br/>
              <w:t xml:space="preserve">Budget </w:t>
            </w:r>
            <w:r w:rsidR="00E27B2E" w:rsidRPr="00E27B2E">
              <w:rPr>
                <w:rFonts w:ascii="Arial" w:hAnsi="Arial" w:cs="Arial"/>
                <w:b/>
                <w:bCs/>
                <w:color w:val="auto"/>
                <w:sz w:val="16"/>
                <w:szCs w:val="16"/>
              </w:rPr>
              <w:br/>
            </w:r>
            <w:r w:rsidR="00E27B2E" w:rsidRPr="00E27B2E">
              <w:rPr>
                <w:rFonts w:ascii="Arial" w:hAnsi="Arial" w:cs="Arial"/>
                <w:b/>
                <w:bCs/>
                <w:color w:val="auto"/>
                <w:sz w:val="16"/>
                <w:szCs w:val="16"/>
              </w:rPr>
              <w:br/>
            </w:r>
            <w:r w:rsidR="00E27B2E" w:rsidRPr="00E27B2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7E79E6EF" w14:textId="4D698B50" w:rsidR="00E27B2E" w:rsidRPr="00E27B2E" w:rsidRDefault="004C6E42" w:rsidP="00C17567">
            <w:pPr>
              <w:spacing w:before="40" w:after="0"/>
              <w:jc w:val="right"/>
              <w:rPr>
                <w:rFonts w:ascii="Arial" w:hAnsi="Arial" w:cs="Arial"/>
                <w:b/>
                <w:bCs/>
                <w:color w:val="auto"/>
                <w:sz w:val="16"/>
                <w:szCs w:val="16"/>
              </w:rPr>
            </w:pPr>
            <w:r>
              <w:rPr>
                <w:rFonts w:ascii="Arial" w:hAnsi="Arial" w:cs="Arial"/>
                <w:b/>
                <w:bCs/>
                <w:color w:val="auto"/>
                <w:sz w:val="16"/>
                <w:szCs w:val="16"/>
              </w:rPr>
              <w:t>2023–</w:t>
            </w:r>
            <w:r w:rsidR="00E27B2E" w:rsidRPr="00E27B2E">
              <w:rPr>
                <w:rFonts w:ascii="Arial" w:hAnsi="Arial" w:cs="Arial"/>
                <w:b/>
                <w:bCs/>
                <w:color w:val="auto"/>
                <w:sz w:val="16"/>
                <w:szCs w:val="16"/>
              </w:rPr>
              <w:t>24</w:t>
            </w:r>
            <w:r w:rsidR="00E27B2E" w:rsidRPr="00E27B2E">
              <w:rPr>
                <w:rFonts w:ascii="Arial" w:hAnsi="Arial" w:cs="Arial"/>
                <w:b/>
                <w:bCs/>
                <w:color w:val="auto"/>
                <w:sz w:val="16"/>
                <w:szCs w:val="16"/>
              </w:rPr>
              <w:br/>
              <w:t>Forward estimate</w:t>
            </w:r>
            <w:r w:rsidR="00E27B2E" w:rsidRPr="00E27B2E">
              <w:rPr>
                <w:rFonts w:ascii="Arial" w:hAnsi="Arial" w:cs="Arial"/>
                <w:b/>
                <w:bCs/>
                <w:color w:val="auto"/>
                <w:sz w:val="16"/>
                <w:szCs w:val="16"/>
              </w:rPr>
              <w:br/>
            </w:r>
            <w:r w:rsidR="00E27B2E" w:rsidRPr="00E27B2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259D4A0C" w14:textId="0EC5C41B" w:rsidR="00E27B2E" w:rsidRPr="00E27B2E" w:rsidRDefault="004C6E42" w:rsidP="00C17567">
            <w:pPr>
              <w:spacing w:before="40" w:after="0"/>
              <w:jc w:val="right"/>
              <w:rPr>
                <w:rFonts w:ascii="Arial" w:hAnsi="Arial" w:cs="Arial"/>
                <w:b/>
                <w:bCs/>
                <w:color w:val="auto"/>
                <w:sz w:val="16"/>
                <w:szCs w:val="16"/>
              </w:rPr>
            </w:pPr>
            <w:r>
              <w:rPr>
                <w:rFonts w:ascii="Arial" w:hAnsi="Arial" w:cs="Arial"/>
                <w:b/>
                <w:bCs/>
                <w:color w:val="auto"/>
                <w:sz w:val="16"/>
                <w:szCs w:val="16"/>
              </w:rPr>
              <w:t>2024–</w:t>
            </w:r>
            <w:r w:rsidR="00E27B2E" w:rsidRPr="00E27B2E">
              <w:rPr>
                <w:rFonts w:ascii="Arial" w:hAnsi="Arial" w:cs="Arial"/>
                <w:b/>
                <w:bCs/>
                <w:color w:val="auto"/>
                <w:sz w:val="16"/>
                <w:szCs w:val="16"/>
              </w:rPr>
              <w:t>25</w:t>
            </w:r>
            <w:r w:rsidR="00E27B2E" w:rsidRPr="00E27B2E">
              <w:rPr>
                <w:rFonts w:ascii="Arial" w:hAnsi="Arial" w:cs="Arial"/>
                <w:b/>
                <w:bCs/>
                <w:color w:val="auto"/>
                <w:sz w:val="16"/>
                <w:szCs w:val="16"/>
              </w:rPr>
              <w:br/>
              <w:t>Forward estimate</w:t>
            </w:r>
            <w:r w:rsidR="00E27B2E" w:rsidRPr="00E27B2E">
              <w:rPr>
                <w:rFonts w:ascii="Arial" w:hAnsi="Arial" w:cs="Arial"/>
                <w:b/>
                <w:bCs/>
                <w:color w:val="auto"/>
                <w:sz w:val="16"/>
                <w:szCs w:val="16"/>
              </w:rPr>
              <w:br/>
            </w:r>
            <w:r w:rsidR="00E27B2E" w:rsidRPr="00E27B2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1E2E8581" w14:textId="6204BBE0" w:rsidR="00E27B2E" w:rsidRPr="00E27B2E" w:rsidRDefault="004C6E42" w:rsidP="00C17567">
            <w:pPr>
              <w:spacing w:before="40" w:after="0"/>
              <w:jc w:val="right"/>
              <w:rPr>
                <w:rFonts w:ascii="Arial" w:hAnsi="Arial" w:cs="Arial"/>
                <w:b/>
                <w:bCs/>
                <w:color w:val="auto"/>
                <w:sz w:val="16"/>
                <w:szCs w:val="16"/>
              </w:rPr>
            </w:pPr>
            <w:r>
              <w:rPr>
                <w:rFonts w:ascii="Arial" w:hAnsi="Arial" w:cs="Arial"/>
                <w:b/>
                <w:bCs/>
                <w:color w:val="auto"/>
                <w:sz w:val="16"/>
                <w:szCs w:val="16"/>
              </w:rPr>
              <w:t>2025–</w:t>
            </w:r>
            <w:r w:rsidR="00E27B2E" w:rsidRPr="00E27B2E">
              <w:rPr>
                <w:rFonts w:ascii="Arial" w:hAnsi="Arial" w:cs="Arial"/>
                <w:b/>
                <w:bCs/>
                <w:color w:val="auto"/>
                <w:sz w:val="16"/>
                <w:szCs w:val="16"/>
              </w:rPr>
              <w:t>26</w:t>
            </w:r>
            <w:r w:rsidR="00E27B2E" w:rsidRPr="00E27B2E">
              <w:rPr>
                <w:rFonts w:ascii="Arial" w:hAnsi="Arial" w:cs="Arial"/>
                <w:b/>
                <w:bCs/>
                <w:color w:val="auto"/>
                <w:sz w:val="16"/>
                <w:szCs w:val="16"/>
              </w:rPr>
              <w:br/>
              <w:t>Forward estimate</w:t>
            </w:r>
            <w:r w:rsidR="00E27B2E" w:rsidRPr="00E27B2E">
              <w:rPr>
                <w:rFonts w:ascii="Arial" w:hAnsi="Arial" w:cs="Arial"/>
                <w:b/>
                <w:bCs/>
                <w:color w:val="auto"/>
                <w:sz w:val="16"/>
                <w:szCs w:val="16"/>
              </w:rPr>
              <w:br/>
            </w:r>
            <w:r w:rsidR="00E27B2E" w:rsidRPr="00E27B2E">
              <w:rPr>
                <w:rFonts w:ascii="Arial" w:hAnsi="Arial" w:cs="Arial"/>
                <w:color w:val="auto"/>
                <w:sz w:val="16"/>
                <w:szCs w:val="16"/>
              </w:rPr>
              <w:t>$'000</w:t>
            </w:r>
          </w:p>
        </w:tc>
      </w:tr>
      <w:tr w:rsidR="00E27B2E" w:rsidRPr="00E27B2E" w14:paraId="067DF826"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7E113FD9" w14:textId="77777777" w:rsidR="00E27B2E" w:rsidRPr="00E27B2E" w:rsidRDefault="00E27B2E" w:rsidP="00E27B2E">
            <w:pPr>
              <w:spacing w:after="0"/>
              <w:rPr>
                <w:rFonts w:ascii="Arial" w:hAnsi="Arial" w:cs="Arial"/>
                <w:b/>
                <w:bCs/>
                <w:sz w:val="16"/>
                <w:szCs w:val="16"/>
              </w:rPr>
            </w:pPr>
            <w:r w:rsidRPr="00E27B2E">
              <w:rPr>
                <w:rFonts w:ascii="Arial" w:hAnsi="Arial" w:cs="Arial"/>
                <w:b/>
                <w:bCs/>
                <w:sz w:val="16"/>
                <w:szCs w:val="16"/>
              </w:rPr>
              <w:t>CAPITAL APPROPRIATIONS</w:t>
            </w:r>
          </w:p>
        </w:tc>
        <w:tc>
          <w:tcPr>
            <w:tcW w:w="900" w:type="dxa"/>
            <w:tcBorders>
              <w:top w:val="single" w:sz="4" w:space="0" w:color="auto"/>
              <w:left w:val="nil"/>
              <w:bottom w:val="nil"/>
              <w:right w:val="nil"/>
            </w:tcBorders>
            <w:shd w:val="clear" w:color="auto" w:fill="auto"/>
            <w:noWrap/>
            <w:vAlign w:val="bottom"/>
            <w:hideMark/>
          </w:tcPr>
          <w:p w14:paraId="76CB755E"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76629BFE"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007616D"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763159B4"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5E4B36B0"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r>
      <w:tr w:rsidR="00E27B2E" w:rsidRPr="00E27B2E" w14:paraId="24CD1883"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29A58719" w14:textId="77777777" w:rsidR="00E27B2E" w:rsidRPr="00E27B2E" w:rsidRDefault="00E27B2E" w:rsidP="00C17567">
            <w:pPr>
              <w:spacing w:after="0"/>
              <w:ind w:leftChars="75" w:left="150"/>
              <w:rPr>
                <w:rFonts w:ascii="Arial" w:hAnsi="Arial" w:cs="Arial"/>
                <w:sz w:val="16"/>
                <w:szCs w:val="16"/>
              </w:rPr>
            </w:pPr>
            <w:r w:rsidRPr="00E27B2E">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4E3C93E3"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05024216"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2ADF892"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725C3D2"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ED60D67"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r>
      <w:tr w:rsidR="00E27B2E" w:rsidRPr="00E27B2E" w14:paraId="697AA1AE"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6B32293C" w14:textId="77777777" w:rsidR="00E27B2E" w:rsidRPr="00E27B2E" w:rsidRDefault="00E27B2E" w:rsidP="00C17567">
            <w:pPr>
              <w:spacing w:after="0"/>
              <w:ind w:leftChars="75" w:left="150"/>
              <w:rPr>
                <w:rFonts w:ascii="Arial" w:hAnsi="Arial" w:cs="Arial"/>
                <w:b/>
                <w:bCs/>
                <w:sz w:val="16"/>
                <w:szCs w:val="16"/>
              </w:rPr>
            </w:pPr>
            <w:r w:rsidRPr="00E27B2E">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E64E638"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7FE0E342"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17B50FC"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2DED70C"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9ECB8CE"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r>
      <w:tr w:rsidR="00E27B2E" w:rsidRPr="00E27B2E" w14:paraId="4A969813" w14:textId="77777777" w:rsidTr="00C17567">
        <w:trPr>
          <w:trHeight w:val="454"/>
          <w:jc w:val="center"/>
        </w:trPr>
        <w:tc>
          <w:tcPr>
            <w:tcW w:w="2860" w:type="dxa"/>
            <w:tcBorders>
              <w:top w:val="nil"/>
              <w:left w:val="nil"/>
              <w:bottom w:val="nil"/>
              <w:right w:val="nil"/>
            </w:tcBorders>
            <w:shd w:val="clear" w:color="000000" w:fill="FFFFFF"/>
            <w:vAlign w:val="bottom"/>
            <w:hideMark/>
          </w:tcPr>
          <w:p w14:paraId="2099912A" w14:textId="77777777" w:rsidR="00E27B2E" w:rsidRPr="00E27B2E" w:rsidRDefault="00E27B2E" w:rsidP="00E27B2E">
            <w:pPr>
              <w:spacing w:after="0"/>
              <w:rPr>
                <w:rFonts w:ascii="Arial" w:hAnsi="Arial" w:cs="Arial"/>
                <w:b/>
                <w:bCs/>
                <w:sz w:val="16"/>
                <w:szCs w:val="16"/>
              </w:rPr>
            </w:pPr>
            <w:r w:rsidRPr="00E27B2E">
              <w:rPr>
                <w:rFonts w:ascii="Arial" w:hAnsi="Arial" w:cs="Arial"/>
                <w:b/>
                <w:bCs/>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3E62C2E3" w14:textId="77777777" w:rsidR="00E27B2E" w:rsidRPr="00E27B2E" w:rsidRDefault="00E27B2E" w:rsidP="00E27B2E">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DDB5501"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258FFB4" w14:textId="77777777" w:rsidR="00E27B2E" w:rsidRPr="00E27B2E" w:rsidRDefault="00E27B2E" w:rsidP="00E27B2E">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7B564513"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37A4DBF2"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r>
      <w:tr w:rsidR="00E27B2E" w:rsidRPr="00E27B2E" w14:paraId="54357989"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0E54DD7B" w14:textId="77777777" w:rsidR="00E27B2E" w:rsidRPr="00E27B2E" w:rsidRDefault="00E27B2E" w:rsidP="00C17567">
            <w:pPr>
              <w:spacing w:after="0"/>
              <w:ind w:leftChars="75" w:left="150"/>
              <w:rPr>
                <w:rFonts w:ascii="Arial" w:hAnsi="Arial" w:cs="Arial"/>
                <w:sz w:val="16"/>
                <w:szCs w:val="16"/>
              </w:rPr>
            </w:pPr>
            <w:r w:rsidRPr="00E27B2E">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68C18395"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62E1EB6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010CD6D"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FA57D80"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ACC8C77"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r>
      <w:tr w:rsidR="00E27B2E" w:rsidRPr="00E27B2E" w14:paraId="16EB13E1"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2284617A" w14:textId="77777777" w:rsidR="00E27B2E" w:rsidRPr="00E27B2E" w:rsidRDefault="00E27B2E" w:rsidP="00C17567">
            <w:pPr>
              <w:spacing w:after="0"/>
              <w:ind w:leftChars="75" w:left="150"/>
              <w:rPr>
                <w:rFonts w:ascii="Arial" w:hAnsi="Arial" w:cs="Arial"/>
                <w:b/>
                <w:bCs/>
                <w:sz w:val="16"/>
                <w:szCs w:val="16"/>
              </w:rPr>
            </w:pPr>
            <w:r w:rsidRPr="00E27B2E">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B9C3D97"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43F3B381"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73A3A0C"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FD1C491"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D6E98DB"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r>
      <w:tr w:rsidR="00E27B2E" w:rsidRPr="00E27B2E" w14:paraId="6B28D854" w14:textId="77777777" w:rsidTr="00C17567">
        <w:trPr>
          <w:trHeight w:val="454"/>
          <w:jc w:val="center"/>
        </w:trPr>
        <w:tc>
          <w:tcPr>
            <w:tcW w:w="2860" w:type="dxa"/>
            <w:tcBorders>
              <w:top w:val="nil"/>
              <w:left w:val="nil"/>
              <w:bottom w:val="nil"/>
              <w:right w:val="nil"/>
            </w:tcBorders>
            <w:shd w:val="clear" w:color="000000" w:fill="FFFFFF"/>
            <w:vAlign w:val="bottom"/>
            <w:hideMark/>
          </w:tcPr>
          <w:p w14:paraId="53665E34" w14:textId="77777777" w:rsidR="00E27B2E" w:rsidRPr="00E27B2E" w:rsidRDefault="00E27B2E" w:rsidP="00E27B2E">
            <w:pPr>
              <w:spacing w:after="0"/>
              <w:rPr>
                <w:rFonts w:ascii="Arial" w:hAnsi="Arial" w:cs="Arial"/>
                <w:b/>
                <w:bCs/>
                <w:sz w:val="16"/>
                <w:szCs w:val="16"/>
              </w:rPr>
            </w:pPr>
            <w:r w:rsidRPr="00E27B2E">
              <w:rPr>
                <w:rFonts w:ascii="Arial" w:hAnsi="Arial" w:cs="Arial"/>
                <w:b/>
                <w:bCs/>
                <w:sz w:val="16"/>
                <w:szCs w:val="16"/>
              </w:rPr>
              <w:t>PURCHASE OF NON-FINANCIAL ASSETS</w:t>
            </w:r>
          </w:p>
        </w:tc>
        <w:tc>
          <w:tcPr>
            <w:tcW w:w="900" w:type="dxa"/>
            <w:tcBorders>
              <w:top w:val="nil"/>
              <w:left w:val="nil"/>
              <w:bottom w:val="nil"/>
              <w:right w:val="nil"/>
            </w:tcBorders>
            <w:shd w:val="clear" w:color="auto" w:fill="auto"/>
            <w:noWrap/>
            <w:vAlign w:val="bottom"/>
            <w:hideMark/>
          </w:tcPr>
          <w:p w14:paraId="1938C4F6" w14:textId="77777777" w:rsidR="00E27B2E" w:rsidRPr="00E27B2E" w:rsidRDefault="00E27B2E" w:rsidP="00E27B2E">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1E8E391"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E6EEF1E" w14:textId="77777777" w:rsidR="00E27B2E" w:rsidRPr="00E27B2E" w:rsidRDefault="00E27B2E" w:rsidP="00E27B2E">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10D829A5"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4FC246F4"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r>
      <w:tr w:rsidR="00E27B2E" w:rsidRPr="00E27B2E" w14:paraId="1CEB02F3" w14:textId="77777777" w:rsidTr="00C17567">
        <w:trPr>
          <w:trHeight w:val="425"/>
          <w:jc w:val="center"/>
        </w:trPr>
        <w:tc>
          <w:tcPr>
            <w:tcW w:w="2860" w:type="dxa"/>
            <w:tcBorders>
              <w:top w:val="nil"/>
              <w:left w:val="nil"/>
              <w:bottom w:val="nil"/>
              <w:right w:val="nil"/>
            </w:tcBorders>
            <w:shd w:val="clear" w:color="auto" w:fill="auto"/>
            <w:vAlign w:val="bottom"/>
            <w:hideMark/>
          </w:tcPr>
          <w:p w14:paraId="18FFF89E" w14:textId="77777777" w:rsidR="00E27B2E" w:rsidRPr="00E27B2E" w:rsidRDefault="00E27B2E" w:rsidP="00C17567">
            <w:pPr>
              <w:spacing w:after="0"/>
              <w:ind w:leftChars="75" w:left="150"/>
              <w:rPr>
                <w:rFonts w:ascii="Arial" w:hAnsi="Arial" w:cs="Arial"/>
                <w:color w:val="auto"/>
                <w:sz w:val="16"/>
                <w:szCs w:val="16"/>
              </w:rPr>
            </w:pPr>
            <w:r w:rsidRPr="00E27B2E">
              <w:rPr>
                <w:rFonts w:ascii="Arial" w:hAnsi="Arial" w:cs="Arial"/>
                <w:color w:val="auto"/>
                <w:sz w:val="16"/>
                <w:szCs w:val="16"/>
              </w:rPr>
              <w:t xml:space="preserve">Funded by capital appropriations - equity injection </w:t>
            </w:r>
            <w:r w:rsidRPr="00E27B2E">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2EF180AB"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01E1ED9A"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364D960"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EF42D10"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871B2F3"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r>
      <w:tr w:rsidR="00E27B2E" w:rsidRPr="00E27B2E" w14:paraId="22A3E810" w14:textId="77777777" w:rsidTr="00C17567">
        <w:trPr>
          <w:trHeight w:val="425"/>
          <w:jc w:val="center"/>
        </w:trPr>
        <w:tc>
          <w:tcPr>
            <w:tcW w:w="2860" w:type="dxa"/>
            <w:tcBorders>
              <w:top w:val="nil"/>
              <w:left w:val="nil"/>
              <w:bottom w:val="nil"/>
              <w:right w:val="nil"/>
            </w:tcBorders>
            <w:shd w:val="clear" w:color="000000" w:fill="FFFFFF"/>
            <w:vAlign w:val="bottom"/>
            <w:hideMark/>
          </w:tcPr>
          <w:p w14:paraId="7EDCE29D" w14:textId="77777777" w:rsidR="00E27B2E" w:rsidRPr="00E27B2E" w:rsidRDefault="00E27B2E" w:rsidP="00C17567">
            <w:pPr>
              <w:spacing w:after="0"/>
              <w:ind w:leftChars="75" w:left="150"/>
              <w:rPr>
                <w:rFonts w:ascii="Arial" w:hAnsi="Arial" w:cs="Arial"/>
                <w:color w:val="auto"/>
                <w:sz w:val="16"/>
                <w:szCs w:val="16"/>
              </w:rPr>
            </w:pPr>
            <w:r w:rsidRPr="00E27B2E">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7AEEA60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2,900</w:t>
            </w:r>
          </w:p>
        </w:tc>
        <w:tc>
          <w:tcPr>
            <w:tcW w:w="900" w:type="dxa"/>
            <w:tcBorders>
              <w:top w:val="nil"/>
              <w:left w:val="nil"/>
              <w:bottom w:val="nil"/>
              <w:right w:val="nil"/>
            </w:tcBorders>
            <w:shd w:val="clear" w:color="000000" w:fill="D9D9D9"/>
            <w:noWrap/>
            <w:vAlign w:val="bottom"/>
            <w:hideMark/>
          </w:tcPr>
          <w:p w14:paraId="30646AA2"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1,000</w:t>
            </w:r>
          </w:p>
        </w:tc>
        <w:tc>
          <w:tcPr>
            <w:tcW w:w="900" w:type="dxa"/>
            <w:tcBorders>
              <w:top w:val="nil"/>
              <w:left w:val="nil"/>
              <w:bottom w:val="nil"/>
              <w:right w:val="nil"/>
            </w:tcBorders>
            <w:shd w:val="clear" w:color="auto" w:fill="auto"/>
            <w:noWrap/>
            <w:vAlign w:val="bottom"/>
            <w:hideMark/>
          </w:tcPr>
          <w:p w14:paraId="175B87B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D72608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7EE0E36"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r>
      <w:tr w:rsidR="00E27B2E" w:rsidRPr="00E27B2E" w14:paraId="6FD62E6C" w14:textId="77777777" w:rsidTr="00C17567">
        <w:trPr>
          <w:trHeight w:val="425"/>
          <w:jc w:val="center"/>
        </w:trPr>
        <w:tc>
          <w:tcPr>
            <w:tcW w:w="2860" w:type="dxa"/>
            <w:tcBorders>
              <w:top w:val="nil"/>
              <w:left w:val="nil"/>
              <w:bottom w:val="nil"/>
              <w:right w:val="nil"/>
            </w:tcBorders>
            <w:shd w:val="clear" w:color="000000" w:fill="FFFFFF"/>
            <w:vAlign w:val="bottom"/>
            <w:hideMark/>
          </w:tcPr>
          <w:p w14:paraId="050A7B5E" w14:textId="77777777" w:rsidR="00E27B2E" w:rsidRPr="00E27B2E" w:rsidRDefault="00E27B2E" w:rsidP="00C17567">
            <w:pPr>
              <w:spacing w:after="0"/>
              <w:ind w:leftChars="75" w:left="150"/>
              <w:rPr>
                <w:rFonts w:ascii="Arial" w:hAnsi="Arial" w:cs="Arial"/>
                <w:b/>
                <w:bCs/>
                <w:sz w:val="16"/>
                <w:szCs w:val="16"/>
              </w:rPr>
            </w:pPr>
            <w:r w:rsidRPr="00E27B2E">
              <w:rPr>
                <w:rFonts w:ascii="Arial" w:hAnsi="Arial" w:cs="Arial"/>
                <w:b/>
                <w:bCs/>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7E2B788C"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2,900</w:t>
            </w:r>
          </w:p>
        </w:tc>
        <w:tc>
          <w:tcPr>
            <w:tcW w:w="900" w:type="dxa"/>
            <w:tcBorders>
              <w:top w:val="nil"/>
              <w:left w:val="nil"/>
              <w:bottom w:val="single" w:sz="4" w:space="0" w:color="auto"/>
              <w:right w:val="nil"/>
            </w:tcBorders>
            <w:shd w:val="clear" w:color="000000" w:fill="D9D9D9"/>
            <w:noWrap/>
            <w:vAlign w:val="bottom"/>
            <w:hideMark/>
          </w:tcPr>
          <w:p w14:paraId="64BC83ED"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1,000</w:t>
            </w:r>
          </w:p>
        </w:tc>
        <w:tc>
          <w:tcPr>
            <w:tcW w:w="900" w:type="dxa"/>
            <w:tcBorders>
              <w:top w:val="nil"/>
              <w:left w:val="nil"/>
              <w:bottom w:val="single" w:sz="4" w:space="0" w:color="auto"/>
              <w:right w:val="nil"/>
            </w:tcBorders>
            <w:shd w:val="clear" w:color="auto" w:fill="auto"/>
            <w:noWrap/>
            <w:vAlign w:val="bottom"/>
            <w:hideMark/>
          </w:tcPr>
          <w:p w14:paraId="2F1DF8AF"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BDA2665"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6AFFBBD8"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r>
      <w:tr w:rsidR="00E27B2E" w:rsidRPr="00E27B2E" w14:paraId="0483B6CD" w14:textId="77777777" w:rsidTr="00C17567">
        <w:trPr>
          <w:trHeight w:val="624"/>
          <w:jc w:val="center"/>
        </w:trPr>
        <w:tc>
          <w:tcPr>
            <w:tcW w:w="2860" w:type="dxa"/>
            <w:tcBorders>
              <w:top w:val="nil"/>
              <w:left w:val="nil"/>
              <w:bottom w:val="nil"/>
              <w:right w:val="nil"/>
            </w:tcBorders>
            <w:shd w:val="clear" w:color="000000" w:fill="FFFFFF"/>
            <w:vAlign w:val="bottom"/>
            <w:hideMark/>
          </w:tcPr>
          <w:p w14:paraId="06BFE73D" w14:textId="77777777" w:rsidR="00E27B2E" w:rsidRPr="00E27B2E" w:rsidRDefault="00E27B2E" w:rsidP="00E27B2E">
            <w:pPr>
              <w:spacing w:after="0"/>
              <w:rPr>
                <w:rFonts w:ascii="Arial" w:hAnsi="Arial" w:cs="Arial"/>
                <w:b/>
                <w:bCs/>
                <w:sz w:val="16"/>
                <w:szCs w:val="16"/>
              </w:rPr>
            </w:pPr>
            <w:r w:rsidRPr="00E27B2E">
              <w:rPr>
                <w:rFonts w:ascii="Arial" w:hAnsi="Arial" w:cs="Arial"/>
                <w:b/>
                <w:bCs/>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B16C856" w14:textId="77777777" w:rsidR="00E27B2E" w:rsidRPr="00E27B2E" w:rsidRDefault="00E27B2E" w:rsidP="00E27B2E">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4102F10"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BEA258B" w14:textId="77777777" w:rsidR="00E27B2E" w:rsidRPr="00E27B2E" w:rsidRDefault="00E27B2E" w:rsidP="00E27B2E">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0AF3031" w14:textId="77777777" w:rsidR="00E27B2E" w:rsidRPr="00E27B2E" w:rsidRDefault="00E27B2E" w:rsidP="00E27B2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BD8BAD1" w14:textId="77777777" w:rsidR="00E27B2E" w:rsidRPr="00E27B2E" w:rsidRDefault="00E27B2E" w:rsidP="00E27B2E">
            <w:pPr>
              <w:spacing w:after="0"/>
              <w:jc w:val="right"/>
              <w:rPr>
                <w:rFonts w:ascii="Times New Roman" w:hAnsi="Times New Roman"/>
                <w:color w:val="auto"/>
              </w:rPr>
            </w:pPr>
          </w:p>
        </w:tc>
      </w:tr>
      <w:tr w:rsidR="00E27B2E" w:rsidRPr="00E27B2E" w14:paraId="64E8B8D6" w14:textId="77777777" w:rsidTr="00E27B2E">
        <w:trPr>
          <w:trHeight w:val="225"/>
          <w:jc w:val="center"/>
        </w:trPr>
        <w:tc>
          <w:tcPr>
            <w:tcW w:w="2860" w:type="dxa"/>
            <w:tcBorders>
              <w:top w:val="nil"/>
              <w:left w:val="nil"/>
              <w:bottom w:val="nil"/>
              <w:right w:val="nil"/>
            </w:tcBorders>
            <w:shd w:val="clear" w:color="000000" w:fill="FFFFFF"/>
            <w:noWrap/>
            <w:vAlign w:val="bottom"/>
            <w:hideMark/>
          </w:tcPr>
          <w:p w14:paraId="4C0885E7" w14:textId="77777777" w:rsidR="00E27B2E" w:rsidRPr="00E27B2E" w:rsidRDefault="00E27B2E" w:rsidP="00C17567">
            <w:pPr>
              <w:spacing w:after="0"/>
              <w:ind w:leftChars="75" w:left="150"/>
              <w:rPr>
                <w:rFonts w:ascii="Arial" w:hAnsi="Arial" w:cs="Arial"/>
                <w:sz w:val="16"/>
                <w:szCs w:val="16"/>
              </w:rPr>
            </w:pPr>
            <w:r w:rsidRPr="00E27B2E">
              <w:rPr>
                <w:rFonts w:ascii="Arial" w:hAnsi="Arial" w:cs="Arial"/>
                <w:sz w:val="16"/>
                <w:szCs w:val="16"/>
              </w:rPr>
              <w:t>Total purchases</w:t>
            </w:r>
          </w:p>
        </w:tc>
        <w:tc>
          <w:tcPr>
            <w:tcW w:w="900" w:type="dxa"/>
            <w:tcBorders>
              <w:top w:val="nil"/>
              <w:left w:val="nil"/>
              <w:bottom w:val="nil"/>
              <w:right w:val="nil"/>
            </w:tcBorders>
            <w:shd w:val="clear" w:color="auto" w:fill="auto"/>
            <w:noWrap/>
            <w:vAlign w:val="bottom"/>
            <w:hideMark/>
          </w:tcPr>
          <w:p w14:paraId="7E05C7EE"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2,900</w:t>
            </w:r>
          </w:p>
        </w:tc>
        <w:tc>
          <w:tcPr>
            <w:tcW w:w="900" w:type="dxa"/>
            <w:tcBorders>
              <w:top w:val="nil"/>
              <w:left w:val="nil"/>
              <w:bottom w:val="nil"/>
              <w:right w:val="nil"/>
            </w:tcBorders>
            <w:shd w:val="clear" w:color="000000" w:fill="D9D9D9"/>
            <w:noWrap/>
            <w:vAlign w:val="bottom"/>
            <w:hideMark/>
          </w:tcPr>
          <w:p w14:paraId="3ED3ED92"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1,000</w:t>
            </w:r>
          </w:p>
        </w:tc>
        <w:tc>
          <w:tcPr>
            <w:tcW w:w="900" w:type="dxa"/>
            <w:tcBorders>
              <w:top w:val="nil"/>
              <w:left w:val="nil"/>
              <w:bottom w:val="nil"/>
              <w:right w:val="nil"/>
            </w:tcBorders>
            <w:shd w:val="clear" w:color="auto" w:fill="auto"/>
            <w:noWrap/>
            <w:vAlign w:val="bottom"/>
            <w:hideMark/>
          </w:tcPr>
          <w:p w14:paraId="634DDA7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000000" w:fill="FFFFFF"/>
            <w:noWrap/>
            <w:vAlign w:val="bottom"/>
            <w:hideMark/>
          </w:tcPr>
          <w:p w14:paraId="3CC32508"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c>
          <w:tcPr>
            <w:tcW w:w="900" w:type="dxa"/>
            <w:tcBorders>
              <w:top w:val="nil"/>
              <w:left w:val="nil"/>
              <w:bottom w:val="nil"/>
              <w:right w:val="nil"/>
            </w:tcBorders>
            <w:shd w:val="clear" w:color="000000" w:fill="FFFFFF"/>
            <w:noWrap/>
            <w:vAlign w:val="bottom"/>
            <w:hideMark/>
          </w:tcPr>
          <w:p w14:paraId="25706BEA" w14:textId="77777777" w:rsidR="00E27B2E" w:rsidRPr="00E27B2E" w:rsidRDefault="00E27B2E" w:rsidP="00E27B2E">
            <w:pPr>
              <w:spacing w:after="0"/>
              <w:jc w:val="right"/>
              <w:rPr>
                <w:rFonts w:ascii="Arial" w:hAnsi="Arial" w:cs="Arial"/>
                <w:sz w:val="16"/>
                <w:szCs w:val="16"/>
              </w:rPr>
            </w:pPr>
            <w:r w:rsidRPr="00E27B2E">
              <w:rPr>
                <w:rFonts w:ascii="Arial" w:hAnsi="Arial" w:cs="Arial"/>
                <w:sz w:val="16"/>
                <w:szCs w:val="16"/>
              </w:rPr>
              <w:t>-</w:t>
            </w:r>
          </w:p>
        </w:tc>
      </w:tr>
      <w:tr w:rsidR="00E27B2E" w:rsidRPr="00E27B2E" w14:paraId="1938ADDE" w14:textId="77777777" w:rsidTr="00C17567">
        <w:trPr>
          <w:trHeight w:val="425"/>
          <w:jc w:val="center"/>
        </w:trPr>
        <w:tc>
          <w:tcPr>
            <w:tcW w:w="2860" w:type="dxa"/>
            <w:tcBorders>
              <w:top w:val="nil"/>
              <w:left w:val="nil"/>
              <w:bottom w:val="single" w:sz="4" w:space="0" w:color="auto"/>
              <w:right w:val="nil"/>
            </w:tcBorders>
            <w:shd w:val="clear" w:color="000000" w:fill="FFFFFF"/>
            <w:vAlign w:val="bottom"/>
            <w:hideMark/>
          </w:tcPr>
          <w:p w14:paraId="4F07D8DC" w14:textId="77777777" w:rsidR="00E27B2E" w:rsidRPr="00E27B2E" w:rsidRDefault="00E27B2E" w:rsidP="00C17567">
            <w:pPr>
              <w:spacing w:after="0"/>
              <w:ind w:leftChars="75" w:left="150"/>
              <w:rPr>
                <w:rFonts w:ascii="Arial" w:hAnsi="Arial" w:cs="Arial"/>
                <w:b/>
                <w:bCs/>
                <w:color w:val="auto"/>
                <w:sz w:val="16"/>
                <w:szCs w:val="16"/>
              </w:rPr>
            </w:pPr>
            <w:r w:rsidRPr="00E27B2E">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7B175812" w14:textId="77777777" w:rsidR="00E27B2E" w:rsidRPr="00E27B2E" w:rsidRDefault="00E27B2E" w:rsidP="00E27B2E">
            <w:pPr>
              <w:spacing w:after="0"/>
              <w:jc w:val="right"/>
              <w:rPr>
                <w:rFonts w:ascii="Arial" w:hAnsi="Arial" w:cs="Arial"/>
                <w:b/>
                <w:bCs/>
                <w:color w:val="auto"/>
                <w:sz w:val="16"/>
                <w:szCs w:val="16"/>
              </w:rPr>
            </w:pPr>
            <w:r w:rsidRPr="00E27B2E">
              <w:rPr>
                <w:rFonts w:ascii="Arial" w:hAnsi="Arial" w:cs="Arial"/>
                <w:b/>
                <w:bCs/>
                <w:color w:val="auto"/>
                <w:sz w:val="16"/>
                <w:szCs w:val="16"/>
              </w:rPr>
              <w:t>2,900</w:t>
            </w:r>
          </w:p>
        </w:tc>
        <w:tc>
          <w:tcPr>
            <w:tcW w:w="900" w:type="dxa"/>
            <w:tcBorders>
              <w:top w:val="nil"/>
              <w:left w:val="nil"/>
              <w:bottom w:val="single" w:sz="4" w:space="0" w:color="auto"/>
              <w:right w:val="nil"/>
            </w:tcBorders>
            <w:shd w:val="clear" w:color="000000" w:fill="D9D9D9"/>
            <w:noWrap/>
            <w:vAlign w:val="bottom"/>
            <w:hideMark/>
          </w:tcPr>
          <w:p w14:paraId="499A96CF"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1,000</w:t>
            </w:r>
          </w:p>
        </w:tc>
        <w:tc>
          <w:tcPr>
            <w:tcW w:w="900" w:type="dxa"/>
            <w:tcBorders>
              <w:top w:val="nil"/>
              <w:left w:val="nil"/>
              <w:bottom w:val="single" w:sz="4" w:space="0" w:color="auto"/>
              <w:right w:val="nil"/>
            </w:tcBorders>
            <w:shd w:val="clear" w:color="auto" w:fill="auto"/>
            <w:noWrap/>
            <w:vAlign w:val="bottom"/>
            <w:hideMark/>
          </w:tcPr>
          <w:p w14:paraId="4A986F2C" w14:textId="77777777" w:rsidR="00E27B2E" w:rsidRPr="00E27B2E" w:rsidRDefault="00E27B2E" w:rsidP="00E27B2E">
            <w:pPr>
              <w:spacing w:after="0"/>
              <w:jc w:val="right"/>
              <w:rPr>
                <w:rFonts w:ascii="Arial" w:hAnsi="Arial" w:cs="Arial"/>
                <w:b/>
                <w:bCs/>
                <w:sz w:val="16"/>
                <w:szCs w:val="16"/>
              </w:rPr>
            </w:pPr>
            <w:r w:rsidRPr="00E27B2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4EDBB02" w14:textId="77777777" w:rsidR="00E27B2E" w:rsidRPr="00E27B2E" w:rsidRDefault="00E27B2E" w:rsidP="00E27B2E">
            <w:pPr>
              <w:spacing w:after="0"/>
              <w:jc w:val="right"/>
              <w:rPr>
                <w:rFonts w:ascii="Arial" w:hAnsi="Arial" w:cs="Arial"/>
                <w:b/>
                <w:bCs/>
                <w:color w:val="auto"/>
                <w:sz w:val="16"/>
                <w:szCs w:val="16"/>
              </w:rPr>
            </w:pPr>
            <w:r w:rsidRPr="00E27B2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F2C1544" w14:textId="77777777" w:rsidR="00E27B2E" w:rsidRPr="00E27B2E" w:rsidRDefault="00E27B2E" w:rsidP="00E27B2E">
            <w:pPr>
              <w:spacing w:after="0"/>
              <w:jc w:val="right"/>
              <w:rPr>
                <w:rFonts w:ascii="Arial" w:hAnsi="Arial" w:cs="Arial"/>
                <w:b/>
                <w:bCs/>
                <w:color w:val="auto"/>
                <w:sz w:val="16"/>
                <w:szCs w:val="16"/>
              </w:rPr>
            </w:pPr>
            <w:r w:rsidRPr="00E27B2E">
              <w:rPr>
                <w:rFonts w:ascii="Arial" w:hAnsi="Arial" w:cs="Arial"/>
                <w:b/>
                <w:bCs/>
                <w:color w:val="auto"/>
                <w:sz w:val="16"/>
                <w:szCs w:val="16"/>
              </w:rPr>
              <w:t>-</w:t>
            </w:r>
          </w:p>
        </w:tc>
      </w:tr>
    </w:tbl>
    <w:p w14:paraId="4FB2A6B9" w14:textId="117C0E26" w:rsidR="008B5BB0" w:rsidRDefault="008B5BB0" w:rsidP="008B5BB0">
      <w:pPr>
        <w:pStyle w:val="FootnoteText"/>
        <w:spacing w:before="120"/>
      </w:pPr>
      <w:r w:rsidRPr="008B5BB0">
        <w:rPr>
          <w:vertAlign w:val="superscript"/>
        </w:rPr>
        <w:t>(a)</w:t>
      </w:r>
      <w:r>
        <w:tab/>
      </w:r>
      <w:r w:rsidRPr="008B5BB0">
        <w:t>Includes both current Bill 2 and prio</w:t>
      </w:r>
      <w:r>
        <w:t>r Act 2, 4, 6 appropriations.</w:t>
      </w:r>
      <w:r>
        <w:br w:type="page"/>
      </w:r>
    </w:p>
    <w:p w14:paraId="71151313" w14:textId="571EB27F" w:rsidR="00BC0659" w:rsidRDefault="00BC0659" w:rsidP="00BC0659">
      <w:pPr>
        <w:pStyle w:val="Tablenumberandreference"/>
        <w:rPr>
          <w:color w:val="000000" w:themeColor="text1"/>
        </w:rPr>
      </w:pPr>
      <w:r w:rsidRPr="00191F54">
        <w:rPr>
          <w:color w:val="000000" w:themeColor="text1"/>
        </w:rPr>
        <w:lastRenderedPageBreak/>
        <w:t xml:space="preserve">Table 3.6: Statement of </w:t>
      </w:r>
      <w:r w:rsidR="00BF26B6" w:rsidRPr="00191F54">
        <w:rPr>
          <w:color w:val="000000" w:themeColor="text1"/>
        </w:rPr>
        <w:t xml:space="preserve">Departmental </w:t>
      </w:r>
      <w:r w:rsidRPr="00191F54">
        <w:rPr>
          <w:color w:val="000000" w:themeColor="text1"/>
        </w:rPr>
        <w:t xml:space="preserve">Asset Movements (Budget year </w:t>
      </w:r>
      <w:r w:rsidR="00BF26B6" w:rsidRPr="00191F54">
        <w:rPr>
          <w:color w:val="000000" w:themeColor="text1"/>
        </w:rPr>
        <w:br/>
      </w:r>
      <w:r w:rsidR="00883696">
        <w:rPr>
          <w:color w:val="000000" w:themeColor="text1"/>
        </w:rPr>
        <w:t>2022–</w:t>
      </w:r>
      <w:r w:rsidR="003947C1">
        <w:rPr>
          <w:color w:val="000000" w:themeColor="text1"/>
        </w:rPr>
        <w:t>23</w:t>
      </w:r>
      <w:r w:rsidRPr="00191F54">
        <w:rPr>
          <w:color w:val="000000" w:themeColor="text1"/>
        </w:rPr>
        <w:t>)</w:t>
      </w:r>
    </w:p>
    <w:tbl>
      <w:tblPr>
        <w:tblW w:w="7340" w:type="dxa"/>
        <w:jc w:val="center"/>
        <w:tblLayout w:type="fixed"/>
        <w:tblLook w:val="04A0" w:firstRow="1" w:lastRow="0" w:firstColumn="1" w:lastColumn="0" w:noHBand="0" w:noVBand="1"/>
      </w:tblPr>
      <w:tblGrid>
        <w:gridCol w:w="3100"/>
        <w:gridCol w:w="1060"/>
        <w:gridCol w:w="1060"/>
        <w:gridCol w:w="1060"/>
        <w:gridCol w:w="1060"/>
      </w:tblGrid>
      <w:tr w:rsidR="00E73A49" w:rsidRPr="00E73A49" w14:paraId="00022B79" w14:textId="77777777" w:rsidTr="00E73A49">
        <w:trPr>
          <w:trHeight w:val="765"/>
          <w:jc w:val="center"/>
        </w:trPr>
        <w:tc>
          <w:tcPr>
            <w:tcW w:w="3100" w:type="dxa"/>
            <w:tcBorders>
              <w:top w:val="single" w:sz="4" w:space="0" w:color="auto"/>
              <w:left w:val="nil"/>
              <w:bottom w:val="nil"/>
              <w:right w:val="nil"/>
            </w:tcBorders>
            <w:shd w:val="clear" w:color="auto" w:fill="auto"/>
            <w:hideMark/>
          </w:tcPr>
          <w:p w14:paraId="48DB50B1" w14:textId="77777777" w:rsidR="00E73A49" w:rsidRPr="00E73A49" w:rsidRDefault="00E73A49" w:rsidP="00E73A49">
            <w:pPr>
              <w:spacing w:before="40" w:after="0"/>
              <w:jc w:val="right"/>
              <w:rPr>
                <w:rFonts w:ascii="Arial" w:hAnsi="Arial" w:cs="Arial"/>
                <w:b/>
                <w:bCs/>
                <w:sz w:val="16"/>
                <w:szCs w:val="16"/>
              </w:rPr>
            </w:pPr>
            <w:r w:rsidRPr="00E73A49">
              <w:rPr>
                <w:rFonts w:ascii="Arial" w:hAnsi="Arial" w:cs="Arial"/>
                <w:b/>
                <w:bCs/>
                <w:sz w:val="16"/>
                <w:szCs w:val="16"/>
              </w:rPr>
              <w:t> </w:t>
            </w:r>
          </w:p>
        </w:tc>
        <w:tc>
          <w:tcPr>
            <w:tcW w:w="1060" w:type="dxa"/>
            <w:tcBorders>
              <w:top w:val="single" w:sz="4" w:space="0" w:color="auto"/>
              <w:left w:val="nil"/>
              <w:bottom w:val="single" w:sz="4" w:space="0" w:color="auto"/>
              <w:right w:val="nil"/>
            </w:tcBorders>
            <w:shd w:val="clear" w:color="auto" w:fill="auto"/>
            <w:hideMark/>
          </w:tcPr>
          <w:p w14:paraId="20B371A4" w14:textId="77777777" w:rsidR="00E73A49" w:rsidRPr="00E73A49" w:rsidRDefault="00E73A49" w:rsidP="00E73A49">
            <w:pPr>
              <w:spacing w:before="40" w:after="0"/>
              <w:jc w:val="right"/>
              <w:rPr>
                <w:rFonts w:ascii="Arial" w:hAnsi="Arial" w:cs="Arial"/>
                <w:b/>
                <w:bCs/>
                <w:color w:val="auto"/>
                <w:sz w:val="16"/>
                <w:szCs w:val="16"/>
              </w:rPr>
            </w:pPr>
            <w:r w:rsidRPr="00E73A49">
              <w:rPr>
                <w:rFonts w:ascii="Arial" w:hAnsi="Arial" w:cs="Arial"/>
                <w:b/>
                <w:bCs/>
                <w:color w:val="auto"/>
                <w:sz w:val="16"/>
                <w:szCs w:val="16"/>
              </w:rPr>
              <w:t>Buildings</w:t>
            </w:r>
            <w:r w:rsidRPr="00E73A49">
              <w:rPr>
                <w:rFonts w:ascii="Arial" w:hAnsi="Arial" w:cs="Arial"/>
                <w:color w:val="auto"/>
                <w:sz w:val="16"/>
                <w:szCs w:val="16"/>
              </w:rPr>
              <w:t xml:space="preserve"> </w:t>
            </w:r>
            <w:r w:rsidRPr="00E73A49">
              <w:rPr>
                <w:rFonts w:ascii="Arial" w:hAnsi="Arial" w:cs="Arial"/>
                <w:color w:val="auto"/>
                <w:sz w:val="16"/>
                <w:szCs w:val="16"/>
              </w:rPr>
              <w:br/>
            </w:r>
            <w:r w:rsidRPr="00E73A49">
              <w:rPr>
                <w:rFonts w:ascii="Arial" w:hAnsi="Arial" w:cs="Arial"/>
                <w:color w:val="auto"/>
                <w:sz w:val="16"/>
                <w:szCs w:val="16"/>
              </w:rPr>
              <w:br/>
            </w:r>
            <w:r w:rsidRPr="00E73A49">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1F1B642A" w14:textId="77777777" w:rsidR="00E73A49" w:rsidRPr="00E73A49" w:rsidRDefault="00E73A49" w:rsidP="00E73A49">
            <w:pPr>
              <w:spacing w:before="40" w:after="0"/>
              <w:jc w:val="right"/>
              <w:rPr>
                <w:rFonts w:ascii="Arial" w:hAnsi="Arial" w:cs="Arial"/>
                <w:b/>
                <w:bCs/>
                <w:color w:val="auto"/>
                <w:sz w:val="16"/>
                <w:szCs w:val="16"/>
              </w:rPr>
            </w:pPr>
            <w:r w:rsidRPr="00E73A49">
              <w:rPr>
                <w:rFonts w:ascii="Arial" w:hAnsi="Arial" w:cs="Arial"/>
                <w:b/>
                <w:bCs/>
                <w:color w:val="auto"/>
                <w:sz w:val="16"/>
                <w:szCs w:val="16"/>
              </w:rPr>
              <w:t xml:space="preserve">Property, plant and equipment </w:t>
            </w:r>
            <w:r w:rsidRPr="00E73A49">
              <w:rPr>
                <w:rFonts w:ascii="Arial" w:hAnsi="Arial" w:cs="Arial"/>
                <w:b/>
                <w:bCs/>
                <w:color w:val="auto"/>
                <w:sz w:val="16"/>
                <w:szCs w:val="16"/>
              </w:rPr>
              <w:br/>
            </w:r>
            <w:r w:rsidRPr="00E73A49">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8DE72F3" w14:textId="77777777" w:rsidR="00E73A49" w:rsidRPr="00E73A49" w:rsidRDefault="00E73A49" w:rsidP="00E73A49">
            <w:pPr>
              <w:spacing w:before="40" w:after="0"/>
              <w:jc w:val="right"/>
              <w:rPr>
                <w:rFonts w:ascii="Arial" w:hAnsi="Arial" w:cs="Arial"/>
                <w:b/>
                <w:bCs/>
                <w:color w:val="auto"/>
                <w:sz w:val="16"/>
                <w:szCs w:val="16"/>
              </w:rPr>
            </w:pPr>
            <w:r w:rsidRPr="00E73A49">
              <w:rPr>
                <w:rFonts w:ascii="Arial" w:hAnsi="Arial" w:cs="Arial"/>
                <w:b/>
                <w:bCs/>
                <w:color w:val="auto"/>
                <w:sz w:val="16"/>
                <w:szCs w:val="16"/>
              </w:rPr>
              <w:t xml:space="preserve">Intangibles </w:t>
            </w:r>
            <w:r w:rsidRPr="00E73A49">
              <w:rPr>
                <w:rFonts w:ascii="Arial" w:hAnsi="Arial" w:cs="Arial"/>
                <w:b/>
                <w:bCs/>
                <w:color w:val="auto"/>
                <w:sz w:val="16"/>
                <w:szCs w:val="16"/>
              </w:rPr>
              <w:br/>
            </w:r>
            <w:r w:rsidRPr="00E73A49">
              <w:rPr>
                <w:rFonts w:ascii="Arial" w:hAnsi="Arial" w:cs="Arial"/>
                <w:b/>
                <w:bCs/>
                <w:color w:val="auto"/>
                <w:sz w:val="16"/>
                <w:szCs w:val="16"/>
              </w:rPr>
              <w:br/>
            </w:r>
            <w:r w:rsidRPr="00E73A49">
              <w:rPr>
                <w:rFonts w:ascii="Arial" w:hAnsi="Arial" w:cs="Arial"/>
                <w:b/>
                <w:bCs/>
                <w:color w:val="auto"/>
                <w:sz w:val="16"/>
                <w:szCs w:val="16"/>
              </w:rPr>
              <w:br/>
            </w:r>
            <w:r w:rsidRPr="00E73A49">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hideMark/>
          </w:tcPr>
          <w:p w14:paraId="08ECD05D" w14:textId="77777777" w:rsidR="00E73A49" w:rsidRPr="00E73A49" w:rsidRDefault="00E73A49" w:rsidP="00E73A49">
            <w:pPr>
              <w:spacing w:before="40" w:after="0"/>
              <w:jc w:val="right"/>
              <w:rPr>
                <w:rFonts w:ascii="Arial" w:hAnsi="Arial" w:cs="Arial"/>
                <w:b/>
                <w:bCs/>
                <w:color w:val="auto"/>
                <w:sz w:val="16"/>
                <w:szCs w:val="16"/>
              </w:rPr>
            </w:pPr>
            <w:r w:rsidRPr="00E73A49">
              <w:rPr>
                <w:rFonts w:ascii="Arial" w:hAnsi="Arial" w:cs="Arial"/>
                <w:b/>
                <w:bCs/>
                <w:color w:val="auto"/>
                <w:sz w:val="16"/>
                <w:szCs w:val="16"/>
              </w:rPr>
              <w:t xml:space="preserve">Total </w:t>
            </w:r>
            <w:r w:rsidRPr="00E73A49">
              <w:rPr>
                <w:rFonts w:ascii="Arial" w:hAnsi="Arial" w:cs="Arial"/>
                <w:b/>
                <w:bCs/>
                <w:color w:val="auto"/>
                <w:sz w:val="16"/>
                <w:szCs w:val="16"/>
              </w:rPr>
              <w:br/>
            </w:r>
            <w:r w:rsidRPr="00E73A49">
              <w:rPr>
                <w:rFonts w:ascii="Arial" w:hAnsi="Arial" w:cs="Arial"/>
                <w:b/>
                <w:bCs/>
                <w:color w:val="auto"/>
                <w:sz w:val="16"/>
                <w:szCs w:val="16"/>
              </w:rPr>
              <w:br/>
            </w:r>
            <w:r w:rsidRPr="00E73A49">
              <w:rPr>
                <w:rFonts w:ascii="Arial" w:hAnsi="Arial" w:cs="Arial"/>
                <w:b/>
                <w:bCs/>
                <w:color w:val="auto"/>
                <w:sz w:val="16"/>
                <w:szCs w:val="16"/>
              </w:rPr>
              <w:br/>
            </w:r>
            <w:r w:rsidRPr="00E73A49">
              <w:rPr>
                <w:rFonts w:ascii="Arial" w:hAnsi="Arial" w:cs="Arial"/>
                <w:color w:val="auto"/>
                <w:sz w:val="16"/>
                <w:szCs w:val="16"/>
              </w:rPr>
              <w:t>$'000</w:t>
            </w:r>
          </w:p>
        </w:tc>
      </w:tr>
      <w:tr w:rsidR="00E73A49" w:rsidRPr="00E73A49" w14:paraId="5D375F3C"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6E4A7076" w14:textId="77777777" w:rsidR="00E73A49" w:rsidRPr="00E73A49" w:rsidRDefault="00E73A49" w:rsidP="00E73A49">
            <w:pPr>
              <w:spacing w:after="0"/>
              <w:rPr>
                <w:rFonts w:ascii="Arial" w:hAnsi="Arial" w:cs="Arial"/>
                <w:b/>
                <w:bCs/>
                <w:sz w:val="16"/>
                <w:szCs w:val="16"/>
              </w:rPr>
            </w:pPr>
            <w:r w:rsidRPr="00E73A49">
              <w:rPr>
                <w:rFonts w:ascii="Arial" w:hAnsi="Arial" w:cs="Arial"/>
                <w:b/>
                <w:bCs/>
                <w:sz w:val="16"/>
                <w:szCs w:val="16"/>
              </w:rPr>
              <w:t>As at 1 July 2022</w:t>
            </w:r>
          </w:p>
        </w:tc>
        <w:tc>
          <w:tcPr>
            <w:tcW w:w="1060" w:type="dxa"/>
            <w:tcBorders>
              <w:top w:val="nil"/>
              <w:left w:val="nil"/>
              <w:bottom w:val="nil"/>
              <w:right w:val="nil"/>
            </w:tcBorders>
            <w:shd w:val="clear" w:color="auto" w:fill="auto"/>
            <w:noWrap/>
            <w:vAlign w:val="bottom"/>
            <w:hideMark/>
          </w:tcPr>
          <w:p w14:paraId="38C93EDA" w14:textId="77777777" w:rsidR="00E73A49" w:rsidRPr="00E73A49" w:rsidRDefault="00E73A49" w:rsidP="00E73A49">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1B7D0CAF"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75C6719"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EEBF58A" w14:textId="77777777" w:rsidR="00E73A49" w:rsidRPr="00E73A49" w:rsidRDefault="00E73A49" w:rsidP="00E73A49">
            <w:pPr>
              <w:spacing w:after="0"/>
              <w:jc w:val="right"/>
              <w:rPr>
                <w:rFonts w:ascii="Times New Roman" w:hAnsi="Times New Roman"/>
                <w:color w:val="auto"/>
              </w:rPr>
            </w:pPr>
          </w:p>
        </w:tc>
      </w:tr>
      <w:tr w:rsidR="00E73A49" w:rsidRPr="00E73A49" w14:paraId="2EC66246"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304D722A"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26218848"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2,900</w:t>
            </w:r>
          </w:p>
        </w:tc>
        <w:tc>
          <w:tcPr>
            <w:tcW w:w="1060" w:type="dxa"/>
            <w:tcBorders>
              <w:top w:val="nil"/>
              <w:left w:val="nil"/>
              <w:bottom w:val="nil"/>
              <w:right w:val="nil"/>
            </w:tcBorders>
            <w:shd w:val="clear" w:color="auto" w:fill="auto"/>
            <w:noWrap/>
            <w:vAlign w:val="bottom"/>
            <w:hideMark/>
          </w:tcPr>
          <w:p w14:paraId="6F75EF85"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1A72B874"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803</w:t>
            </w:r>
          </w:p>
        </w:tc>
        <w:tc>
          <w:tcPr>
            <w:tcW w:w="1060" w:type="dxa"/>
            <w:tcBorders>
              <w:top w:val="nil"/>
              <w:left w:val="nil"/>
              <w:bottom w:val="nil"/>
              <w:right w:val="nil"/>
            </w:tcBorders>
            <w:shd w:val="clear" w:color="auto" w:fill="auto"/>
            <w:noWrap/>
            <w:vAlign w:val="bottom"/>
            <w:hideMark/>
          </w:tcPr>
          <w:p w14:paraId="3E1B0CC9"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3,703</w:t>
            </w:r>
          </w:p>
        </w:tc>
      </w:tr>
      <w:tr w:rsidR="00E73A49" w:rsidRPr="00E73A49" w14:paraId="57F26D60"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0BB4D673"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 xml:space="preserve">Gross book value - </w:t>
            </w:r>
            <w:proofErr w:type="spellStart"/>
            <w:r w:rsidRPr="00E73A49">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3393A40A"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12,800</w:t>
            </w:r>
          </w:p>
        </w:tc>
        <w:tc>
          <w:tcPr>
            <w:tcW w:w="1060" w:type="dxa"/>
            <w:tcBorders>
              <w:top w:val="nil"/>
              <w:left w:val="nil"/>
              <w:bottom w:val="nil"/>
              <w:right w:val="nil"/>
            </w:tcBorders>
            <w:shd w:val="clear" w:color="auto" w:fill="auto"/>
            <w:noWrap/>
            <w:vAlign w:val="bottom"/>
            <w:hideMark/>
          </w:tcPr>
          <w:p w14:paraId="4208D831"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85AB15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7A52DCED"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12,800</w:t>
            </w:r>
          </w:p>
        </w:tc>
      </w:tr>
      <w:tr w:rsidR="00E73A49" w:rsidRPr="00E73A49" w14:paraId="319649BE" w14:textId="77777777" w:rsidTr="006A4723">
        <w:trPr>
          <w:trHeight w:val="425"/>
          <w:jc w:val="center"/>
        </w:trPr>
        <w:tc>
          <w:tcPr>
            <w:tcW w:w="3100" w:type="dxa"/>
            <w:tcBorders>
              <w:top w:val="nil"/>
              <w:left w:val="nil"/>
              <w:bottom w:val="nil"/>
              <w:right w:val="nil"/>
            </w:tcBorders>
            <w:shd w:val="clear" w:color="auto" w:fill="auto"/>
            <w:tcMar>
              <w:right w:w="0" w:type="dxa"/>
            </w:tcMar>
            <w:vAlign w:val="bottom"/>
            <w:hideMark/>
          </w:tcPr>
          <w:p w14:paraId="0A5AF0B1"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5DD07098"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(97)</w:t>
            </w:r>
          </w:p>
        </w:tc>
        <w:tc>
          <w:tcPr>
            <w:tcW w:w="1060" w:type="dxa"/>
            <w:tcBorders>
              <w:top w:val="nil"/>
              <w:left w:val="nil"/>
              <w:bottom w:val="nil"/>
              <w:right w:val="nil"/>
            </w:tcBorders>
            <w:shd w:val="clear" w:color="auto" w:fill="auto"/>
            <w:noWrap/>
            <w:vAlign w:val="bottom"/>
            <w:hideMark/>
          </w:tcPr>
          <w:p w14:paraId="207C5D33"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E10292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(757)</w:t>
            </w:r>
          </w:p>
        </w:tc>
        <w:tc>
          <w:tcPr>
            <w:tcW w:w="1060" w:type="dxa"/>
            <w:tcBorders>
              <w:top w:val="nil"/>
              <w:left w:val="nil"/>
              <w:bottom w:val="nil"/>
              <w:right w:val="nil"/>
            </w:tcBorders>
            <w:shd w:val="clear" w:color="auto" w:fill="auto"/>
            <w:noWrap/>
            <w:vAlign w:val="bottom"/>
            <w:hideMark/>
          </w:tcPr>
          <w:p w14:paraId="2D0846F1"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(854)</w:t>
            </w:r>
          </w:p>
        </w:tc>
      </w:tr>
      <w:tr w:rsidR="00E73A49" w:rsidRPr="00E73A49" w14:paraId="18359FE9" w14:textId="77777777" w:rsidTr="006A4723">
        <w:trPr>
          <w:trHeight w:val="425"/>
          <w:jc w:val="center"/>
        </w:trPr>
        <w:tc>
          <w:tcPr>
            <w:tcW w:w="3100" w:type="dxa"/>
            <w:tcBorders>
              <w:top w:val="nil"/>
              <w:left w:val="nil"/>
              <w:bottom w:val="nil"/>
              <w:right w:val="nil"/>
            </w:tcBorders>
            <w:shd w:val="clear" w:color="auto" w:fill="auto"/>
            <w:tcMar>
              <w:right w:w="0" w:type="dxa"/>
            </w:tcMar>
            <w:vAlign w:val="bottom"/>
            <w:hideMark/>
          </w:tcPr>
          <w:p w14:paraId="6D97CEB8"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 xml:space="preserve">Accumulated depreciation/amortisation and impairment - </w:t>
            </w:r>
            <w:proofErr w:type="spellStart"/>
            <w:r w:rsidRPr="00E73A4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73E25AB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(427)</w:t>
            </w:r>
          </w:p>
        </w:tc>
        <w:tc>
          <w:tcPr>
            <w:tcW w:w="1060" w:type="dxa"/>
            <w:tcBorders>
              <w:top w:val="nil"/>
              <w:left w:val="nil"/>
              <w:bottom w:val="nil"/>
              <w:right w:val="nil"/>
            </w:tcBorders>
            <w:shd w:val="clear" w:color="auto" w:fill="auto"/>
            <w:noWrap/>
            <w:vAlign w:val="bottom"/>
            <w:hideMark/>
          </w:tcPr>
          <w:p w14:paraId="4DBFBBB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4F91E241"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2AA1B1FA"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(427)</w:t>
            </w:r>
          </w:p>
        </w:tc>
      </w:tr>
      <w:tr w:rsidR="00E73A49" w:rsidRPr="00E73A49" w14:paraId="1A672242"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5C446A2F" w14:textId="77777777" w:rsidR="00E73A49" w:rsidRPr="00E73A49" w:rsidRDefault="00E73A49" w:rsidP="00E73A49">
            <w:pPr>
              <w:spacing w:after="0"/>
              <w:ind w:leftChars="75" w:left="150"/>
              <w:rPr>
                <w:rFonts w:ascii="Arial" w:hAnsi="Arial" w:cs="Arial"/>
                <w:b/>
                <w:bCs/>
                <w:sz w:val="16"/>
                <w:szCs w:val="16"/>
              </w:rPr>
            </w:pPr>
            <w:r w:rsidRPr="00E73A49">
              <w:rPr>
                <w:rFonts w:ascii="Arial" w:hAnsi="Arial"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47AA8449"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15,176</w:t>
            </w:r>
          </w:p>
        </w:tc>
        <w:tc>
          <w:tcPr>
            <w:tcW w:w="1060" w:type="dxa"/>
            <w:tcBorders>
              <w:top w:val="nil"/>
              <w:left w:val="nil"/>
              <w:bottom w:val="single" w:sz="4" w:space="0" w:color="auto"/>
              <w:right w:val="nil"/>
            </w:tcBorders>
            <w:shd w:val="clear" w:color="auto" w:fill="auto"/>
            <w:noWrap/>
            <w:vAlign w:val="bottom"/>
            <w:hideMark/>
          </w:tcPr>
          <w:p w14:paraId="73A1BDFB"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1F0241BE"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46</w:t>
            </w:r>
          </w:p>
        </w:tc>
        <w:tc>
          <w:tcPr>
            <w:tcW w:w="1060" w:type="dxa"/>
            <w:tcBorders>
              <w:top w:val="nil"/>
              <w:left w:val="nil"/>
              <w:bottom w:val="single" w:sz="4" w:space="0" w:color="auto"/>
              <w:right w:val="nil"/>
            </w:tcBorders>
            <w:shd w:val="clear" w:color="auto" w:fill="auto"/>
            <w:noWrap/>
            <w:vAlign w:val="bottom"/>
            <w:hideMark/>
          </w:tcPr>
          <w:p w14:paraId="34A0DDBB"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15,222</w:t>
            </w:r>
          </w:p>
        </w:tc>
      </w:tr>
      <w:tr w:rsidR="00E73A49" w:rsidRPr="00E73A49" w14:paraId="530EA493" w14:textId="77777777" w:rsidTr="006A4723">
        <w:trPr>
          <w:trHeight w:val="283"/>
          <w:jc w:val="center"/>
        </w:trPr>
        <w:tc>
          <w:tcPr>
            <w:tcW w:w="3100" w:type="dxa"/>
            <w:tcBorders>
              <w:top w:val="nil"/>
              <w:left w:val="nil"/>
              <w:bottom w:val="nil"/>
              <w:right w:val="nil"/>
            </w:tcBorders>
            <w:shd w:val="clear" w:color="auto" w:fill="auto"/>
            <w:noWrap/>
            <w:vAlign w:val="bottom"/>
            <w:hideMark/>
          </w:tcPr>
          <w:p w14:paraId="0199F0DB" w14:textId="77777777" w:rsidR="00E73A49" w:rsidRPr="00E73A49" w:rsidRDefault="00E73A49" w:rsidP="00E73A49">
            <w:pPr>
              <w:spacing w:after="0"/>
              <w:rPr>
                <w:rFonts w:ascii="Arial" w:hAnsi="Arial" w:cs="Arial"/>
                <w:b/>
                <w:bCs/>
                <w:sz w:val="16"/>
                <w:szCs w:val="16"/>
              </w:rPr>
            </w:pPr>
            <w:r w:rsidRPr="00E73A49">
              <w:rPr>
                <w:rFonts w:ascii="Arial" w:hAnsi="Arial" w:cs="Arial"/>
                <w:b/>
                <w:bCs/>
                <w:sz w:val="16"/>
                <w:szCs w:val="16"/>
              </w:rPr>
              <w:t>CAPITAL ASSET ADDITIONS</w:t>
            </w:r>
          </w:p>
        </w:tc>
        <w:tc>
          <w:tcPr>
            <w:tcW w:w="1060" w:type="dxa"/>
            <w:tcBorders>
              <w:top w:val="nil"/>
              <w:left w:val="nil"/>
              <w:bottom w:val="nil"/>
              <w:right w:val="nil"/>
            </w:tcBorders>
            <w:shd w:val="clear" w:color="auto" w:fill="auto"/>
            <w:noWrap/>
            <w:vAlign w:val="bottom"/>
            <w:hideMark/>
          </w:tcPr>
          <w:p w14:paraId="09B9C1DA" w14:textId="77777777" w:rsidR="00E73A49" w:rsidRPr="00E73A49" w:rsidRDefault="00E73A49" w:rsidP="00E73A49">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64E75D4"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B0B1CBE"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45A9B8F" w14:textId="77777777" w:rsidR="00E73A49" w:rsidRPr="00E73A49" w:rsidRDefault="00E73A49" w:rsidP="00E73A49">
            <w:pPr>
              <w:spacing w:after="0"/>
              <w:jc w:val="right"/>
              <w:rPr>
                <w:rFonts w:ascii="Times New Roman" w:hAnsi="Times New Roman"/>
                <w:color w:val="auto"/>
              </w:rPr>
            </w:pPr>
          </w:p>
        </w:tc>
      </w:tr>
      <w:tr w:rsidR="00E73A49" w:rsidRPr="00E73A49" w14:paraId="379EE1B4" w14:textId="77777777" w:rsidTr="006A4723">
        <w:trPr>
          <w:trHeight w:val="425"/>
          <w:jc w:val="center"/>
        </w:trPr>
        <w:tc>
          <w:tcPr>
            <w:tcW w:w="3100" w:type="dxa"/>
            <w:tcBorders>
              <w:top w:val="nil"/>
              <w:left w:val="nil"/>
              <w:bottom w:val="nil"/>
              <w:right w:val="nil"/>
            </w:tcBorders>
            <w:shd w:val="clear" w:color="auto" w:fill="auto"/>
            <w:vAlign w:val="bottom"/>
            <w:hideMark/>
          </w:tcPr>
          <w:p w14:paraId="73CC7D55" w14:textId="77777777" w:rsidR="00E73A49" w:rsidRPr="00E73A49" w:rsidRDefault="00E73A49" w:rsidP="00E73A49">
            <w:pPr>
              <w:spacing w:after="0"/>
              <w:ind w:leftChars="75" w:left="150"/>
              <w:rPr>
                <w:rFonts w:ascii="Arial" w:hAnsi="Arial" w:cs="Arial"/>
                <w:b/>
                <w:bCs/>
                <w:sz w:val="16"/>
                <w:szCs w:val="16"/>
              </w:rPr>
            </w:pPr>
            <w:r w:rsidRPr="00E73A49">
              <w:rPr>
                <w:rFonts w:ascii="Arial" w:hAnsi="Arial"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06F10F3B" w14:textId="77777777" w:rsidR="00E73A49" w:rsidRPr="00E73A49" w:rsidRDefault="00E73A49" w:rsidP="00E73A49">
            <w:pPr>
              <w:spacing w:after="0"/>
              <w:ind w:firstLineChars="100" w:firstLine="16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68E20CE5"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3158B74"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C93A7F3" w14:textId="77777777" w:rsidR="00E73A49" w:rsidRPr="00E73A49" w:rsidRDefault="00E73A49" w:rsidP="00E73A49">
            <w:pPr>
              <w:spacing w:after="0"/>
              <w:jc w:val="right"/>
              <w:rPr>
                <w:rFonts w:ascii="Times New Roman" w:hAnsi="Times New Roman"/>
                <w:color w:val="auto"/>
              </w:rPr>
            </w:pPr>
          </w:p>
        </w:tc>
      </w:tr>
      <w:tr w:rsidR="00E73A49" w:rsidRPr="00E73A49" w14:paraId="4FB46687"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65459AB8"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3A4D6700"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467542E4"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1B940124"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17FC9387"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r>
      <w:tr w:rsidR="00E73A49" w:rsidRPr="00E73A49" w14:paraId="0770950A"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56CE23A1"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By purchase - internal resources</w:t>
            </w:r>
          </w:p>
        </w:tc>
        <w:tc>
          <w:tcPr>
            <w:tcW w:w="1060" w:type="dxa"/>
            <w:tcBorders>
              <w:top w:val="nil"/>
              <w:left w:val="nil"/>
              <w:bottom w:val="nil"/>
              <w:right w:val="nil"/>
            </w:tcBorders>
            <w:shd w:val="clear" w:color="auto" w:fill="auto"/>
            <w:noWrap/>
            <w:vAlign w:val="bottom"/>
            <w:hideMark/>
          </w:tcPr>
          <w:p w14:paraId="3D39C87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CCCED39"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0CB59C0C"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1,000</w:t>
            </w:r>
          </w:p>
        </w:tc>
        <w:tc>
          <w:tcPr>
            <w:tcW w:w="1060" w:type="dxa"/>
            <w:tcBorders>
              <w:top w:val="nil"/>
              <w:left w:val="nil"/>
              <w:bottom w:val="nil"/>
              <w:right w:val="nil"/>
            </w:tcBorders>
            <w:shd w:val="clear" w:color="auto" w:fill="auto"/>
            <w:noWrap/>
            <w:vAlign w:val="bottom"/>
            <w:hideMark/>
          </w:tcPr>
          <w:p w14:paraId="2E30210C"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1,000</w:t>
            </w:r>
          </w:p>
        </w:tc>
      </w:tr>
      <w:tr w:rsidR="00E73A49" w:rsidRPr="00E73A49" w14:paraId="799F4AC6"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051265A5"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 xml:space="preserve">By purchase - </w:t>
            </w:r>
            <w:proofErr w:type="spellStart"/>
            <w:r w:rsidRPr="00E73A49">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2DD22995"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72920D45"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8140F98"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64A71A0D"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r>
      <w:tr w:rsidR="00E73A49" w:rsidRPr="00E73A49" w14:paraId="1828A50F"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6F0476E7" w14:textId="77777777" w:rsidR="00E73A49" w:rsidRPr="00E73A49" w:rsidRDefault="00E73A49" w:rsidP="00E73A49">
            <w:pPr>
              <w:spacing w:after="0"/>
              <w:ind w:leftChars="75" w:left="150"/>
              <w:rPr>
                <w:rFonts w:ascii="Arial" w:hAnsi="Arial" w:cs="Arial"/>
                <w:b/>
                <w:bCs/>
                <w:sz w:val="16"/>
                <w:szCs w:val="16"/>
              </w:rPr>
            </w:pPr>
            <w:r w:rsidRPr="00E73A49">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19526831"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0973E56A"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3E34BD2B"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1,000</w:t>
            </w:r>
          </w:p>
        </w:tc>
        <w:tc>
          <w:tcPr>
            <w:tcW w:w="1060" w:type="dxa"/>
            <w:tcBorders>
              <w:top w:val="nil"/>
              <w:left w:val="nil"/>
              <w:bottom w:val="single" w:sz="4" w:space="0" w:color="auto"/>
              <w:right w:val="nil"/>
            </w:tcBorders>
            <w:shd w:val="clear" w:color="auto" w:fill="auto"/>
            <w:noWrap/>
            <w:vAlign w:val="bottom"/>
            <w:hideMark/>
          </w:tcPr>
          <w:p w14:paraId="0849F42A"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1,000</w:t>
            </w:r>
          </w:p>
        </w:tc>
      </w:tr>
      <w:tr w:rsidR="00E73A49" w:rsidRPr="00E73A49" w14:paraId="4F32F164" w14:textId="77777777" w:rsidTr="006A4723">
        <w:trPr>
          <w:trHeight w:val="227"/>
          <w:jc w:val="center"/>
        </w:trPr>
        <w:tc>
          <w:tcPr>
            <w:tcW w:w="3100" w:type="dxa"/>
            <w:tcBorders>
              <w:top w:val="nil"/>
              <w:left w:val="nil"/>
              <w:bottom w:val="nil"/>
              <w:right w:val="nil"/>
            </w:tcBorders>
            <w:shd w:val="clear" w:color="auto" w:fill="auto"/>
            <w:noWrap/>
            <w:vAlign w:val="bottom"/>
            <w:hideMark/>
          </w:tcPr>
          <w:p w14:paraId="6A50F3F5" w14:textId="77777777" w:rsidR="00E73A49" w:rsidRPr="00E73A49" w:rsidRDefault="00E73A49" w:rsidP="00E73A49">
            <w:pPr>
              <w:spacing w:after="0"/>
              <w:rPr>
                <w:rFonts w:ascii="Arial" w:hAnsi="Arial" w:cs="Arial"/>
                <w:b/>
                <w:bCs/>
                <w:sz w:val="16"/>
                <w:szCs w:val="16"/>
              </w:rPr>
            </w:pPr>
            <w:r w:rsidRPr="00E73A49">
              <w:rPr>
                <w:rFonts w:ascii="Arial" w:hAnsi="Arial" w:cs="Arial"/>
                <w:b/>
                <w:bCs/>
                <w:sz w:val="16"/>
                <w:szCs w:val="16"/>
              </w:rPr>
              <w:t>Other movements</w:t>
            </w:r>
          </w:p>
        </w:tc>
        <w:tc>
          <w:tcPr>
            <w:tcW w:w="1060" w:type="dxa"/>
            <w:tcBorders>
              <w:top w:val="nil"/>
              <w:left w:val="nil"/>
              <w:bottom w:val="nil"/>
              <w:right w:val="nil"/>
            </w:tcBorders>
            <w:shd w:val="clear" w:color="auto" w:fill="auto"/>
            <w:noWrap/>
            <w:vAlign w:val="bottom"/>
            <w:hideMark/>
          </w:tcPr>
          <w:p w14:paraId="3EABF118" w14:textId="77777777" w:rsidR="00E73A49" w:rsidRPr="00E73A49" w:rsidRDefault="00E73A49" w:rsidP="00E73A49">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654CFF8E"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5F4E29F"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EA6C727" w14:textId="77777777" w:rsidR="00E73A49" w:rsidRPr="00E73A49" w:rsidRDefault="00E73A49" w:rsidP="00E73A49">
            <w:pPr>
              <w:spacing w:after="0"/>
              <w:jc w:val="right"/>
              <w:rPr>
                <w:rFonts w:ascii="Times New Roman" w:hAnsi="Times New Roman"/>
                <w:color w:val="auto"/>
              </w:rPr>
            </w:pPr>
          </w:p>
        </w:tc>
      </w:tr>
      <w:tr w:rsidR="00E73A49" w:rsidRPr="00E73A49" w14:paraId="6071A5E7"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70637B71"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14:paraId="33839064"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(290)</w:t>
            </w:r>
          </w:p>
        </w:tc>
        <w:tc>
          <w:tcPr>
            <w:tcW w:w="1060" w:type="dxa"/>
            <w:tcBorders>
              <w:top w:val="nil"/>
              <w:left w:val="nil"/>
              <w:bottom w:val="nil"/>
              <w:right w:val="nil"/>
            </w:tcBorders>
            <w:shd w:val="clear" w:color="auto" w:fill="auto"/>
            <w:noWrap/>
            <w:vAlign w:val="bottom"/>
            <w:hideMark/>
          </w:tcPr>
          <w:p w14:paraId="59472D5C"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1AA404E1"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(213)</w:t>
            </w:r>
          </w:p>
        </w:tc>
        <w:tc>
          <w:tcPr>
            <w:tcW w:w="1060" w:type="dxa"/>
            <w:tcBorders>
              <w:top w:val="nil"/>
              <w:left w:val="nil"/>
              <w:bottom w:val="nil"/>
              <w:right w:val="nil"/>
            </w:tcBorders>
            <w:shd w:val="clear" w:color="auto" w:fill="auto"/>
            <w:noWrap/>
            <w:vAlign w:val="bottom"/>
            <w:hideMark/>
          </w:tcPr>
          <w:p w14:paraId="215BF924"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(503)</w:t>
            </w:r>
          </w:p>
        </w:tc>
      </w:tr>
      <w:tr w:rsidR="00E73A49" w:rsidRPr="00E73A49" w14:paraId="0C7F099E" w14:textId="77777777" w:rsidTr="006A4723">
        <w:trPr>
          <w:trHeight w:val="425"/>
          <w:jc w:val="center"/>
        </w:trPr>
        <w:tc>
          <w:tcPr>
            <w:tcW w:w="3100" w:type="dxa"/>
            <w:tcBorders>
              <w:top w:val="nil"/>
              <w:left w:val="nil"/>
              <w:bottom w:val="nil"/>
              <w:right w:val="nil"/>
            </w:tcBorders>
            <w:shd w:val="clear" w:color="auto" w:fill="auto"/>
            <w:vAlign w:val="bottom"/>
            <w:hideMark/>
          </w:tcPr>
          <w:p w14:paraId="02F6883B"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 xml:space="preserve">Depreciation/amortisation expense - </w:t>
            </w:r>
            <w:proofErr w:type="spellStart"/>
            <w:r w:rsidRPr="00E73A49">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46D4F5D5"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(1,280)</w:t>
            </w:r>
          </w:p>
        </w:tc>
        <w:tc>
          <w:tcPr>
            <w:tcW w:w="1060" w:type="dxa"/>
            <w:tcBorders>
              <w:top w:val="nil"/>
              <w:left w:val="nil"/>
              <w:bottom w:val="nil"/>
              <w:right w:val="nil"/>
            </w:tcBorders>
            <w:shd w:val="clear" w:color="auto" w:fill="auto"/>
            <w:noWrap/>
            <w:vAlign w:val="bottom"/>
            <w:hideMark/>
          </w:tcPr>
          <w:p w14:paraId="72E7C146"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FEE838E"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C39B26E"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(1,280)</w:t>
            </w:r>
          </w:p>
        </w:tc>
      </w:tr>
      <w:tr w:rsidR="00E73A49" w:rsidRPr="00E73A49" w14:paraId="7069D5A6"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00A0BC35" w14:textId="77777777" w:rsidR="00E73A49" w:rsidRPr="00E73A49" w:rsidRDefault="00E73A49" w:rsidP="00E73A49">
            <w:pPr>
              <w:spacing w:after="0"/>
              <w:ind w:leftChars="75" w:left="150"/>
              <w:rPr>
                <w:rFonts w:ascii="Arial" w:hAnsi="Arial" w:cs="Arial"/>
                <w:b/>
                <w:bCs/>
                <w:sz w:val="16"/>
                <w:szCs w:val="16"/>
              </w:rPr>
            </w:pPr>
            <w:r w:rsidRPr="00E73A49">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3160ED82"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(1,570)</w:t>
            </w:r>
          </w:p>
        </w:tc>
        <w:tc>
          <w:tcPr>
            <w:tcW w:w="1060" w:type="dxa"/>
            <w:tcBorders>
              <w:top w:val="nil"/>
              <w:left w:val="nil"/>
              <w:bottom w:val="single" w:sz="4" w:space="0" w:color="auto"/>
              <w:right w:val="nil"/>
            </w:tcBorders>
            <w:shd w:val="clear" w:color="auto" w:fill="auto"/>
            <w:noWrap/>
            <w:vAlign w:val="bottom"/>
            <w:hideMark/>
          </w:tcPr>
          <w:p w14:paraId="6E846D2A"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695CE0E6"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(213)</w:t>
            </w:r>
          </w:p>
        </w:tc>
        <w:tc>
          <w:tcPr>
            <w:tcW w:w="1060" w:type="dxa"/>
            <w:tcBorders>
              <w:top w:val="nil"/>
              <w:left w:val="nil"/>
              <w:bottom w:val="single" w:sz="4" w:space="0" w:color="auto"/>
              <w:right w:val="nil"/>
            </w:tcBorders>
            <w:shd w:val="clear" w:color="auto" w:fill="auto"/>
            <w:noWrap/>
            <w:vAlign w:val="bottom"/>
            <w:hideMark/>
          </w:tcPr>
          <w:p w14:paraId="2B2CCAB9"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(1,783)</w:t>
            </w:r>
          </w:p>
        </w:tc>
      </w:tr>
      <w:tr w:rsidR="00E73A49" w:rsidRPr="00E73A49" w14:paraId="302EECF1" w14:textId="77777777" w:rsidTr="006A4723">
        <w:trPr>
          <w:trHeight w:val="283"/>
          <w:jc w:val="center"/>
        </w:trPr>
        <w:tc>
          <w:tcPr>
            <w:tcW w:w="3100" w:type="dxa"/>
            <w:tcBorders>
              <w:top w:val="nil"/>
              <w:left w:val="nil"/>
              <w:bottom w:val="nil"/>
              <w:right w:val="nil"/>
            </w:tcBorders>
            <w:shd w:val="clear" w:color="auto" w:fill="auto"/>
            <w:noWrap/>
            <w:vAlign w:val="bottom"/>
            <w:hideMark/>
          </w:tcPr>
          <w:p w14:paraId="27363538" w14:textId="77777777" w:rsidR="00E73A49" w:rsidRPr="00E73A49" w:rsidRDefault="00E73A49" w:rsidP="00E73A49">
            <w:pPr>
              <w:spacing w:after="0"/>
              <w:rPr>
                <w:rFonts w:ascii="Arial" w:hAnsi="Arial" w:cs="Arial"/>
                <w:b/>
                <w:bCs/>
                <w:sz w:val="16"/>
                <w:szCs w:val="16"/>
              </w:rPr>
            </w:pPr>
            <w:r w:rsidRPr="00E73A49">
              <w:rPr>
                <w:rFonts w:ascii="Arial" w:hAnsi="Arial" w:cs="Arial"/>
                <w:b/>
                <w:bCs/>
                <w:sz w:val="16"/>
                <w:szCs w:val="16"/>
              </w:rPr>
              <w:t>As at 30 June 2023</w:t>
            </w:r>
          </w:p>
        </w:tc>
        <w:tc>
          <w:tcPr>
            <w:tcW w:w="1060" w:type="dxa"/>
            <w:tcBorders>
              <w:top w:val="nil"/>
              <w:left w:val="nil"/>
              <w:bottom w:val="nil"/>
              <w:right w:val="nil"/>
            </w:tcBorders>
            <w:shd w:val="clear" w:color="auto" w:fill="auto"/>
            <w:noWrap/>
            <w:vAlign w:val="bottom"/>
            <w:hideMark/>
          </w:tcPr>
          <w:p w14:paraId="65A47F2E" w14:textId="77777777" w:rsidR="00E73A49" w:rsidRPr="00E73A49" w:rsidRDefault="00E73A49" w:rsidP="00E73A49">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72AFFFBE"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4F31BC6" w14:textId="77777777" w:rsidR="00E73A49" w:rsidRPr="00E73A49" w:rsidRDefault="00E73A49" w:rsidP="00E73A49">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D7D6F97" w14:textId="77777777" w:rsidR="00E73A49" w:rsidRPr="00E73A49" w:rsidRDefault="00E73A49" w:rsidP="00E73A49">
            <w:pPr>
              <w:spacing w:after="0"/>
              <w:jc w:val="right"/>
              <w:rPr>
                <w:rFonts w:ascii="Times New Roman" w:hAnsi="Times New Roman"/>
                <w:color w:val="auto"/>
              </w:rPr>
            </w:pPr>
          </w:p>
        </w:tc>
      </w:tr>
      <w:tr w:rsidR="00E73A49" w:rsidRPr="00E73A49" w14:paraId="19CCBF0A"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1344A169"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Gross book value</w:t>
            </w:r>
          </w:p>
        </w:tc>
        <w:tc>
          <w:tcPr>
            <w:tcW w:w="1060" w:type="dxa"/>
            <w:tcBorders>
              <w:top w:val="nil"/>
              <w:left w:val="nil"/>
              <w:bottom w:val="nil"/>
              <w:right w:val="nil"/>
            </w:tcBorders>
            <w:shd w:val="clear" w:color="auto" w:fill="auto"/>
            <w:noWrap/>
            <w:vAlign w:val="bottom"/>
            <w:hideMark/>
          </w:tcPr>
          <w:p w14:paraId="4AF0F40A"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2,900</w:t>
            </w:r>
          </w:p>
        </w:tc>
        <w:tc>
          <w:tcPr>
            <w:tcW w:w="1060" w:type="dxa"/>
            <w:tcBorders>
              <w:top w:val="nil"/>
              <w:left w:val="nil"/>
              <w:bottom w:val="nil"/>
              <w:right w:val="nil"/>
            </w:tcBorders>
            <w:shd w:val="clear" w:color="auto" w:fill="auto"/>
            <w:noWrap/>
            <w:vAlign w:val="bottom"/>
            <w:hideMark/>
          </w:tcPr>
          <w:p w14:paraId="18CEF4A2"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68BABE3"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1,803</w:t>
            </w:r>
          </w:p>
        </w:tc>
        <w:tc>
          <w:tcPr>
            <w:tcW w:w="1060" w:type="dxa"/>
            <w:tcBorders>
              <w:top w:val="nil"/>
              <w:left w:val="nil"/>
              <w:bottom w:val="nil"/>
              <w:right w:val="nil"/>
            </w:tcBorders>
            <w:shd w:val="clear" w:color="auto" w:fill="auto"/>
            <w:noWrap/>
            <w:vAlign w:val="bottom"/>
            <w:hideMark/>
          </w:tcPr>
          <w:p w14:paraId="474E16C8"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4,703</w:t>
            </w:r>
          </w:p>
        </w:tc>
      </w:tr>
      <w:tr w:rsidR="00E73A49" w:rsidRPr="00E73A49" w14:paraId="08991A8E" w14:textId="77777777" w:rsidTr="00E73A49">
        <w:trPr>
          <w:trHeight w:val="225"/>
          <w:jc w:val="center"/>
        </w:trPr>
        <w:tc>
          <w:tcPr>
            <w:tcW w:w="3100" w:type="dxa"/>
            <w:tcBorders>
              <w:top w:val="nil"/>
              <w:left w:val="nil"/>
              <w:bottom w:val="nil"/>
              <w:right w:val="nil"/>
            </w:tcBorders>
            <w:shd w:val="clear" w:color="auto" w:fill="auto"/>
            <w:noWrap/>
            <w:vAlign w:val="bottom"/>
            <w:hideMark/>
          </w:tcPr>
          <w:p w14:paraId="5EC9A7F1" w14:textId="77777777" w:rsidR="00E73A49" w:rsidRPr="00E73A49" w:rsidRDefault="00E73A49" w:rsidP="00E73A49">
            <w:pPr>
              <w:spacing w:after="0"/>
              <w:ind w:leftChars="75" w:left="150"/>
              <w:rPr>
                <w:rFonts w:ascii="Arial" w:hAnsi="Arial" w:cs="Arial"/>
                <w:sz w:val="16"/>
                <w:szCs w:val="16"/>
              </w:rPr>
            </w:pPr>
            <w:r w:rsidRPr="00E73A49">
              <w:rPr>
                <w:rFonts w:ascii="Arial" w:hAnsi="Arial" w:cs="Arial"/>
                <w:sz w:val="16"/>
                <w:szCs w:val="16"/>
              </w:rPr>
              <w:t xml:space="preserve">Gross book value - </w:t>
            </w:r>
            <w:proofErr w:type="spellStart"/>
            <w:r w:rsidRPr="00E73A49">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793CA310"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12,800</w:t>
            </w:r>
          </w:p>
        </w:tc>
        <w:tc>
          <w:tcPr>
            <w:tcW w:w="1060" w:type="dxa"/>
            <w:tcBorders>
              <w:top w:val="nil"/>
              <w:left w:val="nil"/>
              <w:bottom w:val="nil"/>
              <w:right w:val="nil"/>
            </w:tcBorders>
            <w:shd w:val="clear" w:color="auto" w:fill="auto"/>
            <w:noWrap/>
            <w:vAlign w:val="bottom"/>
            <w:hideMark/>
          </w:tcPr>
          <w:p w14:paraId="264886D7"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47699A7B"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9583940"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12,800</w:t>
            </w:r>
          </w:p>
        </w:tc>
      </w:tr>
      <w:tr w:rsidR="00E73A49" w:rsidRPr="00E73A49" w14:paraId="087E28E9" w14:textId="77777777" w:rsidTr="006A4723">
        <w:trPr>
          <w:trHeight w:val="425"/>
          <w:jc w:val="center"/>
        </w:trPr>
        <w:tc>
          <w:tcPr>
            <w:tcW w:w="3100" w:type="dxa"/>
            <w:tcBorders>
              <w:top w:val="nil"/>
              <w:left w:val="nil"/>
              <w:bottom w:val="nil"/>
              <w:right w:val="nil"/>
            </w:tcBorders>
            <w:shd w:val="clear" w:color="auto" w:fill="auto"/>
            <w:tcMar>
              <w:right w:w="0" w:type="dxa"/>
            </w:tcMar>
            <w:vAlign w:val="bottom"/>
            <w:hideMark/>
          </w:tcPr>
          <w:p w14:paraId="749C65F1"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2EFFBCC6"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(387)</w:t>
            </w:r>
          </w:p>
        </w:tc>
        <w:tc>
          <w:tcPr>
            <w:tcW w:w="1060" w:type="dxa"/>
            <w:tcBorders>
              <w:top w:val="nil"/>
              <w:left w:val="nil"/>
              <w:bottom w:val="nil"/>
              <w:right w:val="nil"/>
            </w:tcBorders>
            <w:shd w:val="clear" w:color="auto" w:fill="auto"/>
            <w:noWrap/>
            <w:vAlign w:val="bottom"/>
            <w:hideMark/>
          </w:tcPr>
          <w:p w14:paraId="23F9B2E6"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D50F985"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(970)</w:t>
            </w:r>
          </w:p>
        </w:tc>
        <w:tc>
          <w:tcPr>
            <w:tcW w:w="1060" w:type="dxa"/>
            <w:tcBorders>
              <w:top w:val="nil"/>
              <w:left w:val="nil"/>
              <w:bottom w:val="nil"/>
              <w:right w:val="nil"/>
            </w:tcBorders>
            <w:shd w:val="clear" w:color="auto" w:fill="auto"/>
            <w:noWrap/>
            <w:vAlign w:val="bottom"/>
            <w:hideMark/>
          </w:tcPr>
          <w:p w14:paraId="66814698"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(1,357)</w:t>
            </w:r>
          </w:p>
        </w:tc>
      </w:tr>
      <w:tr w:rsidR="00E73A49" w:rsidRPr="00E73A49" w14:paraId="18B94668" w14:textId="77777777" w:rsidTr="006A4723">
        <w:trPr>
          <w:trHeight w:val="425"/>
          <w:jc w:val="center"/>
        </w:trPr>
        <w:tc>
          <w:tcPr>
            <w:tcW w:w="3100" w:type="dxa"/>
            <w:tcBorders>
              <w:top w:val="nil"/>
              <w:left w:val="nil"/>
              <w:bottom w:val="nil"/>
              <w:right w:val="nil"/>
            </w:tcBorders>
            <w:shd w:val="clear" w:color="auto" w:fill="auto"/>
            <w:tcMar>
              <w:right w:w="0" w:type="dxa"/>
            </w:tcMar>
            <w:vAlign w:val="bottom"/>
            <w:hideMark/>
          </w:tcPr>
          <w:p w14:paraId="6AF43780" w14:textId="77777777" w:rsidR="00E73A49" w:rsidRPr="00E73A49" w:rsidRDefault="00E73A49" w:rsidP="00E73A49">
            <w:pPr>
              <w:spacing w:after="0"/>
              <w:ind w:leftChars="75" w:left="150"/>
              <w:rPr>
                <w:rFonts w:ascii="Arial" w:hAnsi="Arial" w:cs="Arial"/>
                <w:color w:val="auto"/>
                <w:sz w:val="16"/>
                <w:szCs w:val="16"/>
              </w:rPr>
            </w:pPr>
            <w:r w:rsidRPr="00E73A49">
              <w:rPr>
                <w:rFonts w:ascii="Arial" w:hAnsi="Arial" w:cs="Arial"/>
                <w:color w:val="auto"/>
                <w:sz w:val="16"/>
                <w:szCs w:val="16"/>
              </w:rPr>
              <w:t xml:space="preserve">Accumulated depreciation/amortisation and impairment - </w:t>
            </w:r>
            <w:proofErr w:type="spellStart"/>
            <w:r w:rsidRPr="00E73A49">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360226EE"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(1,707)</w:t>
            </w:r>
          </w:p>
        </w:tc>
        <w:tc>
          <w:tcPr>
            <w:tcW w:w="1060" w:type="dxa"/>
            <w:tcBorders>
              <w:top w:val="nil"/>
              <w:left w:val="nil"/>
              <w:bottom w:val="single" w:sz="4" w:space="0" w:color="auto"/>
              <w:right w:val="nil"/>
            </w:tcBorders>
            <w:shd w:val="clear" w:color="auto" w:fill="auto"/>
            <w:noWrap/>
            <w:vAlign w:val="bottom"/>
            <w:hideMark/>
          </w:tcPr>
          <w:p w14:paraId="0B9C5500"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0775A0FE" w14:textId="77777777" w:rsidR="00E73A49" w:rsidRPr="00E73A49" w:rsidRDefault="00E73A49" w:rsidP="00E73A49">
            <w:pPr>
              <w:spacing w:after="0"/>
              <w:jc w:val="right"/>
              <w:rPr>
                <w:rFonts w:ascii="Arial" w:hAnsi="Arial" w:cs="Arial"/>
                <w:color w:val="auto"/>
                <w:sz w:val="16"/>
                <w:szCs w:val="16"/>
              </w:rPr>
            </w:pPr>
            <w:r w:rsidRPr="00E73A49">
              <w:rPr>
                <w:rFonts w:ascii="Arial" w:hAnsi="Arial" w:cs="Arial"/>
                <w:color w:val="auto"/>
                <w:sz w:val="16"/>
                <w:szCs w:val="16"/>
              </w:rPr>
              <w:t>-</w:t>
            </w:r>
          </w:p>
        </w:tc>
        <w:tc>
          <w:tcPr>
            <w:tcW w:w="1060" w:type="dxa"/>
            <w:tcBorders>
              <w:top w:val="nil"/>
              <w:left w:val="nil"/>
              <w:bottom w:val="single" w:sz="4" w:space="0" w:color="auto"/>
              <w:right w:val="nil"/>
            </w:tcBorders>
            <w:shd w:val="clear" w:color="auto" w:fill="auto"/>
            <w:noWrap/>
            <w:vAlign w:val="bottom"/>
            <w:hideMark/>
          </w:tcPr>
          <w:p w14:paraId="46ADE865" w14:textId="77777777" w:rsidR="00E73A49" w:rsidRPr="00E73A49" w:rsidRDefault="00E73A49" w:rsidP="00E73A49">
            <w:pPr>
              <w:spacing w:after="0"/>
              <w:jc w:val="right"/>
              <w:rPr>
                <w:rFonts w:ascii="Arial" w:hAnsi="Arial" w:cs="Arial"/>
                <w:b/>
                <w:bCs/>
                <w:color w:val="auto"/>
                <w:sz w:val="16"/>
                <w:szCs w:val="16"/>
              </w:rPr>
            </w:pPr>
            <w:r w:rsidRPr="00E73A49">
              <w:rPr>
                <w:rFonts w:ascii="Arial" w:hAnsi="Arial" w:cs="Arial"/>
                <w:b/>
                <w:bCs/>
                <w:color w:val="auto"/>
                <w:sz w:val="16"/>
                <w:szCs w:val="16"/>
              </w:rPr>
              <w:t>(1,707)</w:t>
            </w:r>
          </w:p>
        </w:tc>
      </w:tr>
      <w:tr w:rsidR="00E73A49" w:rsidRPr="00E73A49" w14:paraId="1D47FD64" w14:textId="77777777" w:rsidTr="006A4723">
        <w:trPr>
          <w:trHeight w:val="283"/>
          <w:jc w:val="center"/>
        </w:trPr>
        <w:tc>
          <w:tcPr>
            <w:tcW w:w="3100" w:type="dxa"/>
            <w:tcBorders>
              <w:top w:val="nil"/>
              <w:left w:val="nil"/>
              <w:bottom w:val="single" w:sz="4" w:space="0" w:color="auto"/>
              <w:right w:val="nil"/>
            </w:tcBorders>
            <w:shd w:val="clear" w:color="auto" w:fill="auto"/>
            <w:noWrap/>
            <w:vAlign w:val="bottom"/>
            <w:hideMark/>
          </w:tcPr>
          <w:p w14:paraId="16CEC3D9" w14:textId="77777777" w:rsidR="00E73A49" w:rsidRPr="00E73A49" w:rsidRDefault="00E73A49" w:rsidP="00E73A49">
            <w:pPr>
              <w:spacing w:after="0"/>
              <w:ind w:leftChars="75" w:left="150"/>
              <w:rPr>
                <w:rFonts w:ascii="Arial" w:hAnsi="Arial" w:cs="Arial"/>
                <w:b/>
                <w:bCs/>
                <w:sz w:val="16"/>
                <w:szCs w:val="16"/>
              </w:rPr>
            </w:pPr>
            <w:r w:rsidRPr="00E73A49">
              <w:rPr>
                <w:rFonts w:ascii="Arial" w:hAnsi="Arial"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153C1AED" w14:textId="77777777" w:rsidR="00E73A49" w:rsidRPr="00E73A49" w:rsidRDefault="00E73A49" w:rsidP="00E73A49">
            <w:pPr>
              <w:spacing w:after="0"/>
              <w:jc w:val="right"/>
              <w:rPr>
                <w:rFonts w:ascii="Arial" w:hAnsi="Arial" w:cs="Arial"/>
                <w:b/>
                <w:bCs/>
                <w:sz w:val="16"/>
                <w:szCs w:val="16"/>
              </w:rPr>
            </w:pPr>
            <w:r w:rsidRPr="00E73A49">
              <w:rPr>
                <w:rFonts w:ascii="Arial" w:hAnsi="Arial" w:cs="Arial"/>
                <w:b/>
                <w:bCs/>
                <w:sz w:val="16"/>
                <w:szCs w:val="16"/>
              </w:rPr>
              <w:t>13,606</w:t>
            </w:r>
          </w:p>
        </w:tc>
        <w:tc>
          <w:tcPr>
            <w:tcW w:w="1060" w:type="dxa"/>
            <w:tcBorders>
              <w:top w:val="nil"/>
              <w:left w:val="nil"/>
              <w:bottom w:val="single" w:sz="4" w:space="0" w:color="auto"/>
              <w:right w:val="nil"/>
            </w:tcBorders>
            <w:shd w:val="clear" w:color="auto" w:fill="auto"/>
            <w:noWrap/>
            <w:vAlign w:val="bottom"/>
            <w:hideMark/>
          </w:tcPr>
          <w:p w14:paraId="3DE1A753" w14:textId="77777777" w:rsidR="00E73A49" w:rsidRPr="00E73A49" w:rsidRDefault="00E73A49" w:rsidP="00E73A49">
            <w:pPr>
              <w:spacing w:after="0"/>
              <w:jc w:val="right"/>
              <w:rPr>
                <w:rFonts w:ascii="Arial" w:hAnsi="Arial" w:cs="Arial"/>
                <w:b/>
                <w:bCs/>
                <w:sz w:val="16"/>
                <w:szCs w:val="16"/>
              </w:rPr>
            </w:pPr>
            <w:r w:rsidRPr="00E73A49">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14DD01F5" w14:textId="77777777" w:rsidR="00E73A49" w:rsidRPr="00E73A49" w:rsidRDefault="00E73A49" w:rsidP="00E73A49">
            <w:pPr>
              <w:spacing w:after="0"/>
              <w:jc w:val="right"/>
              <w:rPr>
                <w:rFonts w:ascii="Arial" w:hAnsi="Arial" w:cs="Arial"/>
                <w:b/>
                <w:bCs/>
                <w:sz w:val="16"/>
                <w:szCs w:val="16"/>
              </w:rPr>
            </w:pPr>
            <w:r w:rsidRPr="00E73A49">
              <w:rPr>
                <w:rFonts w:ascii="Arial" w:hAnsi="Arial" w:cs="Arial"/>
                <w:b/>
                <w:bCs/>
                <w:sz w:val="16"/>
                <w:szCs w:val="16"/>
              </w:rPr>
              <w:t>833</w:t>
            </w:r>
          </w:p>
        </w:tc>
        <w:tc>
          <w:tcPr>
            <w:tcW w:w="1060" w:type="dxa"/>
            <w:tcBorders>
              <w:top w:val="nil"/>
              <w:left w:val="nil"/>
              <w:bottom w:val="single" w:sz="4" w:space="0" w:color="auto"/>
              <w:right w:val="nil"/>
            </w:tcBorders>
            <w:shd w:val="clear" w:color="auto" w:fill="auto"/>
            <w:noWrap/>
            <w:vAlign w:val="bottom"/>
            <w:hideMark/>
          </w:tcPr>
          <w:p w14:paraId="7DA0CF92" w14:textId="77777777" w:rsidR="00E73A49" w:rsidRPr="00E73A49" w:rsidRDefault="00E73A49" w:rsidP="00E73A49">
            <w:pPr>
              <w:spacing w:after="0"/>
              <w:jc w:val="right"/>
              <w:rPr>
                <w:rFonts w:ascii="Arial" w:hAnsi="Arial" w:cs="Arial"/>
                <w:b/>
                <w:bCs/>
                <w:sz w:val="16"/>
                <w:szCs w:val="16"/>
              </w:rPr>
            </w:pPr>
            <w:r w:rsidRPr="00E73A49">
              <w:rPr>
                <w:rFonts w:ascii="Arial" w:hAnsi="Arial" w:cs="Arial"/>
                <w:b/>
                <w:bCs/>
                <w:sz w:val="16"/>
                <w:szCs w:val="16"/>
              </w:rPr>
              <w:t>14,439</w:t>
            </w:r>
          </w:p>
        </w:tc>
      </w:tr>
    </w:tbl>
    <w:p w14:paraId="5517BAAE" w14:textId="1C058B23" w:rsidR="006B75B7" w:rsidRDefault="006A4723" w:rsidP="006A4723">
      <w:pPr>
        <w:pStyle w:val="FootnoteText"/>
        <w:spacing w:before="120"/>
      </w:pPr>
      <w:proofErr w:type="spellStart"/>
      <w:r w:rsidRPr="006A4723">
        <w:t>RoU</w:t>
      </w:r>
      <w:proofErr w:type="spellEnd"/>
      <w:r w:rsidRPr="006A4723">
        <w:t xml:space="preserve"> = Right-of-Use asset</w:t>
      </w:r>
    </w:p>
    <w:p w14:paraId="3EF3E0A1" w14:textId="77777777" w:rsidR="00593750" w:rsidRDefault="00593750" w:rsidP="00C8606C">
      <w:pPr>
        <w:spacing w:after="160" w:line="259" w:lineRule="auto"/>
        <w:rPr>
          <w:rFonts w:ascii="Arial" w:hAnsi="Arial"/>
          <w:sz w:val="15"/>
        </w:rPr>
        <w:sectPr w:rsidR="00593750"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3FA2F608" w14:textId="3606D3B0" w:rsidR="002A6E3F" w:rsidRPr="00C8606C" w:rsidRDefault="002A6E3F" w:rsidP="00C8606C">
      <w:pPr>
        <w:spacing w:after="160" w:line="259" w:lineRule="auto"/>
        <w:rPr>
          <w:rFonts w:ascii="Arial" w:hAnsi="Arial"/>
          <w:sz w:val="15"/>
        </w:rPr>
      </w:pPr>
    </w:p>
    <w:sectPr w:rsidR="002A6E3F" w:rsidRPr="00C8606C"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9F33" w14:textId="77777777" w:rsidR="00E27B2E" w:rsidRDefault="00E27B2E" w:rsidP="00913388">
      <w:pPr>
        <w:spacing w:after="0"/>
      </w:pPr>
      <w:r>
        <w:separator/>
      </w:r>
    </w:p>
  </w:endnote>
  <w:endnote w:type="continuationSeparator" w:id="0">
    <w:p w14:paraId="01430872" w14:textId="77777777" w:rsidR="00E27B2E" w:rsidRDefault="00E27B2E"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3945FCF2" w14:textId="1360FF5D" w:rsidR="00E27B2E" w:rsidRPr="00913388" w:rsidRDefault="00E27B2E"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D6892">
          <w:rPr>
            <w:rFonts w:ascii="Arial" w:hAnsi="Arial" w:cs="Arial"/>
            <w:noProof/>
            <w:sz w:val="18"/>
            <w:szCs w:val="18"/>
          </w:rPr>
          <w:t>304</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6E2B78D3" w14:textId="50CD8CC5" w:rsidR="00E27B2E" w:rsidRDefault="00E27B2E"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D6892">
          <w:rPr>
            <w:rFonts w:ascii="Arial" w:hAnsi="Arial" w:cs="Arial"/>
            <w:noProof/>
            <w:sz w:val="18"/>
            <w:szCs w:val="18"/>
          </w:rPr>
          <w:t>287</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3AED" w14:textId="77777777" w:rsidR="00E27B2E" w:rsidRPr="00125182" w:rsidRDefault="00E27B2E" w:rsidP="000212D3">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25182">
      <w:rPr>
        <w:rFonts w:ascii="Arial" w:hAnsi="Arial" w:cs="Arial"/>
        <w:b/>
        <w:color w:val="FFFFFF" w:themeColor="background1"/>
        <w:spacing w:val="10"/>
        <w:sz w:val="24"/>
      </w:rPr>
      <w:t>IHPA</w:t>
    </w:r>
  </w:p>
  <w:sdt>
    <w:sdtPr>
      <w:id w:val="1006628458"/>
      <w:docPartObj>
        <w:docPartGallery w:val="Page Numbers (Bottom of Page)"/>
        <w:docPartUnique/>
      </w:docPartObj>
    </w:sdtPr>
    <w:sdtEndPr>
      <w:rPr>
        <w:noProof/>
      </w:rPr>
    </w:sdtEndPr>
    <w:sdtContent>
      <w:p w14:paraId="5BF26CF0" w14:textId="1B16DA25" w:rsidR="00E27B2E" w:rsidRDefault="00E27B2E"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7D6892">
          <w:rPr>
            <w:rFonts w:ascii="Arial" w:hAnsi="Arial" w:cs="Arial"/>
            <w:noProof/>
            <w:sz w:val="18"/>
            <w:szCs w:val="18"/>
          </w:rPr>
          <w:t>303</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DF6F" w14:textId="77777777" w:rsidR="00E27B2E" w:rsidRDefault="00E27B2E" w:rsidP="00913388">
      <w:pPr>
        <w:spacing w:after="0"/>
      </w:pPr>
      <w:r>
        <w:separator/>
      </w:r>
    </w:p>
  </w:footnote>
  <w:footnote w:type="continuationSeparator" w:id="0">
    <w:p w14:paraId="118D5AE4" w14:textId="77777777" w:rsidR="00E27B2E" w:rsidRDefault="00E27B2E" w:rsidP="00913388">
      <w:pPr>
        <w:spacing w:after="0"/>
      </w:pPr>
      <w:r>
        <w:continuationSeparator/>
      </w:r>
    </w:p>
  </w:footnote>
  <w:footnote w:id="1">
    <w:p w14:paraId="76AA4AAF" w14:textId="7F2B8B45" w:rsidR="00E27B2E" w:rsidRPr="007D7165" w:rsidRDefault="00E27B2E" w:rsidP="00390A7A">
      <w:pPr>
        <w:pStyle w:val="FootnoteText"/>
        <w:rPr>
          <w:color w:val="auto"/>
        </w:rPr>
      </w:pPr>
      <w:r>
        <w:rPr>
          <w:rStyle w:val="FootnoteReference"/>
        </w:rPr>
        <w:footnoteRef/>
      </w:r>
      <w:r>
        <w:tab/>
      </w:r>
      <w:r w:rsidRPr="00AE0682">
        <w:t>For more information abou</w:t>
      </w:r>
      <w:r>
        <w:t>t the strategic direction of</w:t>
      </w:r>
      <w:r w:rsidRPr="00AE0682">
        <w:t xml:space="preserve"> </w:t>
      </w:r>
      <w:r>
        <w:t>IHPA</w:t>
      </w:r>
      <w:r w:rsidRPr="00AE0682">
        <w:t>, refer to the cu</w:t>
      </w:r>
      <w:r>
        <w:t>rrent Corporate Plan, available </w:t>
      </w:r>
      <w:r w:rsidRPr="00AE0682">
        <w:t xml:space="preserve">at: </w:t>
      </w:r>
      <w:r w:rsidRPr="0094619E">
        <w:t>www.ihpa.gov.au/who-we-are/</w:t>
      </w:r>
      <w:r w:rsidRPr="00C23DCA">
        <w:t>corporate-information</w:t>
      </w:r>
      <w:r w:rsidRPr="0011498B">
        <w:rPr>
          <w:rFonts w:cs="Arial"/>
          <w:color w:val="FF0000"/>
        </w:rPr>
        <w:t xml:space="preserve"> </w:t>
      </w:r>
    </w:p>
  </w:footnote>
  <w:footnote w:id="2">
    <w:p w14:paraId="7E000C0A" w14:textId="77777777" w:rsidR="00E27B2E" w:rsidRDefault="00E27B2E" w:rsidP="00390A7A">
      <w:pPr>
        <w:pStyle w:val="FootnoteText"/>
      </w:pPr>
      <w:r>
        <w:rPr>
          <w:rStyle w:val="FootnoteReference"/>
        </w:rPr>
        <w:footnoteRef/>
      </w:r>
      <w:r>
        <w:tab/>
        <w:t>Refer to the ACSQHC chapter in these Portfolio Budget Statements (PB Statements) for further information on the work of this entity.</w:t>
      </w:r>
    </w:p>
  </w:footnote>
  <w:footnote w:id="3">
    <w:p w14:paraId="5EDDB518" w14:textId="77777777" w:rsidR="00E27B2E" w:rsidRDefault="00E27B2E" w:rsidP="00E472FD">
      <w:pPr>
        <w:pStyle w:val="FootnoteText"/>
      </w:pPr>
      <w:r>
        <w:rPr>
          <w:rStyle w:val="FootnoteReference"/>
        </w:rPr>
        <w:footnoteRef/>
      </w:r>
      <w:r>
        <w:t xml:space="preserve"> </w:t>
      </w:r>
      <w:r>
        <w:tab/>
        <w:t>Refer to the AIHW chapter in these PB Statements for further information on the work of this entity.</w:t>
      </w:r>
    </w:p>
  </w:footnote>
  <w:footnote w:id="4">
    <w:p w14:paraId="62DACE32" w14:textId="77777777" w:rsidR="00E27B2E" w:rsidRDefault="00E27B2E" w:rsidP="00390A7A">
      <w:pPr>
        <w:pStyle w:val="FootnoteText"/>
      </w:pPr>
      <w:r>
        <w:rPr>
          <w:rStyle w:val="FootnoteReference"/>
        </w:rPr>
        <w:footnoteRef/>
      </w:r>
      <w:r>
        <w:t xml:space="preserve"> </w:t>
      </w:r>
      <w:r>
        <w:tab/>
        <w:t>Refer to the NHFB chapter in these PB Statements for further information on the work of this entity.</w:t>
      </w:r>
    </w:p>
  </w:footnote>
  <w:footnote w:id="5">
    <w:p w14:paraId="7F254A06" w14:textId="77777777" w:rsidR="00E27B2E" w:rsidRDefault="00E27B2E" w:rsidP="00390A7A">
      <w:pPr>
        <w:pStyle w:val="FootnoteText"/>
      </w:pPr>
      <w:r>
        <w:rPr>
          <w:rStyle w:val="FootnoteReference"/>
        </w:rPr>
        <w:footnoteRef/>
      </w:r>
      <w:r>
        <w:t xml:space="preserve"> </w:t>
      </w:r>
      <w:r>
        <w:tab/>
        <w:t>Ibid.</w:t>
      </w:r>
    </w:p>
  </w:footnote>
  <w:footnote w:id="6">
    <w:p w14:paraId="0A5F627F" w14:textId="147702CC" w:rsidR="00E27B2E" w:rsidRDefault="00E27B2E">
      <w:pPr>
        <w:pStyle w:val="FootnoteText"/>
      </w:pPr>
      <w:r>
        <w:rPr>
          <w:rStyle w:val="FootnoteReference"/>
        </w:rPr>
        <w:footnoteRef/>
      </w:r>
      <w:r>
        <w:t xml:space="preserve"> </w:t>
      </w:r>
      <w:r>
        <w:tab/>
        <w:t>Australian Classification of Health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3DD3" w14:textId="2012E563" w:rsidR="00E27B2E" w:rsidRPr="00125182" w:rsidRDefault="00E27B2E" w:rsidP="00F038D2">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25182">
      <w:rPr>
        <w:rFonts w:ascii="Arial" w:hAnsi="Arial" w:cs="Arial"/>
        <w:b/>
        <w:color w:val="FFFFFF" w:themeColor="background1"/>
        <w:spacing w:val="10"/>
        <w:sz w:val="24"/>
      </w:rPr>
      <w:t>IHPA</w:t>
    </w:r>
  </w:p>
  <w:p w14:paraId="0DFAC3A9" w14:textId="0A15B0C0" w:rsidR="00E27B2E" w:rsidRDefault="00E27B2E" w:rsidP="00D863E4">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0DF6" w14:textId="7B4CA8B8" w:rsidR="00E27B2E" w:rsidRDefault="00E27B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372E" w14:textId="2371EFCC" w:rsidR="00E27B2E" w:rsidRDefault="00E27B2E" w:rsidP="00F62E2E">
    <w:pPr>
      <w:pStyle w:val="Header2-Left"/>
      <w:spacing w:after="40"/>
    </w:pPr>
    <w:r>
      <w:t>2022–23 Portfolio Budget Statements – IHPA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2D03" w14:textId="650918F5" w:rsidR="00E27B2E" w:rsidRDefault="00E27B2E" w:rsidP="00F62E2E">
    <w:pPr>
      <w:pStyle w:val="Header1-Right"/>
      <w:spacing w:after="40"/>
    </w:pPr>
    <w:r>
      <w:t>IHPA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1929" w14:textId="5CD2F0EF" w:rsidR="00E27B2E" w:rsidRDefault="00E27B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21C" w14:textId="27038234" w:rsidR="00593750" w:rsidRPr="00593750" w:rsidRDefault="00593750" w:rsidP="00593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7422" w14:textId="6194AAE7" w:rsidR="00E27B2E" w:rsidRDefault="00E27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CC42" w14:textId="0EC691E2" w:rsidR="00E27B2E" w:rsidRPr="00441351" w:rsidRDefault="00E27B2E" w:rsidP="00441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4AE" w14:textId="7D2A79EE" w:rsidR="00E27B2E" w:rsidRDefault="00E27B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ABB3" w14:textId="48EC923A" w:rsidR="00E27B2E" w:rsidRDefault="00E27B2E" w:rsidP="00F62E2E">
    <w:pPr>
      <w:pStyle w:val="Header2-Left"/>
      <w:spacing w:after="40"/>
    </w:pPr>
    <w:r>
      <w:t>2022–23 Portfolio Budget Statements – IHPA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CB9" w14:textId="36B2900A" w:rsidR="00E27B2E" w:rsidRDefault="00E27B2E" w:rsidP="00F62E2E">
    <w:pPr>
      <w:pStyle w:val="Header1-Right"/>
      <w:spacing w:after="40"/>
    </w:pPr>
    <w:r>
      <w:t>IHPA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68FA" w14:textId="3C8156D2" w:rsidR="00E27B2E" w:rsidRDefault="00E27B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5620" w14:textId="46F199EC" w:rsidR="00E27B2E" w:rsidRDefault="00E27B2E" w:rsidP="00F62E2E">
    <w:pPr>
      <w:pStyle w:val="Header2-Left"/>
      <w:spacing w:after="40"/>
    </w:pPr>
    <w:r>
      <w:t>2022–23 Portfolio Budget Statements – IHPA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F117" w14:textId="3DAACEF9" w:rsidR="00E27B2E" w:rsidRDefault="00E27B2E" w:rsidP="00F62E2E">
    <w:pPr>
      <w:pStyle w:val="Header1-Right"/>
      <w:spacing w:after="40"/>
    </w:pPr>
    <w:r>
      <w:t>IHPA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AB317D9"/>
    <w:multiLevelType w:val="hybridMultilevel"/>
    <w:tmpl w:val="1A6C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571F65"/>
    <w:multiLevelType w:val="hybridMultilevel"/>
    <w:tmpl w:val="523E8CC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065A5"/>
    <w:multiLevelType w:val="hybridMultilevel"/>
    <w:tmpl w:val="928C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C3754"/>
    <w:multiLevelType w:val="hybridMultilevel"/>
    <w:tmpl w:val="E7068590"/>
    <w:lvl w:ilvl="0" w:tplc="8A3A39A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BB0176"/>
    <w:multiLevelType w:val="hybridMultilevel"/>
    <w:tmpl w:val="4F189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F120BE"/>
    <w:multiLevelType w:val="hybridMultilevel"/>
    <w:tmpl w:val="C39CDDC8"/>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E57F59"/>
    <w:multiLevelType w:val="hybridMultilevel"/>
    <w:tmpl w:val="0212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EA76504"/>
    <w:multiLevelType w:val="hybridMultilevel"/>
    <w:tmpl w:val="3F10D15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0D46C6"/>
    <w:multiLevelType w:val="hybridMultilevel"/>
    <w:tmpl w:val="AA0C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020FB"/>
    <w:multiLevelType w:val="hybridMultilevel"/>
    <w:tmpl w:val="716A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10"/>
  </w:num>
  <w:num w:numId="5">
    <w:abstractNumId w:val="13"/>
  </w:num>
  <w:num w:numId="6">
    <w:abstractNumId w:val="2"/>
  </w:num>
  <w:num w:numId="7">
    <w:abstractNumId w:val="5"/>
  </w:num>
  <w:num w:numId="8">
    <w:abstractNumId w:val="12"/>
  </w:num>
  <w:num w:numId="9">
    <w:abstractNumId w:val="4"/>
  </w:num>
  <w:num w:numId="10">
    <w:abstractNumId w:val="6"/>
  </w:num>
  <w:num w:numId="11">
    <w:abstractNumId w:val="17"/>
  </w:num>
  <w:num w:numId="12">
    <w:abstractNumId w:val="1"/>
  </w:num>
  <w:num w:numId="13">
    <w:abstractNumId w:val="0"/>
  </w:num>
  <w:num w:numId="14">
    <w:abstractNumId w:val="18"/>
  </w:num>
  <w:num w:numId="15">
    <w:abstractNumId w:val="11"/>
  </w:num>
  <w:num w:numId="16">
    <w:abstractNumId w:val="8"/>
  </w:num>
  <w:num w:numId="17">
    <w:abstractNumId w:val="7"/>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DFF"/>
    <w:rsid w:val="000212D3"/>
    <w:rsid w:val="00035757"/>
    <w:rsid w:val="00036DF2"/>
    <w:rsid w:val="00074014"/>
    <w:rsid w:val="00075210"/>
    <w:rsid w:val="00075C30"/>
    <w:rsid w:val="00081ABD"/>
    <w:rsid w:val="00083B3F"/>
    <w:rsid w:val="00087657"/>
    <w:rsid w:val="000A1A1D"/>
    <w:rsid w:val="000A4FA9"/>
    <w:rsid w:val="000C652E"/>
    <w:rsid w:val="000E3C16"/>
    <w:rsid w:val="000E7B8B"/>
    <w:rsid w:val="000F4CDC"/>
    <w:rsid w:val="000F6489"/>
    <w:rsid w:val="001019C5"/>
    <w:rsid w:val="0011498B"/>
    <w:rsid w:val="0011587A"/>
    <w:rsid w:val="0013523C"/>
    <w:rsid w:val="001462CD"/>
    <w:rsid w:val="001519C3"/>
    <w:rsid w:val="00153503"/>
    <w:rsid w:val="00161B23"/>
    <w:rsid w:val="001764B2"/>
    <w:rsid w:val="00191F54"/>
    <w:rsid w:val="001A679A"/>
    <w:rsid w:val="001B0D8D"/>
    <w:rsid w:val="001B52DC"/>
    <w:rsid w:val="001B7D21"/>
    <w:rsid w:val="001D014F"/>
    <w:rsid w:val="001E7AC0"/>
    <w:rsid w:val="001F642F"/>
    <w:rsid w:val="002113EF"/>
    <w:rsid w:val="00216B26"/>
    <w:rsid w:val="00226760"/>
    <w:rsid w:val="0024539A"/>
    <w:rsid w:val="002511C9"/>
    <w:rsid w:val="00270C3F"/>
    <w:rsid w:val="002768D6"/>
    <w:rsid w:val="00280050"/>
    <w:rsid w:val="002951C2"/>
    <w:rsid w:val="002A6E3F"/>
    <w:rsid w:val="002B348B"/>
    <w:rsid w:val="002C146C"/>
    <w:rsid w:val="002D055D"/>
    <w:rsid w:val="002E0591"/>
    <w:rsid w:val="002F2050"/>
    <w:rsid w:val="002F7C20"/>
    <w:rsid w:val="00301F1C"/>
    <w:rsid w:val="00303308"/>
    <w:rsid w:val="00305B38"/>
    <w:rsid w:val="003074FF"/>
    <w:rsid w:val="00310EA0"/>
    <w:rsid w:val="003116E9"/>
    <w:rsid w:val="00313C85"/>
    <w:rsid w:val="003227A0"/>
    <w:rsid w:val="003425A8"/>
    <w:rsid w:val="00357948"/>
    <w:rsid w:val="00360EDD"/>
    <w:rsid w:val="0036181E"/>
    <w:rsid w:val="0036603E"/>
    <w:rsid w:val="0037037F"/>
    <w:rsid w:val="00371AAA"/>
    <w:rsid w:val="0037295F"/>
    <w:rsid w:val="00374BF6"/>
    <w:rsid w:val="00390A7A"/>
    <w:rsid w:val="003947C1"/>
    <w:rsid w:val="003A2717"/>
    <w:rsid w:val="003B680D"/>
    <w:rsid w:val="003B7033"/>
    <w:rsid w:val="003D271B"/>
    <w:rsid w:val="003E215F"/>
    <w:rsid w:val="003E5932"/>
    <w:rsid w:val="003F4CB2"/>
    <w:rsid w:val="0042076B"/>
    <w:rsid w:val="00423892"/>
    <w:rsid w:val="00441351"/>
    <w:rsid w:val="00441C9F"/>
    <w:rsid w:val="00441DB8"/>
    <w:rsid w:val="00472582"/>
    <w:rsid w:val="00493961"/>
    <w:rsid w:val="004B4018"/>
    <w:rsid w:val="004C6E42"/>
    <w:rsid w:val="004D385F"/>
    <w:rsid w:val="004E507D"/>
    <w:rsid w:val="00500BE3"/>
    <w:rsid w:val="00523D7C"/>
    <w:rsid w:val="00531AD2"/>
    <w:rsid w:val="005540B8"/>
    <w:rsid w:val="00561109"/>
    <w:rsid w:val="0057586E"/>
    <w:rsid w:val="0058093F"/>
    <w:rsid w:val="005825C2"/>
    <w:rsid w:val="00593750"/>
    <w:rsid w:val="005A447E"/>
    <w:rsid w:val="005B3A9B"/>
    <w:rsid w:val="005D52B5"/>
    <w:rsid w:val="005F411F"/>
    <w:rsid w:val="00617D25"/>
    <w:rsid w:val="00623168"/>
    <w:rsid w:val="00626536"/>
    <w:rsid w:val="00637C58"/>
    <w:rsid w:val="00637E13"/>
    <w:rsid w:val="006409EA"/>
    <w:rsid w:val="006666D4"/>
    <w:rsid w:val="0067180E"/>
    <w:rsid w:val="00672D9B"/>
    <w:rsid w:val="00683FD2"/>
    <w:rsid w:val="006859F3"/>
    <w:rsid w:val="00686301"/>
    <w:rsid w:val="00686C01"/>
    <w:rsid w:val="00691B83"/>
    <w:rsid w:val="006974CE"/>
    <w:rsid w:val="006A4723"/>
    <w:rsid w:val="006A5D86"/>
    <w:rsid w:val="006B75B7"/>
    <w:rsid w:val="006E0308"/>
    <w:rsid w:val="006E15D3"/>
    <w:rsid w:val="006E44F3"/>
    <w:rsid w:val="006E552B"/>
    <w:rsid w:val="006F0D48"/>
    <w:rsid w:val="006F150D"/>
    <w:rsid w:val="006F430E"/>
    <w:rsid w:val="006F632E"/>
    <w:rsid w:val="007202D2"/>
    <w:rsid w:val="00730E96"/>
    <w:rsid w:val="007310B9"/>
    <w:rsid w:val="007345F0"/>
    <w:rsid w:val="00736EEE"/>
    <w:rsid w:val="00743354"/>
    <w:rsid w:val="00777475"/>
    <w:rsid w:val="0077751E"/>
    <w:rsid w:val="0078726E"/>
    <w:rsid w:val="007A445E"/>
    <w:rsid w:val="007A65BA"/>
    <w:rsid w:val="007A7D3D"/>
    <w:rsid w:val="007C27B4"/>
    <w:rsid w:val="007D1B3A"/>
    <w:rsid w:val="007D6892"/>
    <w:rsid w:val="007F5830"/>
    <w:rsid w:val="00812B79"/>
    <w:rsid w:val="00821126"/>
    <w:rsid w:val="008453B8"/>
    <w:rsid w:val="008675AC"/>
    <w:rsid w:val="00883696"/>
    <w:rsid w:val="00893C55"/>
    <w:rsid w:val="008B5BB0"/>
    <w:rsid w:val="008C0052"/>
    <w:rsid w:val="00906F3C"/>
    <w:rsid w:val="00913388"/>
    <w:rsid w:val="0091734F"/>
    <w:rsid w:val="00935F1F"/>
    <w:rsid w:val="00956448"/>
    <w:rsid w:val="00957E83"/>
    <w:rsid w:val="00972A2D"/>
    <w:rsid w:val="00985AB1"/>
    <w:rsid w:val="00985D08"/>
    <w:rsid w:val="009C5310"/>
    <w:rsid w:val="009D0F60"/>
    <w:rsid w:val="009E44A3"/>
    <w:rsid w:val="00A02CB9"/>
    <w:rsid w:val="00A1203F"/>
    <w:rsid w:val="00A45438"/>
    <w:rsid w:val="00A47233"/>
    <w:rsid w:val="00A54836"/>
    <w:rsid w:val="00A65CA8"/>
    <w:rsid w:val="00A668BF"/>
    <w:rsid w:val="00A673DE"/>
    <w:rsid w:val="00A859B7"/>
    <w:rsid w:val="00A87835"/>
    <w:rsid w:val="00A90391"/>
    <w:rsid w:val="00AA4DB3"/>
    <w:rsid w:val="00AB4A41"/>
    <w:rsid w:val="00AC05CF"/>
    <w:rsid w:val="00AC2148"/>
    <w:rsid w:val="00AC737F"/>
    <w:rsid w:val="00AE4EC1"/>
    <w:rsid w:val="00AF3770"/>
    <w:rsid w:val="00B04614"/>
    <w:rsid w:val="00B16A64"/>
    <w:rsid w:val="00B46E32"/>
    <w:rsid w:val="00B6497A"/>
    <w:rsid w:val="00B85986"/>
    <w:rsid w:val="00B87B5E"/>
    <w:rsid w:val="00B91FBA"/>
    <w:rsid w:val="00BA6CCE"/>
    <w:rsid w:val="00BA7A72"/>
    <w:rsid w:val="00BB0F49"/>
    <w:rsid w:val="00BC0397"/>
    <w:rsid w:val="00BC0659"/>
    <w:rsid w:val="00BE251A"/>
    <w:rsid w:val="00BF26B6"/>
    <w:rsid w:val="00BF2D57"/>
    <w:rsid w:val="00C17567"/>
    <w:rsid w:val="00C23DCA"/>
    <w:rsid w:val="00C30185"/>
    <w:rsid w:val="00C32C5A"/>
    <w:rsid w:val="00C425D8"/>
    <w:rsid w:val="00C53732"/>
    <w:rsid w:val="00C74B89"/>
    <w:rsid w:val="00C8606C"/>
    <w:rsid w:val="00C9195A"/>
    <w:rsid w:val="00C93D0C"/>
    <w:rsid w:val="00CB6F4C"/>
    <w:rsid w:val="00CC6280"/>
    <w:rsid w:val="00CD29C3"/>
    <w:rsid w:val="00CE2F67"/>
    <w:rsid w:val="00CE552E"/>
    <w:rsid w:val="00CF40C3"/>
    <w:rsid w:val="00D30CD1"/>
    <w:rsid w:val="00D74237"/>
    <w:rsid w:val="00D81C4A"/>
    <w:rsid w:val="00D863E4"/>
    <w:rsid w:val="00D93C03"/>
    <w:rsid w:val="00D950D4"/>
    <w:rsid w:val="00DA070D"/>
    <w:rsid w:val="00DA2D8D"/>
    <w:rsid w:val="00DB0930"/>
    <w:rsid w:val="00DB51D3"/>
    <w:rsid w:val="00DC6A2D"/>
    <w:rsid w:val="00DD322F"/>
    <w:rsid w:val="00DD6402"/>
    <w:rsid w:val="00DE2135"/>
    <w:rsid w:val="00DE428D"/>
    <w:rsid w:val="00DF3892"/>
    <w:rsid w:val="00E11512"/>
    <w:rsid w:val="00E256AC"/>
    <w:rsid w:val="00E2635C"/>
    <w:rsid w:val="00E27B2E"/>
    <w:rsid w:val="00E40FBE"/>
    <w:rsid w:val="00E472FD"/>
    <w:rsid w:val="00E55B66"/>
    <w:rsid w:val="00E67D73"/>
    <w:rsid w:val="00E735BF"/>
    <w:rsid w:val="00E73A49"/>
    <w:rsid w:val="00E76575"/>
    <w:rsid w:val="00E866CB"/>
    <w:rsid w:val="00E86CDF"/>
    <w:rsid w:val="00EA3F21"/>
    <w:rsid w:val="00EB657C"/>
    <w:rsid w:val="00EC06C4"/>
    <w:rsid w:val="00EC3492"/>
    <w:rsid w:val="00F02EC7"/>
    <w:rsid w:val="00F038D2"/>
    <w:rsid w:val="00F14D6C"/>
    <w:rsid w:val="00F32A69"/>
    <w:rsid w:val="00F35230"/>
    <w:rsid w:val="00F41525"/>
    <w:rsid w:val="00F41EDD"/>
    <w:rsid w:val="00F53BDE"/>
    <w:rsid w:val="00F57DD7"/>
    <w:rsid w:val="00F62E2E"/>
    <w:rsid w:val="00F67683"/>
    <w:rsid w:val="00F709DD"/>
    <w:rsid w:val="00F83F57"/>
    <w:rsid w:val="00F84E85"/>
    <w:rsid w:val="00F91EB8"/>
    <w:rsid w:val="00FA06C5"/>
    <w:rsid w:val="00FB1866"/>
    <w:rsid w:val="00FB1D8B"/>
    <w:rsid w:val="00FC4239"/>
    <w:rsid w:val="00FC4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2F3726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1C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rsid w:val="00985D08"/>
    <w:pPr>
      <w:spacing w:after="0"/>
    </w:pPr>
    <w:rPr>
      <w:rFonts w:ascii="Tahoma" w:hAnsi="Tahoma" w:cs="Tahoma"/>
      <w:sz w:val="16"/>
      <w:szCs w:val="16"/>
    </w:rPr>
  </w:style>
  <w:style w:type="character" w:customStyle="1" w:styleId="BalloonTextChar">
    <w:name w:val="Balloon Text Char"/>
    <w:basedOn w:val="DefaultParagraphFont"/>
    <w:link w:val="BalloonText"/>
    <w:rsid w:val="00985D08"/>
    <w:rPr>
      <w:rFonts w:ascii="Tahoma" w:eastAsia="Times New Roman" w:hAnsi="Tahoma" w:cs="Tahoma"/>
      <w:color w:val="000000"/>
      <w:sz w:val="16"/>
      <w:szCs w:val="16"/>
      <w:lang w:eastAsia="en-AU"/>
    </w:rPr>
  </w:style>
  <w:style w:type="paragraph" w:customStyle="1" w:styleId="Tabletextmeasures85pt0">
    <w:name w:val="Table text (measures) 8.5.pt"/>
    <w:basedOn w:val="Tabletextnormal9pt"/>
    <w:qFormat/>
    <w:rsid w:val="000F6489"/>
    <w:rPr>
      <w:sz w:val="17"/>
    </w:rPr>
  </w:style>
  <w:style w:type="character" w:styleId="CommentReference">
    <w:name w:val="annotation reference"/>
    <w:basedOn w:val="DefaultParagraphFont"/>
    <w:uiPriority w:val="99"/>
    <w:semiHidden/>
    <w:unhideWhenUsed/>
    <w:rsid w:val="002113EF"/>
    <w:rPr>
      <w:sz w:val="16"/>
      <w:szCs w:val="16"/>
    </w:rPr>
  </w:style>
  <w:style w:type="paragraph" w:styleId="CommentText">
    <w:name w:val="annotation text"/>
    <w:basedOn w:val="Normal"/>
    <w:link w:val="CommentTextChar"/>
    <w:uiPriority w:val="99"/>
    <w:semiHidden/>
    <w:unhideWhenUsed/>
    <w:rsid w:val="002113EF"/>
  </w:style>
  <w:style w:type="character" w:customStyle="1" w:styleId="CommentTextChar">
    <w:name w:val="Comment Text Char"/>
    <w:basedOn w:val="DefaultParagraphFont"/>
    <w:link w:val="CommentText"/>
    <w:uiPriority w:val="99"/>
    <w:semiHidden/>
    <w:rsid w:val="002113E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2113EF"/>
    <w:rPr>
      <w:b/>
      <w:bCs/>
    </w:rPr>
  </w:style>
  <w:style w:type="character" w:customStyle="1" w:styleId="CommentSubjectChar">
    <w:name w:val="Comment Subject Char"/>
    <w:basedOn w:val="CommentTextChar"/>
    <w:link w:val="CommentSubject"/>
    <w:uiPriority w:val="99"/>
    <w:semiHidden/>
    <w:rsid w:val="002113EF"/>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B51D3"/>
    <w:pPr>
      <w:tabs>
        <w:tab w:val="left" w:pos="357"/>
      </w:tabs>
      <w:contextualSpacing/>
    </w:pPr>
  </w:style>
  <w:style w:type="character" w:customStyle="1" w:styleId="Heading6Char">
    <w:name w:val="Heading 6 Char"/>
    <w:basedOn w:val="DefaultParagraphFont"/>
    <w:link w:val="Heading6"/>
    <w:uiPriority w:val="9"/>
    <w:semiHidden/>
    <w:rsid w:val="00441C9F"/>
    <w:rPr>
      <w:rFonts w:asciiTheme="majorHAnsi" w:eastAsiaTheme="majorEastAsia" w:hAnsiTheme="majorHAnsi" w:cstheme="majorBidi"/>
      <w:color w:val="1F4D78" w:themeColor="accent1" w:themeShade="7F"/>
      <w:sz w:val="20"/>
      <w:szCs w:val="20"/>
      <w:lang w:eastAsia="en-AU"/>
    </w:rPr>
  </w:style>
  <w:style w:type="character" w:customStyle="1" w:styleId="Header1-Right-OddChar">
    <w:name w:val="Header 1 - Right - Odd Char"/>
    <w:basedOn w:val="DefaultParagraphFont"/>
    <w:link w:val="Header1-Right-Odd"/>
    <w:locked/>
    <w:rsid w:val="006974C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974C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95">
      <w:bodyDiv w:val="1"/>
      <w:marLeft w:val="0"/>
      <w:marRight w:val="0"/>
      <w:marTop w:val="0"/>
      <w:marBottom w:val="0"/>
      <w:divBdr>
        <w:top w:val="none" w:sz="0" w:space="0" w:color="auto"/>
        <w:left w:val="none" w:sz="0" w:space="0" w:color="auto"/>
        <w:bottom w:val="none" w:sz="0" w:space="0" w:color="auto"/>
        <w:right w:val="none" w:sz="0" w:space="0" w:color="auto"/>
      </w:divBdr>
    </w:div>
    <w:div w:id="29840424">
      <w:bodyDiv w:val="1"/>
      <w:marLeft w:val="0"/>
      <w:marRight w:val="0"/>
      <w:marTop w:val="0"/>
      <w:marBottom w:val="0"/>
      <w:divBdr>
        <w:top w:val="none" w:sz="0" w:space="0" w:color="auto"/>
        <w:left w:val="none" w:sz="0" w:space="0" w:color="auto"/>
        <w:bottom w:val="none" w:sz="0" w:space="0" w:color="auto"/>
        <w:right w:val="none" w:sz="0" w:space="0" w:color="auto"/>
      </w:divBdr>
    </w:div>
    <w:div w:id="89855629">
      <w:bodyDiv w:val="1"/>
      <w:marLeft w:val="0"/>
      <w:marRight w:val="0"/>
      <w:marTop w:val="0"/>
      <w:marBottom w:val="0"/>
      <w:divBdr>
        <w:top w:val="none" w:sz="0" w:space="0" w:color="auto"/>
        <w:left w:val="none" w:sz="0" w:space="0" w:color="auto"/>
        <w:bottom w:val="none" w:sz="0" w:space="0" w:color="auto"/>
        <w:right w:val="none" w:sz="0" w:space="0" w:color="auto"/>
      </w:divBdr>
    </w:div>
    <w:div w:id="199586030">
      <w:bodyDiv w:val="1"/>
      <w:marLeft w:val="0"/>
      <w:marRight w:val="0"/>
      <w:marTop w:val="0"/>
      <w:marBottom w:val="0"/>
      <w:divBdr>
        <w:top w:val="none" w:sz="0" w:space="0" w:color="auto"/>
        <w:left w:val="none" w:sz="0" w:space="0" w:color="auto"/>
        <w:bottom w:val="none" w:sz="0" w:space="0" w:color="auto"/>
        <w:right w:val="none" w:sz="0" w:space="0" w:color="auto"/>
      </w:divBdr>
    </w:div>
    <w:div w:id="224801455">
      <w:bodyDiv w:val="1"/>
      <w:marLeft w:val="0"/>
      <w:marRight w:val="0"/>
      <w:marTop w:val="0"/>
      <w:marBottom w:val="0"/>
      <w:divBdr>
        <w:top w:val="none" w:sz="0" w:space="0" w:color="auto"/>
        <w:left w:val="none" w:sz="0" w:space="0" w:color="auto"/>
        <w:bottom w:val="none" w:sz="0" w:space="0" w:color="auto"/>
        <w:right w:val="none" w:sz="0" w:space="0" w:color="auto"/>
      </w:divBdr>
    </w:div>
    <w:div w:id="309408608">
      <w:bodyDiv w:val="1"/>
      <w:marLeft w:val="0"/>
      <w:marRight w:val="0"/>
      <w:marTop w:val="0"/>
      <w:marBottom w:val="0"/>
      <w:divBdr>
        <w:top w:val="none" w:sz="0" w:space="0" w:color="auto"/>
        <w:left w:val="none" w:sz="0" w:space="0" w:color="auto"/>
        <w:bottom w:val="none" w:sz="0" w:space="0" w:color="auto"/>
        <w:right w:val="none" w:sz="0" w:space="0" w:color="auto"/>
      </w:divBdr>
    </w:div>
    <w:div w:id="404454938">
      <w:bodyDiv w:val="1"/>
      <w:marLeft w:val="0"/>
      <w:marRight w:val="0"/>
      <w:marTop w:val="0"/>
      <w:marBottom w:val="0"/>
      <w:divBdr>
        <w:top w:val="none" w:sz="0" w:space="0" w:color="auto"/>
        <w:left w:val="none" w:sz="0" w:space="0" w:color="auto"/>
        <w:bottom w:val="none" w:sz="0" w:space="0" w:color="auto"/>
        <w:right w:val="none" w:sz="0" w:space="0" w:color="auto"/>
      </w:divBdr>
    </w:div>
    <w:div w:id="673387495">
      <w:bodyDiv w:val="1"/>
      <w:marLeft w:val="0"/>
      <w:marRight w:val="0"/>
      <w:marTop w:val="0"/>
      <w:marBottom w:val="0"/>
      <w:divBdr>
        <w:top w:val="none" w:sz="0" w:space="0" w:color="auto"/>
        <w:left w:val="none" w:sz="0" w:space="0" w:color="auto"/>
        <w:bottom w:val="none" w:sz="0" w:space="0" w:color="auto"/>
        <w:right w:val="none" w:sz="0" w:space="0" w:color="auto"/>
      </w:divBdr>
    </w:div>
    <w:div w:id="674265450">
      <w:bodyDiv w:val="1"/>
      <w:marLeft w:val="0"/>
      <w:marRight w:val="0"/>
      <w:marTop w:val="0"/>
      <w:marBottom w:val="0"/>
      <w:divBdr>
        <w:top w:val="none" w:sz="0" w:space="0" w:color="auto"/>
        <w:left w:val="none" w:sz="0" w:space="0" w:color="auto"/>
        <w:bottom w:val="none" w:sz="0" w:space="0" w:color="auto"/>
        <w:right w:val="none" w:sz="0" w:space="0" w:color="auto"/>
      </w:divBdr>
    </w:div>
    <w:div w:id="833180957">
      <w:bodyDiv w:val="1"/>
      <w:marLeft w:val="0"/>
      <w:marRight w:val="0"/>
      <w:marTop w:val="0"/>
      <w:marBottom w:val="0"/>
      <w:divBdr>
        <w:top w:val="none" w:sz="0" w:space="0" w:color="auto"/>
        <w:left w:val="none" w:sz="0" w:space="0" w:color="auto"/>
        <w:bottom w:val="none" w:sz="0" w:space="0" w:color="auto"/>
        <w:right w:val="none" w:sz="0" w:space="0" w:color="auto"/>
      </w:divBdr>
    </w:div>
    <w:div w:id="937908227">
      <w:bodyDiv w:val="1"/>
      <w:marLeft w:val="0"/>
      <w:marRight w:val="0"/>
      <w:marTop w:val="0"/>
      <w:marBottom w:val="0"/>
      <w:divBdr>
        <w:top w:val="none" w:sz="0" w:space="0" w:color="auto"/>
        <w:left w:val="none" w:sz="0" w:space="0" w:color="auto"/>
        <w:bottom w:val="none" w:sz="0" w:space="0" w:color="auto"/>
        <w:right w:val="none" w:sz="0" w:space="0" w:color="auto"/>
      </w:divBdr>
    </w:div>
    <w:div w:id="1023244016">
      <w:bodyDiv w:val="1"/>
      <w:marLeft w:val="0"/>
      <w:marRight w:val="0"/>
      <w:marTop w:val="0"/>
      <w:marBottom w:val="0"/>
      <w:divBdr>
        <w:top w:val="none" w:sz="0" w:space="0" w:color="auto"/>
        <w:left w:val="none" w:sz="0" w:space="0" w:color="auto"/>
        <w:bottom w:val="none" w:sz="0" w:space="0" w:color="auto"/>
        <w:right w:val="none" w:sz="0" w:space="0" w:color="auto"/>
      </w:divBdr>
    </w:div>
    <w:div w:id="1127509291">
      <w:bodyDiv w:val="1"/>
      <w:marLeft w:val="0"/>
      <w:marRight w:val="0"/>
      <w:marTop w:val="0"/>
      <w:marBottom w:val="0"/>
      <w:divBdr>
        <w:top w:val="none" w:sz="0" w:space="0" w:color="auto"/>
        <w:left w:val="none" w:sz="0" w:space="0" w:color="auto"/>
        <w:bottom w:val="none" w:sz="0" w:space="0" w:color="auto"/>
        <w:right w:val="none" w:sz="0" w:space="0" w:color="auto"/>
      </w:divBdr>
    </w:div>
    <w:div w:id="1147209080">
      <w:bodyDiv w:val="1"/>
      <w:marLeft w:val="0"/>
      <w:marRight w:val="0"/>
      <w:marTop w:val="0"/>
      <w:marBottom w:val="0"/>
      <w:divBdr>
        <w:top w:val="none" w:sz="0" w:space="0" w:color="auto"/>
        <w:left w:val="none" w:sz="0" w:space="0" w:color="auto"/>
        <w:bottom w:val="none" w:sz="0" w:space="0" w:color="auto"/>
        <w:right w:val="none" w:sz="0" w:space="0" w:color="auto"/>
      </w:divBdr>
    </w:div>
    <w:div w:id="1190030005">
      <w:bodyDiv w:val="1"/>
      <w:marLeft w:val="0"/>
      <w:marRight w:val="0"/>
      <w:marTop w:val="0"/>
      <w:marBottom w:val="0"/>
      <w:divBdr>
        <w:top w:val="none" w:sz="0" w:space="0" w:color="auto"/>
        <w:left w:val="none" w:sz="0" w:space="0" w:color="auto"/>
        <w:bottom w:val="none" w:sz="0" w:space="0" w:color="auto"/>
        <w:right w:val="none" w:sz="0" w:space="0" w:color="auto"/>
      </w:divBdr>
    </w:div>
    <w:div w:id="1248348073">
      <w:bodyDiv w:val="1"/>
      <w:marLeft w:val="0"/>
      <w:marRight w:val="0"/>
      <w:marTop w:val="0"/>
      <w:marBottom w:val="0"/>
      <w:divBdr>
        <w:top w:val="none" w:sz="0" w:space="0" w:color="auto"/>
        <w:left w:val="none" w:sz="0" w:space="0" w:color="auto"/>
        <w:bottom w:val="none" w:sz="0" w:space="0" w:color="auto"/>
        <w:right w:val="none" w:sz="0" w:space="0" w:color="auto"/>
      </w:divBdr>
    </w:div>
    <w:div w:id="1316103176">
      <w:bodyDiv w:val="1"/>
      <w:marLeft w:val="0"/>
      <w:marRight w:val="0"/>
      <w:marTop w:val="0"/>
      <w:marBottom w:val="0"/>
      <w:divBdr>
        <w:top w:val="none" w:sz="0" w:space="0" w:color="auto"/>
        <w:left w:val="none" w:sz="0" w:space="0" w:color="auto"/>
        <w:bottom w:val="none" w:sz="0" w:space="0" w:color="auto"/>
        <w:right w:val="none" w:sz="0" w:space="0" w:color="auto"/>
      </w:divBdr>
    </w:div>
    <w:div w:id="1373311694">
      <w:bodyDiv w:val="1"/>
      <w:marLeft w:val="0"/>
      <w:marRight w:val="0"/>
      <w:marTop w:val="0"/>
      <w:marBottom w:val="0"/>
      <w:divBdr>
        <w:top w:val="none" w:sz="0" w:space="0" w:color="auto"/>
        <w:left w:val="none" w:sz="0" w:space="0" w:color="auto"/>
        <w:bottom w:val="none" w:sz="0" w:space="0" w:color="auto"/>
        <w:right w:val="none" w:sz="0" w:space="0" w:color="auto"/>
      </w:divBdr>
    </w:div>
    <w:div w:id="1413620724">
      <w:bodyDiv w:val="1"/>
      <w:marLeft w:val="0"/>
      <w:marRight w:val="0"/>
      <w:marTop w:val="0"/>
      <w:marBottom w:val="0"/>
      <w:divBdr>
        <w:top w:val="none" w:sz="0" w:space="0" w:color="auto"/>
        <w:left w:val="none" w:sz="0" w:space="0" w:color="auto"/>
        <w:bottom w:val="none" w:sz="0" w:space="0" w:color="auto"/>
        <w:right w:val="none" w:sz="0" w:space="0" w:color="auto"/>
      </w:divBdr>
    </w:div>
    <w:div w:id="1438478107">
      <w:bodyDiv w:val="1"/>
      <w:marLeft w:val="0"/>
      <w:marRight w:val="0"/>
      <w:marTop w:val="0"/>
      <w:marBottom w:val="0"/>
      <w:divBdr>
        <w:top w:val="none" w:sz="0" w:space="0" w:color="auto"/>
        <w:left w:val="none" w:sz="0" w:space="0" w:color="auto"/>
        <w:bottom w:val="none" w:sz="0" w:space="0" w:color="auto"/>
        <w:right w:val="none" w:sz="0" w:space="0" w:color="auto"/>
      </w:divBdr>
    </w:div>
    <w:div w:id="1527478224">
      <w:bodyDiv w:val="1"/>
      <w:marLeft w:val="0"/>
      <w:marRight w:val="0"/>
      <w:marTop w:val="0"/>
      <w:marBottom w:val="0"/>
      <w:divBdr>
        <w:top w:val="none" w:sz="0" w:space="0" w:color="auto"/>
        <w:left w:val="none" w:sz="0" w:space="0" w:color="auto"/>
        <w:bottom w:val="none" w:sz="0" w:space="0" w:color="auto"/>
        <w:right w:val="none" w:sz="0" w:space="0" w:color="auto"/>
      </w:divBdr>
    </w:div>
    <w:div w:id="1557084105">
      <w:bodyDiv w:val="1"/>
      <w:marLeft w:val="0"/>
      <w:marRight w:val="0"/>
      <w:marTop w:val="0"/>
      <w:marBottom w:val="0"/>
      <w:divBdr>
        <w:top w:val="none" w:sz="0" w:space="0" w:color="auto"/>
        <w:left w:val="none" w:sz="0" w:space="0" w:color="auto"/>
        <w:bottom w:val="none" w:sz="0" w:space="0" w:color="auto"/>
        <w:right w:val="none" w:sz="0" w:space="0" w:color="auto"/>
      </w:divBdr>
    </w:div>
    <w:div w:id="1596817187">
      <w:bodyDiv w:val="1"/>
      <w:marLeft w:val="0"/>
      <w:marRight w:val="0"/>
      <w:marTop w:val="0"/>
      <w:marBottom w:val="0"/>
      <w:divBdr>
        <w:top w:val="none" w:sz="0" w:space="0" w:color="auto"/>
        <w:left w:val="none" w:sz="0" w:space="0" w:color="auto"/>
        <w:bottom w:val="none" w:sz="0" w:space="0" w:color="auto"/>
        <w:right w:val="none" w:sz="0" w:space="0" w:color="auto"/>
      </w:divBdr>
    </w:div>
    <w:div w:id="1788088259">
      <w:bodyDiv w:val="1"/>
      <w:marLeft w:val="0"/>
      <w:marRight w:val="0"/>
      <w:marTop w:val="0"/>
      <w:marBottom w:val="0"/>
      <w:divBdr>
        <w:top w:val="none" w:sz="0" w:space="0" w:color="auto"/>
        <w:left w:val="none" w:sz="0" w:space="0" w:color="auto"/>
        <w:bottom w:val="none" w:sz="0" w:space="0" w:color="auto"/>
        <w:right w:val="none" w:sz="0" w:space="0" w:color="auto"/>
      </w:divBdr>
    </w:div>
    <w:div w:id="1801998151">
      <w:bodyDiv w:val="1"/>
      <w:marLeft w:val="0"/>
      <w:marRight w:val="0"/>
      <w:marTop w:val="0"/>
      <w:marBottom w:val="0"/>
      <w:divBdr>
        <w:top w:val="none" w:sz="0" w:space="0" w:color="auto"/>
        <w:left w:val="none" w:sz="0" w:space="0" w:color="auto"/>
        <w:bottom w:val="none" w:sz="0" w:space="0" w:color="auto"/>
        <w:right w:val="none" w:sz="0" w:space="0" w:color="auto"/>
      </w:divBdr>
    </w:div>
    <w:div w:id="1832987642">
      <w:bodyDiv w:val="1"/>
      <w:marLeft w:val="0"/>
      <w:marRight w:val="0"/>
      <w:marTop w:val="0"/>
      <w:marBottom w:val="0"/>
      <w:divBdr>
        <w:top w:val="none" w:sz="0" w:space="0" w:color="auto"/>
        <w:left w:val="none" w:sz="0" w:space="0" w:color="auto"/>
        <w:bottom w:val="none" w:sz="0" w:space="0" w:color="auto"/>
        <w:right w:val="none" w:sz="0" w:space="0" w:color="auto"/>
      </w:divBdr>
    </w:div>
    <w:div w:id="1850675742">
      <w:bodyDiv w:val="1"/>
      <w:marLeft w:val="0"/>
      <w:marRight w:val="0"/>
      <w:marTop w:val="0"/>
      <w:marBottom w:val="0"/>
      <w:divBdr>
        <w:top w:val="none" w:sz="0" w:space="0" w:color="auto"/>
        <w:left w:val="none" w:sz="0" w:space="0" w:color="auto"/>
        <w:bottom w:val="none" w:sz="0" w:space="0" w:color="auto"/>
        <w:right w:val="none" w:sz="0" w:space="0" w:color="auto"/>
      </w:divBdr>
    </w:div>
    <w:div w:id="1869370718">
      <w:bodyDiv w:val="1"/>
      <w:marLeft w:val="0"/>
      <w:marRight w:val="0"/>
      <w:marTop w:val="0"/>
      <w:marBottom w:val="0"/>
      <w:divBdr>
        <w:top w:val="none" w:sz="0" w:space="0" w:color="auto"/>
        <w:left w:val="none" w:sz="0" w:space="0" w:color="auto"/>
        <w:bottom w:val="none" w:sz="0" w:space="0" w:color="auto"/>
        <w:right w:val="none" w:sz="0" w:space="0" w:color="auto"/>
      </w:divBdr>
    </w:div>
    <w:div w:id="1977906302">
      <w:bodyDiv w:val="1"/>
      <w:marLeft w:val="0"/>
      <w:marRight w:val="0"/>
      <w:marTop w:val="0"/>
      <w:marBottom w:val="0"/>
      <w:divBdr>
        <w:top w:val="none" w:sz="0" w:space="0" w:color="auto"/>
        <w:left w:val="none" w:sz="0" w:space="0" w:color="auto"/>
        <w:bottom w:val="none" w:sz="0" w:space="0" w:color="auto"/>
        <w:right w:val="none" w:sz="0" w:space="0" w:color="auto"/>
      </w:divBdr>
    </w:div>
    <w:div w:id="21073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F593-723B-452F-8639-54F98A6D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18</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196</cp:revision>
  <cp:lastPrinted>2022-03-23T05:24:00Z</cp:lastPrinted>
  <dcterms:created xsi:type="dcterms:W3CDTF">2021-02-05T00:40:00Z</dcterms:created>
  <dcterms:modified xsi:type="dcterms:W3CDTF">2022-03-27T05:19:00Z</dcterms:modified>
</cp:coreProperties>
</file>