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9B" w:rsidRPr="00232F9B" w:rsidRDefault="00232F9B" w:rsidP="00232F9B">
      <w:pPr>
        <w:pStyle w:val="Heading3"/>
        <w:rPr>
          <w:lang w:eastAsia="en-AU"/>
        </w:rPr>
      </w:pPr>
      <w:bookmarkStart w:id="0" w:name="_Toc479762907"/>
      <w:bookmarkStart w:id="1" w:name="_Toc481865383"/>
      <w:r w:rsidRPr="00232F9B">
        <w:rPr>
          <w:lang w:eastAsia="en-AU"/>
        </w:rPr>
        <w:t>1.2</w:t>
      </w:r>
      <w:r w:rsidRPr="00232F9B">
        <w:rPr>
          <w:lang w:eastAsia="en-AU"/>
        </w:rPr>
        <w:tab/>
        <w:t>Entity Resource Statement</w:t>
      </w:r>
      <w:bookmarkEnd w:id="0"/>
      <w:bookmarkEnd w:id="1"/>
    </w:p>
    <w:p w:rsidR="00232F9B" w:rsidRPr="00232F9B" w:rsidRDefault="00232F9B" w:rsidP="00232F9B">
      <w:pPr>
        <w:spacing w:after="120"/>
        <w:rPr>
          <w:rFonts w:ascii="Book Antiqua" w:eastAsia="Times New Roman" w:hAnsi="Book Antiqua"/>
          <w:color w:val="000000"/>
          <w:lang w:eastAsia="en-AU"/>
        </w:rPr>
      </w:pPr>
      <w:bookmarkStart w:id="2" w:name="OLE_LINK11"/>
      <w:bookmarkStart w:id="3" w:name="OLE_LINK12"/>
      <w:r w:rsidRPr="00232F9B">
        <w:rPr>
          <w:rFonts w:ascii="Book Antiqua" w:eastAsia="Times New Roman" w:hAnsi="Book Antiqua"/>
          <w:color w:val="000000"/>
          <w:lang w:eastAsia="en-AU"/>
        </w:rPr>
        <w:t>Table 1.1 shows the total funding from all sources available to the entity for its operations and to deliver programs and services on behalf of the Government.</w:t>
      </w:r>
    </w:p>
    <w:p w:rsidR="00232F9B" w:rsidRPr="00232F9B" w:rsidRDefault="00232F9B" w:rsidP="00232F9B">
      <w:pP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The table summarises ho</w:t>
      </w:r>
      <w:r w:rsidR="00847AD6">
        <w:rPr>
          <w:rFonts w:ascii="Book Antiqua" w:eastAsia="Times New Roman" w:hAnsi="Book Antiqua"/>
          <w:color w:val="000000"/>
          <w:lang w:eastAsia="en-AU"/>
        </w:rPr>
        <w:t>w resources will be applied by outcome (g</w:t>
      </w:r>
      <w:r w:rsidRPr="00232F9B">
        <w:rPr>
          <w:rFonts w:ascii="Book Antiqua" w:eastAsia="Times New Roman" w:hAnsi="Book Antiqua"/>
          <w:color w:val="000000"/>
          <w:lang w:eastAsia="en-AU"/>
        </w:rPr>
        <w:t>overnment strat</w:t>
      </w:r>
      <w:r w:rsidR="00A21E8B">
        <w:rPr>
          <w:rFonts w:ascii="Book Antiqua" w:eastAsia="Times New Roman" w:hAnsi="Book Antiqua"/>
          <w:color w:val="000000"/>
          <w:lang w:eastAsia="en-AU"/>
        </w:rPr>
        <w:t>egic policy objectives) and by a</w:t>
      </w:r>
      <w:r w:rsidRPr="00232F9B">
        <w:rPr>
          <w:rFonts w:ascii="Book Antiqua" w:eastAsia="Times New Roman" w:hAnsi="Book Antiqua"/>
          <w:color w:val="000000"/>
          <w:lang w:eastAsia="en-AU"/>
        </w:rPr>
        <w:t>dministered (on behalf of the</w:t>
      </w:r>
      <w:r w:rsidR="00847AD6">
        <w:rPr>
          <w:rFonts w:ascii="Book Antiqua" w:eastAsia="Times New Roman" w:hAnsi="Book Antiqua"/>
          <w:color w:val="000000"/>
          <w:lang w:eastAsia="en-AU"/>
        </w:rPr>
        <w:t xml:space="preserve"> Government or the public) and d</w:t>
      </w:r>
      <w:r w:rsidRPr="00232F9B">
        <w:rPr>
          <w:rFonts w:ascii="Book Antiqua" w:eastAsia="Times New Roman" w:hAnsi="Book Antiqua"/>
          <w:color w:val="000000"/>
          <w:lang w:eastAsia="en-AU"/>
        </w:rPr>
        <w:t>epartmental (for the entity’s operations) classification.</w:t>
      </w:r>
    </w:p>
    <w:p w:rsidR="00232F9B" w:rsidRPr="00232F9B" w:rsidRDefault="00232F9B" w:rsidP="00232F9B">
      <w:pP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 xml:space="preserve">For more detailed information on special accounts and special appropriations, refer to </w:t>
      </w:r>
      <w:r w:rsidRPr="00232F9B">
        <w:rPr>
          <w:rFonts w:ascii="Book Antiqua" w:eastAsia="Times New Roman" w:hAnsi="Book Antiqua"/>
          <w:i/>
          <w:color w:val="000000"/>
          <w:lang w:eastAsia="en-AU"/>
        </w:rPr>
        <w:t>Budget Paper No. 4 – Agency Resourcing</w:t>
      </w:r>
      <w:r w:rsidRPr="00232F9B">
        <w:rPr>
          <w:rFonts w:ascii="Book Antiqua" w:eastAsia="Times New Roman" w:hAnsi="Book Antiqua"/>
          <w:color w:val="000000"/>
          <w:lang w:eastAsia="en-AU"/>
        </w:rPr>
        <w:t>.</w:t>
      </w:r>
    </w:p>
    <w:p w:rsidR="00232F9B" w:rsidRPr="00232F9B" w:rsidRDefault="00232F9B" w:rsidP="00232F9B">
      <w:pP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Information in this table is presented on a reso</w:t>
      </w:r>
      <w:r w:rsidR="00171DF4">
        <w:rPr>
          <w:rFonts w:ascii="Book Antiqua" w:eastAsia="Times New Roman" w:hAnsi="Book Antiqua"/>
          <w:color w:val="000000"/>
          <w:lang w:eastAsia="en-AU"/>
        </w:rPr>
        <w:t>urcing (that is, appropriations/</w:t>
      </w:r>
      <w:r w:rsidRPr="00232F9B">
        <w:rPr>
          <w:rFonts w:ascii="Book Antiqua" w:eastAsia="Times New Roman" w:hAnsi="Book Antiqua"/>
          <w:color w:val="000000"/>
          <w:lang w:eastAsia="en-AU"/>
        </w:rPr>
        <w:t>cash available) basis, whilst the ‛Budgeted expenses by Outcome X’ tables in Section 2 and the financial statements in Section 3 are presented on an accrual basis.</w:t>
      </w:r>
    </w:p>
    <w:bookmarkEnd w:id="2"/>
    <w:bookmarkEnd w:id="3"/>
    <w:p w:rsidR="00232F9B" w:rsidRDefault="00232F9B" w:rsidP="00A21E8B">
      <w:pPr>
        <w:pStyle w:val="Tablenumberandreference"/>
        <w:spacing w:before="240" w:after="120"/>
        <w:rPr>
          <w:color w:val="000000"/>
        </w:rPr>
      </w:pPr>
      <w:r w:rsidRPr="00232F9B">
        <w:rPr>
          <w:color w:val="000000"/>
        </w:rPr>
        <w:t>Table 1.1: Department of Health Resource Statement – Budget Estimates for 202</w:t>
      </w:r>
      <w:r w:rsidR="00EF5C5E">
        <w:rPr>
          <w:color w:val="000000"/>
        </w:rPr>
        <w:t>2–</w:t>
      </w:r>
      <w:r w:rsidRPr="00232F9B">
        <w:rPr>
          <w:color w:val="000000"/>
        </w:rPr>
        <w:t>2</w:t>
      </w:r>
      <w:r w:rsidR="00EF5C5E">
        <w:rPr>
          <w:color w:val="000000"/>
        </w:rPr>
        <w:t>3</w:t>
      </w:r>
      <w:r w:rsidRPr="00232F9B">
        <w:rPr>
          <w:color w:val="000000"/>
        </w:rPr>
        <w:t xml:space="preserve"> as at Budget </w:t>
      </w:r>
      <w:r w:rsidR="00EF5C5E">
        <w:rPr>
          <w:color w:val="000000"/>
        </w:rPr>
        <w:t>March 2022</w:t>
      </w:r>
    </w:p>
    <w:tbl>
      <w:tblPr>
        <w:tblW w:w="7380" w:type="dxa"/>
        <w:jc w:val="center"/>
        <w:tblLayout w:type="fixed"/>
        <w:tblLook w:val="04A0" w:firstRow="1" w:lastRow="0" w:firstColumn="1" w:lastColumn="0" w:noHBand="0" w:noVBand="1"/>
        <w:tblCaption w:val="Table 1.1: Department of Health Resource Statements - Budget Estimates for 2022-23 as at Budget March 2022 (continued)"/>
        <w:tblDescription w:val="This table shows the total payments for 2022-23 and across the forward estimates for 2022-23 Budget Measures since the 2021-22 MYEFO update."/>
      </w:tblPr>
      <w:tblGrid>
        <w:gridCol w:w="4660"/>
        <w:gridCol w:w="1360"/>
        <w:gridCol w:w="1360"/>
      </w:tblGrid>
      <w:tr w:rsidR="00E24E18" w:rsidRPr="00E24E18" w:rsidTr="00E24E18">
        <w:trPr>
          <w:trHeight w:val="765"/>
          <w:jc w:val="center"/>
        </w:trPr>
        <w:tc>
          <w:tcPr>
            <w:tcW w:w="4660" w:type="dxa"/>
            <w:tcBorders>
              <w:top w:val="single" w:sz="4" w:space="0" w:color="auto"/>
              <w:left w:val="nil"/>
              <w:bottom w:val="nil"/>
              <w:right w:val="nil"/>
            </w:tcBorders>
            <w:shd w:val="clear" w:color="auto" w:fill="auto"/>
            <w:hideMark/>
          </w:tcPr>
          <w:p w:rsidR="00E24E18" w:rsidRPr="00E24E18" w:rsidRDefault="00E24E18" w:rsidP="00E24E18">
            <w:pPr>
              <w:spacing w:before="40"/>
              <w:jc w:val="right"/>
              <w:rPr>
                <w:rFonts w:ascii="Arial" w:eastAsia="Times New Roman" w:hAnsi="Arial" w:cs="Arial"/>
                <w:b/>
                <w:bCs/>
                <w:sz w:val="16"/>
                <w:szCs w:val="16"/>
                <w:lang w:eastAsia="en-AU"/>
              </w:rPr>
            </w:pPr>
            <w:bookmarkStart w:id="4" w:name="_Toc479762908"/>
            <w:bookmarkStart w:id="5" w:name="_Toc481865384"/>
            <w:r w:rsidRPr="00E24E18">
              <w:rPr>
                <w:rFonts w:ascii="Arial" w:eastAsia="Times New Roman" w:hAnsi="Arial" w:cs="Arial"/>
                <w:b/>
                <w:bCs/>
                <w:sz w:val="16"/>
                <w:szCs w:val="16"/>
                <w:lang w:eastAsia="en-AU"/>
              </w:rPr>
              <w:t> </w:t>
            </w:r>
          </w:p>
        </w:tc>
        <w:tc>
          <w:tcPr>
            <w:tcW w:w="1360" w:type="dxa"/>
            <w:tcBorders>
              <w:top w:val="single" w:sz="4" w:space="0" w:color="auto"/>
              <w:left w:val="nil"/>
              <w:bottom w:val="single" w:sz="4" w:space="0" w:color="auto"/>
              <w:right w:val="nil"/>
            </w:tcBorders>
            <w:shd w:val="clear" w:color="auto" w:fill="auto"/>
            <w:hideMark/>
          </w:tcPr>
          <w:p w:rsidR="00E24E18" w:rsidRPr="00E24E18" w:rsidRDefault="00E24E18" w:rsidP="00E24E18">
            <w:pPr>
              <w:spacing w:before="40"/>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2021–22</w:t>
            </w:r>
            <w:r w:rsidRPr="00E24E18">
              <w:rPr>
                <w:rFonts w:ascii="Arial" w:eastAsia="Times New Roman" w:hAnsi="Arial" w:cs="Arial"/>
                <w:b/>
                <w:bCs/>
                <w:sz w:val="16"/>
                <w:szCs w:val="16"/>
                <w:lang w:eastAsia="en-AU"/>
              </w:rPr>
              <w:br/>
              <w:t>Estimated</w:t>
            </w:r>
            <w:r w:rsidRPr="00E24E18">
              <w:rPr>
                <w:rFonts w:ascii="Arial" w:eastAsia="Times New Roman" w:hAnsi="Arial" w:cs="Arial"/>
                <w:b/>
                <w:bCs/>
                <w:sz w:val="16"/>
                <w:szCs w:val="16"/>
                <w:lang w:eastAsia="en-AU"/>
              </w:rPr>
              <w:br/>
              <w:t>actual</w:t>
            </w:r>
            <w:r w:rsidRPr="00E24E18">
              <w:rPr>
                <w:rFonts w:ascii="Arial" w:eastAsia="Times New Roman" w:hAnsi="Arial" w:cs="Arial"/>
                <w:b/>
                <w:bCs/>
                <w:sz w:val="16"/>
                <w:szCs w:val="16"/>
                <w:lang w:eastAsia="en-AU"/>
              </w:rPr>
              <w:br/>
            </w:r>
            <w:r w:rsidRPr="00E24E18">
              <w:rPr>
                <w:rFonts w:ascii="Arial" w:eastAsia="Times New Roman" w:hAnsi="Arial" w:cs="Arial"/>
                <w:sz w:val="16"/>
                <w:szCs w:val="16"/>
                <w:lang w:eastAsia="en-AU"/>
              </w:rPr>
              <w:t>$'000</w:t>
            </w:r>
          </w:p>
        </w:tc>
        <w:tc>
          <w:tcPr>
            <w:tcW w:w="1360" w:type="dxa"/>
            <w:tcBorders>
              <w:top w:val="single" w:sz="4" w:space="0" w:color="auto"/>
              <w:left w:val="nil"/>
              <w:bottom w:val="single" w:sz="4" w:space="0" w:color="auto"/>
              <w:right w:val="nil"/>
            </w:tcBorders>
            <w:shd w:val="clear" w:color="000000" w:fill="D9D9D9"/>
            <w:hideMark/>
          </w:tcPr>
          <w:p w:rsidR="00E24E18" w:rsidRPr="00E24E18" w:rsidRDefault="00E24E18" w:rsidP="00E24E18">
            <w:pPr>
              <w:spacing w:before="40"/>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2022–23</w:t>
            </w:r>
            <w:r w:rsidRPr="00E24E18">
              <w:rPr>
                <w:rFonts w:ascii="Arial" w:eastAsia="Times New Roman" w:hAnsi="Arial" w:cs="Arial"/>
                <w:b/>
                <w:bCs/>
                <w:sz w:val="16"/>
                <w:szCs w:val="16"/>
                <w:lang w:eastAsia="en-AU"/>
              </w:rPr>
              <w:br/>
              <w:t>Estimate</w:t>
            </w:r>
            <w:r w:rsidRPr="00E24E18">
              <w:rPr>
                <w:rFonts w:ascii="Arial" w:eastAsia="Times New Roman" w:hAnsi="Arial" w:cs="Arial"/>
                <w:b/>
                <w:bCs/>
                <w:sz w:val="16"/>
                <w:szCs w:val="16"/>
                <w:lang w:eastAsia="en-AU"/>
              </w:rPr>
              <w:br/>
            </w:r>
            <w:r w:rsidRPr="00E24E18">
              <w:rPr>
                <w:rFonts w:ascii="Arial" w:eastAsia="Times New Roman" w:hAnsi="Arial" w:cs="Arial"/>
                <w:b/>
                <w:bCs/>
                <w:sz w:val="16"/>
                <w:szCs w:val="16"/>
                <w:lang w:eastAsia="en-AU"/>
              </w:rPr>
              <w:br/>
            </w:r>
            <w:r w:rsidRPr="00E24E18">
              <w:rPr>
                <w:rFonts w:ascii="Arial" w:eastAsia="Times New Roman" w:hAnsi="Arial" w:cs="Arial"/>
                <w:sz w:val="16"/>
                <w:szCs w:val="16"/>
                <w:lang w:eastAsia="en-AU"/>
              </w:rPr>
              <w:t>$'000</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DEPARTMENTAL</w:t>
            </w:r>
          </w:p>
        </w:tc>
        <w:tc>
          <w:tcPr>
            <w:tcW w:w="1360" w:type="dxa"/>
            <w:tcBorders>
              <w:top w:val="nil"/>
              <w:left w:val="nil"/>
              <w:bottom w:val="nil"/>
              <w:right w:val="nil"/>
            </w:tcBorders>
            <w:shd w:val="clear" w:color="auto" w:fill="auto"/>
            <w:vAlign w:val="bottom"/>
            <w:hideMark/>
          </w:tcPr>
          <w:p w:rsidR="00E24E18" w:rsidRPr="00E24E18" w:rsidRDefault="00E24E18" w:rsidP="00E24E18">
            <w:pPr>
              <w:jc w:val="right"/>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 </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sz w:val="16"/>
                <w:szCs w:val="16"/>
                <w:lang w:eastAsia="en-AU"/>
              </w:rPr>
            </w:pPr>
            <w:r w:rsidRPr="00E24E18">
              <w:rPr>
                <w:rFonts w:ascii="Arial" w:eastAsia="Times New Roman" w:hAnsi="Arial" w:cs="Arial"/>
                <w:sz w:val="16"/>
                <w:szCs w:val="16"/>
                <w:lang w:eastAsia="en-AU"/>
              </w:rPr>
              <w:t>Prior year appropriation available</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63,186</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71,958</w:t>
            </w:r>
          </w:p>
        </w:tc>
      </w:tr>
      <w:tr w:rsidR="00E24E18" w:rsidRPr="00E24E18" w:rsidTr="00E24E18">
        <w:trPr>
          <w:trHeight w:val="283"/>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Annual appropriations</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 </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Ordinary annual services</w:t>
            </w:r>
            <w:r w:rsidRPr="00E24E18">
              <w:rPr>
                <w:rFonts w:ascii="Arial" w:eastAsia="Times New Roman" w:hAnsi="Arial" w:cs="Arial"/>
                <w:sz w:val="16"/>
                <w:szCs w:val="16"/>
                <w:vertAlign w:val="superscript"/>
                <w:lang w:eastAsia="en-AU"/>
              </w:rPr>
              <w:t xml:space="preserve"> (a) (b)</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 </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300" w:firstLine="480"/>
              <w:rPr>
                <w:rFonts w:ascii="Arial" w:eastAsia="Times New Roman" w:hAnsi="Arial" w:cs="Arial"/>
                <w:sz w:val="16"/>
                <w:szCs w:val="16"/>
                <w:lang w:eastAsia="en-AU"/>
              </w:rPr>
            </w:pPr>
            <w:r w:rsidRPr="00E24E18">
              <w:rPr>
                <w:rFonts w:ascii="Arial" w:eastAsia="Times New Roman" w:hAnsi="Arial" w:cs="Arial"/>
                <w:sz w:val="16"/>
                <w:szCs w:val="16"/>
                <w:lang w:eastAsia="en-AU"/>
              </w:rPr>
              <w:t>Departmental appropriation</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941,900</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907,189</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300" w:firstLine="480"/>
              <w:rPr>
                <w:rFonts w:ascii="Arial" w:eastAsia="Times New Roman" w:hAnsi="Arial" w:cs="Arial"/>
                <w:sz w:val="16"/>
                <w:szCs w:val="16"/>
                <w:lang w:eastAsia="en-AU"/>
              </w:rPr>
            </w:pPr>
            <w:r w:rsidRPr="00E24E18">
              <w:rPr>
                <w:rFonts w:ascii="Arial" w:eastAsia="Times New Roman" w:hAnsi="Arial" w:cs="Arial"/>
                <w:sz w:val="16"/>
                <w:szCs w:val="16"/>
                <w:lang w:eastAsia="en-AU"/>
              </w:rPr>
              <w:t>s74 retained revenue receipts</w:t>
            </w:r>
            <w:r w:rsidRPr="00E24E18">
              <w:rPr>
                <w:rFonts w:ascii="Arial" w:eastAsia="Times New Roman" w:hAnsi="Arial" w:cs="Arial"/>
                <w:sz w:val="16"/>
                <w:szCs w:val="16"/>
                <w:vertAlign w:val="superscript"/>
                <w:lang w:eastAsia="en-AU"/>
              </w:rPr>
              <w:t xml:space="preserve"> (c)</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20,475</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19,811</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300" w:firstLine="480"/>
              <w:rPr>
                <w:rFonts w:ascii="Arial" w:eastAsia="Times New Roman" w:hAnsi="Arial" w:cs="Arial"/>
                <w:sz w:val="16"/>
                <w:szCs w:val="16"/>
                <w:lang w:eastAsia="en-AU"/>
              </w:rPr>
            </w:pPr>
            <w:r w:rsidRPr="00E24E18">
              <w:rPr>
                <w:rFonts w:ascii="Arial" w:eastAsia="Times New Roman" w:hAnsi="Arial" w:cs="Arial"/>
                <w:sz w:val="16"/>
                <w:szCs w:val="16"/>
                <w:lang w:eastAsia="en-AU"/>
              </w:rPr>
              <w:t>Departmental Capital Budget</w:t>
            </w:r>
            <w:r w:rsidRPr="00E24E18">
              <w:rPr>
                <w:rFonts w:ascii="Arial" w:eastAsia="Times New Roman" w:hAnsi="Arial" w:cs="Arial"/>
                <w:sz w:val="16"/>
                <w:szCs w:val="16"/>
                <w:vertAlign w:val="superscript"/>
                <w:lang w:eastAsia="en-AU"/>
              </w:rPr>
              <w:t xml:space="preserve"> (d)</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14,269</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14,427</w:t>
            </w:r>
          </w:p>
        </w:tc>
      </w:tr>
      <w:tr w:rsidR="00E24E18" w:rsidRPr="00E24E18" w:rsidTr="00E24E18">
        <w:trPr>
          <w:trHeight w:val="283"/>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Other services</w:t>
            </w:r>
            <w:r w:rsidRPr="00E24E18">
              <w:rPr>
                <w:rFonts w:ascii="Arial" w:eastAsia="Times New Roman" w:hAnsi="Arial" w:cs="Arial"/>
                <w:sz w:val="16"/>
                <w:szCs w:val="16"/>
                <w:vertAlign w:val="superscript"/>
                <w:lang w:eastAsia="en-AU"/>
              </w:rPr>
              <w:t xml:space="preserve"> (e) (f)</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 </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300" w:firstLine="480"/>
              <w:rPr>
                <w:rFonts w:ascii="Arial" w:eastAsia="Times New Roman" w:hAnsi="Arial" w:cs="Arial"/>
                <w:sz w:val="16"/>
                <w:szCs w:val="16"/>
                <w:lang w:eastAsia="en-AU"/>
              </w:rPr>
            </w:pPr>
            <w:r w:rsidRPr="00E24E18">
              <w:rPr>
                <w:rFonts w:ascii="Arial" w:eastAsia="Times New Roman" w:hAnsi="Arial" w:cs="Arial"/>
                <w:sz w:val="16"/>
                <w:szCs w:val="16"/>
                <w:lang w:eastAsia="en-AU"/>
              </w:rPr>
              <w:t>Equity injection</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65,184</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73,994</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1,041,828</w:t>
            </w:r>
          </w:p>
        </w:tc>
        <w:tc>
          <w:tcPr>
            <w:tcW w:w="1360" w:type="dxa"/>
            <w:tcBorders>
              <w:top w:val="nil"/>
              <w:left w:val="nil"/>
              <w:bottom w:val="single" w:sz="4" w:space="0" w:color="auto"/>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1,015,421</w:t>
            </w:r>
          </w:p>
        </w:tc>
      </w:tr>
      <w:tr w:rsidR="00E24E18" w:rsidRPr="00E24E18" w:rsidTr="00E24E18">
        <w:trPr>
          <w:trHeight w:val="283"/>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Special accounts</w:t>
            </w:r>
            <w:r w:rsidRPr="00E24E18">
              <w:rPr>
                <w:rFonts w:ascii="Arial" w:eastAsia="Times New Roman" w:hAnsi="Arial" w:cs="Arial"/>
                <w:b/>
                <w:bCs/>
                <w:sz w:val="16"/>
                <w:szCs w:val="16"/>
                <w:vertAlign w:val="superscript"/>
                <w:lang w:eastAsia="en-AU"/>
              </w:rPr>
              <w:t xml:space="preserve"> (g) (h)</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 </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Opening balance</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135,241</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131,119</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Appropriation receipts</w:t>
            </w:r>
            <w:r w:rsidRPr="00E24E18">
              <w:rPr>
                <w:rFonts w:ascii="Arial" w:eastAsia="Times New Roman" w:hAnsi="Arial" w:cs="Arial"/>
                <w:sz w:val="16"/>
                <w:szCs w:val="16"/>
                <w:vertAlign w:val="superscript"/>
                <w:lang w:eastAsia="en-AU"/>
              </w:rPr>
              <w:t xml:space="preserve"> (</w:t>
            </w:r>
            <w:proofErr w:type="spellStart"/>
            <w:r w:rsidRPr="00E24E18">
              <w:rPr>
                <w:rFonts w:ascii="Arial" w:eastAsia="Times New Roman" w:hAnsi="Arial" w:cs="Arial"/>
                <w:sz w:val="16"/>
                <w:szCs w:val="16"/>
                <w:vertAlign w:val="superscript"/>
                <w:lang w:eastAsia="en-AU"/>
              </w:rPr>
              <w:t>i</w:t>
            </w:r>
            <w:proofErr w:type="spellEnd"/>
            <w:r w:rsidRPr="00E24E18">
              <w:rPr>
                <w:rFonts w:ascii="Arial" w:eastAsia="Times New Roman" w:hAnsi="Arial" w:cs="Arial"/>
                <w:sz w:val="16"/>
                <w:szCs w:val="16"/>
                <w:vertAlign w:val="superscript"/>
                <w:lang w:eastAsia="en-AU"/>
              </w:rPr>
              <w:t>)</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24,656</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29,617</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 xml:space="preserve">Non-appropriation receipts </w:t>
            </w:r>
          </w:p>
        </w:tc>
        <w:tc>
          <w:tcPr>
            <w:tcW w:w="1360" w:type="dxa"/>
            <w:tcBorders>
              <w:top w:val="nil"/>
              <w:left w:val="nil"/>
              <w:bottom w:val="nil"/>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195,810</w:t>
            </w:r>
          </w:p>
        </w:tc>
        <w:tc>
          <w:tcPr>
            <w:tcW w:w="1360" w:type="dxa"/>
            <w:tcBorders>
              <w:top w:val="nil"/>
              <w:left w:val="nil"/>
              <w:bottom w:val="nil"/>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197,835</w:t>
            </w:r>
          </w:p>
        </w:tc>
      </w:tr>
      <w:tr w:rsidR="00E24E18" w:rsidRPr="00E24E18" w:rsidTr="00E24E18">
        <w:trPr>
          <w:trHeight w:val="225"/>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leftChars="150" w:left="300"/>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Total special accounts</w:t>
            </w:r>
          </w:p>
        </w:tc>
        <w:tc>
          <w:tcPr>
            <w:tcW w:w="1360" w:type="dxa"/>
            <w:tcBorders>
              <w:top w:val="nil"/>
              <w:left w:val="nil"/>
              <w:bottom w:val="single" w:sz="4" w:space="0" w:color="auto"/>
              <w:right w:val="nil"/>
            </w:tcBorders>
            <w:shd w:val="clear" w:color="auto" w:fill="auto"/>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355,707</w:t>
            </w:r>
          </w:p>
        </w:tc>
        <w:tc>
          <w:tcPr>
            <w:tcW w:w="1360" w:type="dxa"/>
            <w:tcBorders>
              <w:top w:val="nil"/>
              <w:left w:val="nil"/>
              <w:bottom w:val="single" w:sz="4" w:space="0" w:color="auto"/>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358,571</w:t>
            </w:r>
          </w:p>
        </w:tc>
      </w:tr>
      <w:tr w:rsidR="00E24E18" w:rsidRPr="00E24E18" w:rsidTr="00E24E18">
        <w:trPr>
          <w:trHeight w:val="454"/>
          <w:jc w:val="center"/>
        </w:trPr>
        <w:tc>
          <w:tcPr>
            <w:tcW w:w="4660" w:type="dxa"/>
            <w:tcBorders>
              <w:top w:val="nil"/>
              <w:left w:val="nil"/>
              <w:bottom w:val="nil"/>
              <w:right w:val="nil"/>
            </w:tcBorders>
            <w:shd w:val="clear" w:color="auto" w:fill="auto"/>
            <w:vAlign w:val="bottom"/>
            <w:hideMark/>
          </w:tcPr>
          <w:p w:rsidR="00E24E18" w:rsidRPr="00E24E18" w:rsidRDefault="00E24E18" w:rsidP="00E24E18">
            <w:pPr>
              <w:ind w:leftChars="150" w:left="300"/>
              <w:rPr>
                <w:rFonts w:ascii="Arial" w:eastAsia="Times New Roman" w:hAnsi="Arial" w:cs="Arial"/>
                <w:sz w:val="16"/>
                <w:szCs w:val="16"/>
                <w:lang w:eastAsia="en-AU"/>
              </w:rPr>
            </w:pPr>
            <w:r w:rsidRPr="00E24E18">
              <w:rPr>
                <w:rFonts w:ascii="Arial" w:eastAsia="Times New Roman" w:hAnsi="Arial" w:cs="Arial"/>
                <w:sz w:val="16"/>
                <w:szCs w:val="16"/>
                <w:lang w:eastAsia="en-AU"/>
              </w:rPr>
              <w:t>Less appropriations drawn from annual or special appropriations above and credited to special accounts</w:t>
            </w:r>
            <w:r w:rsidRPr="00E24E18">
              <w:rPr>
                <w:rFonts w:ascii="Arial" w:eastAsia="Times New Roman" w:hAnsi="Arial" w:cs="Arial"/>
                <w:sz w:val="16"/>
                <w:szCs w:val="16"/>
                <w:vertAlign w:val="superscript"/>
                <w:lang w:eastAsia="en-AU"/>
              </w:rPr>
              <w:t xml:space="preserve"> (j)</w:t>
            </w:r>
          </w:p>
        </w:tc>
        <w:tc>
          <w:tcPr>
            <w:tcW w:w="1360" w:type="dxa"/>
            <w:tcBorders>
              <w:top w:val="nil"/>
              <w:left w:val="nil"/>
              <w:bottom w:val="single" w:sz="4" w:space="0" w:color="auto"/>
              <w:right w:val="nil"/>
            </w:tcBorders>
            <w:shd w:val="clear" w:color="auto" w:fill="auto"/>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(24,656)</w:t>
            </w:r>
          </w:p>
        </w:tc>
        <w:tc>
          <w:tcPr>
            <w:tcW w:w="1360" w:type="dxa"/>
            <w:tcBorders>
              <w:top w:val="nil"/>
              <w:left w:val="nil"/>
              <w:bottom w:val="single" w:sz="4" w:space="0" w:color="auto"/>
              <w:right w:val="nil"/>
            </w:tcBorders>
            <w:shd w:val="clear" w:color="000000" w:fill="D9D9D9"/>
            <w:noWrap/>
            <w:vAlign w:val="bottom"/>
            <w:hideMark/>
          </w:tcPr>
          <w:p w:rsidR="00E24E18" w:rsidRPr="00E24E18" w:rsidRDefault="00E24E18" w:rsidP="00E24E18">
            <w:pPr>
              <w:jc w:val="right"/>
              <w:rPr>
                <w:rFonts w:ascii="Arial" w:eastAsia="Times New Roman" w:hAnsi="Arial" w:cs="Arial"/>
                <w:sz w:val="16"/>
                <w:szCs w:val="16"/>
                <w:lang w:eastAsia="en-AU"/>
              </w:rPr>
            </w:pPr>
            <w:r w:rsidRPr="00E24E18">
              <w:rPr>
                <w:rFonts w:ascii="Arial" w:eastAsia="Times New Roman" w:hAnsi="Arial" w:cs="Arial"/>
                <w:sz w:val="16"/>
                <w:szCs w:val="16"/>
                <w:lang w:eastAsia="en-AU"/>
              </w:rPr>
              <w:t>(29,617)</w:t>
            </w:r>
          </w:p>
        </w:tc>
      </w:tr>
      <w:tr w:rsidR="00E24E18" w:rsidRPr="00E24E18" w:rsidTr="00E24E18">
        <w:trPr>
          <w:trHeight w:val="283"/>
          <w:jc w:val="center"/>
        </w:trPr>
        <w:tc>
          <w:tcPr>
            <w:tcW w:w="4660" w:type="dxa"/>
            <w:tcBorders>
              <w:top w:val="nil"/>
              <w:left w:val="nil"/>
              <w:bottom w:val="nil"/>
              <w:right w:val="nil"/>
            </w:tcBorders>
            <w:shd w:val="clear" w:color="auto" w:fill="auto"/>
            <w:noWrap/>
            <w:vAlign w:val="bottom"/>
            <w:hideMark/>
          </w:tcPr>
          <w:p w:rsidR="00E24E18" w:rsidRPr="00E24E18" w:rsidRDefault="00E24E18" w:rsidP="00E24E18">
            <w:pPr>
              <w:ind w:firstLineChars="100" w:firstLine="160"/>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Total departmental resourcing for Health</w:t>
            </w:r>
          </w:p>
        </w:tc>
        <w:tc>
          <w:tcPr>
            <w:tcW w:w="1360" w:type="dxa"/>
            <w:tcBorders>
              <w:top w:val="nil"/>
              <w:left w:val="nil"/>
              <w:bottom w:val="single" w:sz="4" w:space="0" w:color="auto"/>
              <w:right w:val="nil"/>
            </w:tcBorders>
            <w:shd w:val="clear" w:color="auto" w:fill="auto"/>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1,436,065</w:t>
            </w:r>
          </w:p>
        </w:tc>
        <w:tc>
          <w:tcPr>
            <w:tcW w:w="1360" w:type="dxa"/>
            <w:tcBorders>
              <w:top w:val="nil"/>
              <w:left w:val="nil"/>
              <w:bottom w:val="single" w:sz="4" w:space="0" w:color="auto"/>
              <w:right w:val="nil"/>
            </w:tcBorders>
            <w:shd w:val="clear" w:color="000000" w:fill="D9D9D9"/>
            <w:noWrap/>
            <w:vAlign w:val="bottom"/>
            <w:hideMark/>
          </w:tcPr>
          <w:p w:rsidR="00E24E18" w:rsidRPr="00E24E18" w:rsidRDefault="00E24E18" w:rsidP="00E24E18">
            <w:pPr>
              <w:jc w:val="right"/>
              <w:rPr>
                <w:rFonts w:ascii="Arial" w:eastAsia="Times New Roman" w:hAnsi="Arial" w:cs="Arial"/>
                <w:b/>
                <w:bCs/>
                <w:sz w:val="16"/>
                <w:szCs w:val="16"/>
                <w:lang w:eastAsia="en-AU"/>
              </w:rPr>
            </w:pPr>
            <w:r w:rsidRPr="00E24E18">
              <w:rPr>
                <w:rFonts w:ascii="Arial" w:eastAsia="Times New Roman" w:hAnsi="Arial" w:cs="Arial"/>
                <w:b/>
                <w:bCs/>
                <w:sz w:val="16"/>
                <w:szCs w:val="16"/>
                <w:lang w:eastAsia="en-AU"/>
              </w:rPr>
              <w:t>1,416,333</w:t>
            </w:r>
          </w:p>
        </w:tc>
      </w:tr>
    </w:tbl>
    <w:p w:rsidR="00015FAC" w:rsidRDefault="00015FAC" w:rsidP="00015FAC">
      <w:pPr>
        <w:rPr>
          <w:rFonts w:ascii="Arial" w:eastAsia="Times New Roman" w:hAnsi="Arial" w:cs="Arial"/>
          <w:szCs w:val="18"/>
        </w:rPr>
      </w:pPr>
      <w:r>
        <w:br w:type="page"/>
      </w:r>
    </w:p>
    <w:p w:rsidR="00232F9B" w:rsidRDefault="00232F9B" w:rsidP="0079143E">
      <w:pPr>
        <w:pStyle w:val="Tablenumberandreference"/>
        <w:spacing w:before="240" w:after="120"/>
        <w:rPr>
          <w:color w:val="000000"/>
        </w:rPr>
      </w:pPr>
      <w:r w:rsidRPr="00232F9B">
        <w:rPr>
          <w:color w:val="000000"/>
        </w:rPr>
        <w:lastRenderedPageBreak/>
        <w:t xml:space="preserve">Table 1.1: </w:t>
      </w:r>
      <w:r w:rsidR="00EF5C5E" w:rsidRPr="00232F9B">
        <w:rPr>
          <w:color w:val="000000"/>
        </w:rPr>
        <w:t>Department of Health Resource Statement – Budget Estimates for 202</w:t>
      </w:r>
      <w:r w:rsidR="00EF5C5E">
        <w:rPr>
          <w:color w:val="000000"/>
        </w:rPr>
        <w:t>2–</w:t>
      </w:r>
      <w:r w:rsidR="00EF5C5E" w:rsidRPr="00232F9B">
        <w:rPr>
          <w:color w:val="000000"/>
        </w:rPr>
        <w:t>2</w:t>
      </w:r>
      <w:r w:rsidR="00EF5C5E">
        <w:rPr>
          <w:color w:val="000000"/>
        </w:rPr>
        <w:t>3</w:t>
      </w:r>
      <w:r w:rsidR="00EF5C5E" w:rsidRPr="00232F9B">
        <w:rPr>
          <w:color w:val="000000"/>
        </w:rPr>
        <w:t xml:space="preserve"> as at Budget </w:t>
      </w:r>
      <w:r w:rsidR="00EF5C5E">
        <w:rPr>
          <w:color w:val="000000"/>
        </w:rPr>
        <w:t>March 2022</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1: Department of Health Resource Statement - Budget Estimates for 2022-23 as at Budget March 2022 (continued)"/>
        <w:tblDescription w:val="A table outlining the Department of Health Resource Statements - Budget Estimates for 2022-23 as at Budget March 2022 (continued)"/>
      </w:tblPr>
      <w:tblGrid>
        <w:gridCol w:w="4660"/>
        <w:gridCol w:w="1360"/>
        <w:gridCol w:w="1360"/>
      </w:tblGrid>
      <w:tr w:rsidR="00015FAC" w:rsidRPr="00015FAC" w:rsidTr="00015FAC">
        <w:trPr>
          <w:trHeight w:val="765"/>
          <w:jc w:val="center"/>
        </w:trPr>
        <w:tc>
          <w:tcPr>
            <w:tcW w:w="4660" w:type="dxa"/>
            <w:tcBorders>
              <w:top w:val="single" w:sz="4" w:space="0" w:color="auto"/>
              <w:left w:val="nil"/>
              <w:bottom w:val="nil"/>
              <w:right w:val="nil"/>
            </w:tcBorders>
            <w:shd w:val="clear" w:color="auto" w:fill="auto"/>
            <w:hideMark/>
          </w:tcPr>
          <w:p w:rsidR="00015FAC" w:rsidRPr="00015FAC" w:rsidRDefault="00015FAC" w:rsidP="00015FAC">
            <w:pPr>
              <w:spacing w:before="40"/>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c>
          <w:tcPr>
            <w:tcW w:w="1360" w:type="dxa"/>
            <w:tcBorders>
              <w:top w:val="single" w:sz="4" w:space="0" w:color="auto"/>
              <w:left w:val="nil"/>
              <w:bottom w:val="single" w:sz="4" w:space="0" w:color="auto"/>
              <w:right w:val="nil"/>
            </w:tcBorders>
            <w:shd w:val="clear" w:color="auto" w:fill="auto"/>
            <w:hideMark/>
          </w:tcPr>
          <w:p w:rsidR="00015FAC" w:rsidRPr="00015FAC" w:rsidRDefault="00015FAC" w:rsidP="00015FAC">
            <w:pPr>
              <w:spacing w:before="40"/>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2021–22</w:t>
            </w:r>
            <w:r w:rsidRPr="00015FAC">
              <w:rPr>
                <w:rFonts w:ascii="Arial" w:eastAsia="Times New Roman" w:hAnsi="Arial" w:cs="Arial"/>
                <w:b/>
                <w:bCs/>
                <w:sz w:val="16"/>
                <w:szCs w:val="16"/>
                <w:lang w:eastAsia="en-AU"/>
              </w:rPr>
              <w:br/>
              <w:t>Estimated</w:t>
            </w:r>
            <w:r w:rsidRPr="00015FAC">
              <w:rPr>
                <w:rFonts w:ascii="Arial" w:eastAsia="Times New Roman" w:hAnsi="Arial" w:cs="Arial"/>
                <w:b/>
                <w:bCs/>
                <w:sz w:val="16"/>
                <w:szCs w:val="16"/>
                <w:lang w:eastAsia="en-AU"/>
              </w:rPr>
              <w:br/>
              <w:t>actual</w:t>
            </w:r>
            <w:r w:rsidRPr="00015FAC">
              <w:rPr>
                <w:rFonts w:ascii="Arial" w:eastAsia="Times New Roman" w:hAnsi="Arial" w:cs="Arial"/>
                <w:b/>
                <w:bCs/>
                <w:sz w:val="16"/>
                <w:szCs w:val="16"/>
                <w:lang w:eastAsia="en-AU"/>
              </w:rPr>
              <w:br/>
            </w:r>
            <w:r w:rsidRPr="00015FAC">
              <w:rPr>
                <w:rFonts w:ascii="Arial" w:eastAsia="Times New Roman" w:hAnsi="Arial" w:cs="Arial"/>
                <w:sz w:val="16"/>
                <w:szCs w:val="16"/>
                <w:lang w:eastAsia="en-AU"/>
              </w:rPr>
              <w:t>$'000</w:t>
            </w:r>
          </w:p>
        </w:tc>
        <w:tc>
          <w:tcPr>
            <w:tcW w:w="1360" w:type="dxa"/>
            <w:tcBorders>
              <w:top w:val="single" w:sz="4" w:space="0" w:color="auto"/>
              <w:left w:val="nil"/>
              <w:bottom w:val="single" w:sz="4" w:space="0" w:color="auto"/>
              <w:right w:val="nil"/>
            </w:tcBorders>
            <w:shd w:val="clear" w:color="000000" w:fill="D9D9D9"/>
            <w:hideMark/>
          </w:tcPr>
          <w:p w:rsidR="00015FAC" w:rsidRPr="00015FAC" w:rsidRDefault="00015FAC" w:rsidP="00015FAC">
            <w:pPr>
              <w:spacing w:before="40"/>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2022–23</w:t>
            </w:r>
            <w:r w:rsidRPr="00015FAC">
              <w:rPr>
                <w:rFonts w:ascii="Arial" w:eastAsia="Times New Roman" w:hAnsi="Arial" w:cs="Arial"/>
                <w:b/>
                <w:bCs/>
                <w:sz w:val="16"/>
                <w:szCs w:val="16"/>
                <w:lang w:eastAsia="en-AU"/>
              </w:rPr>
              <w:br/>
              <w:t>Estimate</w:t>
            </w:r>
            <w:r w:rsidRPr="00015FAC">
              <w:rPr>
                <w:rFonts w:ascii="Arial" w:eastAsia="Times New Roman" w:hAnsi="Arial" w:cs="Arial"/>
                <w:b/>
                <w:bCs/>
                <w:sz w:val="16"/>
                <w:szCs w:val="16"/>
                <w:lang w:eastAsia="en-AU"/>
              </w:rPr>
              <w:br/>
            </w:r>
            <w:r w:rsidRPr="00015FAC">
              <w:rPr>
                <w:rFonts w:ascii="Arial" w:eastAsia="Times New Roman" w:hAnsi="Arial" w:cs="Arial"/>
                <w:b/>
                <w:bCs/>
                <w:sz w:val="16"/>
                <w:szCs w:val="16"/>
                <w:lang w:eastAsia="en-AU"/>
              </w:rPr>
              <w:br/>
            </w:r>
            <w:r w:rsidRPr="00015FAC">
              <w:rPr>
                <w:rFonts w:ascii="Arial" w:eastAsia="Times New Roman" w:hAnsi="Arial" w:cs="Arial"/>
                <w:sz w:val="16"/>
                <w:szCs w:val="16"/>
                <w:lang w:eastAsia="en-AU"/>
              </w:rPr>
              <w:t>$'000</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ADMINISTERED</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300"/>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100" w:firstLine="16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Annual appropriations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100" w:firstLine="160"/>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sz w:val="16"/>
                <w:szCs w:val="16"/>
                <w:lang w:eastAsia="en-AU"/>
              </w:rPr>
              <w:t>Ordinary annual services</w:t>
            </w:r>
            <w:r w:rsidRPr="00015FAC">
              <w:rPr>
                <w:rFonts w:ascii="Arial" w:eastAsia="Times New Roman" w:hAnsi="Arial" w:cs="Arial"/>
                <w:sz w:val="16"/>
                <w:szCs w:val="16"/>
                <w:vertAlign w:val="superscript"/>
                <w:lang w:eastAsia="en-AU"/>
              </w:rPr>
              <w:t xml:space="preserve"> (a) (k)</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1: Health Policy, Access and Support</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9,294,103</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9,639,227</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2: Individual Health Benefits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1,438,295</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1,260,940</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3: Ageing and Aged Care</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4,354,342</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4,989,262</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4: Sport and Recreation</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105,711</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79,901</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 xml:space="preserve">Payments to corporate entities </w:t>
            </w:r>
            <w:r w:rsidRPr="00015FAC">
              <w:rPr>
                <w:rFonts w:ascii="Arial" w:eastAsia="Times New Roman" w:hAnsi="Arial" w:cs="Arial"/>
                <w:sz w:val="16"/>
                <w:szCs w:val="16"/>
                <w:vertAlign w:val="superscript"/>
                <w:lang w:eastAsia="en-AU"/>
              </w:rPr>
              <w:t>(l)</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593,610</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598,999</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sz w:val="16"/>
                <w:szCs w:val="16"/>
                <w:lang w:eastAsia="en-AU"/>
              </w:rPr>
              <w:t>Coronavirus Response - Ordinary annual services</w:t>
            </w:r>
            <w:r w:rsidRPr="00015FAC">
              <w:rPr>
                <w:rFonts w:ascii="Arial" w:eastAsia="Times New Roman" w:hAnsi="Arial" w:cs="Arial"/>
                <w:sz w:val="16"/>
                <w:szCs w:val="16"/>
                <w:vertAlign w:val="superscript"/>
                <w:lang w:eastAsia="en-AU"/>
              </w:rPr>
              <w:t xml:space="preserve"> (m)</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1: Health Policy, Access and Support</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773,261</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2: Individual Health Benefits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51,708</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3: Ageing and Aged Care</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110,702</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Outcome 4: Sport and Recreation</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283"/>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sz w:val="16"/>
                <w:szCs w:val="16"/>
                <w:lang w:eastAsia="en-AU"/>
              </w:rPr>
              <w:t>Other services</w:t>
            </w:r>
            <w:r w:rsidRPr="00015FAC">
              <w:rPr>
                <w:rFonts w:ascii="Arial" w:eastAsia="Times New Roman" w:hAnsi="Arial" w:cs="Arial"/>
                <w:sz w:val="16"/>
                <w:szCs w:val="16"/>
                <w:vertAlign w:val="superscript"/>
                <w:lang w:eastAsia="en-AU"/>
              </w:rPr>
              <w:t xml:space="preserve"> (e) (n)</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Administered assets and liabilities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802,491</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81,734</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 xml:space="preserve">Payments to corporate entities </w:t>
            </w:r>
            <w:r w:rsidRPr="00015FAC">
              <w:rPr>
                <w:rFonts w:ascii="Arial" w:eastAsia="Times New Roman" w:hAnsi="Arial" w:cs="Arial"/>
                <w:sz w:val="16"/>
                <w:szCs w:val="16"/>
                <w:vertAlign w:val="superscript"/>
                <w:lang w:eastAsia="en-AU"/>
              </w:rPr>
              <w:t>(l)</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22,229</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20,872</w:t>
            </w:r>
          </w:p>
        </w:tc>
      </w:tr>
      <w:tr w:rsidR="00015FAC" w:rsidRPr="00015FAC" w:rsidTr="00015FAC">
        <w:trPr>
          <w:trHeight w:val="283"/>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sz w:val="16"/>
                <w:szCs w:val="16"/>
                <w:lang w:eastAsia="en-AU"/>
              </w:rPr>
              <w:t>Coronavirus Response - Other services</w:t>
            </w:r>
            <w:r w:rsidRPr="00015FAC">
              <w:rPr>
                <w:rFonts w:ascii="Arial" w:eastAsia="Times New Roman" w:hAnsi="Arial" w:cs="Arial"/>
                <w:sz w:val="16"/>
                <w:szCs w:val="16"/>
                <w:vertAlign w:val="superscript"/>
                <w:lang w:eastAsia="en-AU"/>
              </w:rPr>
              <w:t xml:space="preserve"> (o)</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300" w:firstLine="480"/>
              <w:rPr>
                <w:rFonts w:ascii="Arial" w:eastAsia="Times New Roman" w:hAnsi="Arial" w:cs="Arial"/>
                <w:sz w:val="16"/>
                <w:szCs w:val="16"/>
                <w:lang w:eastAsia="en-AU"/>
              </w:rPr>
            </w:pPr>
            <w:r w:rsidRPr="00015FAC">
              <w:rPr>
                <w:rFonts w:ascii="Arial" w:eastAsia="Times New Roman" w:hAnsi="Arial" w:cs="Arial"/>
                <w:sz w:val="16"/>
                <w:szCs w:val="16"/>
                <w:lang w:eastAsia="en-AU"/>
              </w:rPr>
              <w:t>Administered assets and liabilities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670,907</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300"/>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18,217,359</w:t>
            </w:r>
          </w:p>
        </w:tc>
        <w:tc>
          <w:tcPr>
            <w:tcW w:w="1360" w:type="dxa"/>
            <w:tcBorders>
              <w:top w:val="nil"/>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16,670,935</w:t>
            </w:r>
          </w:p>
        </w:tc>
      </w:tr>
      <w:tr w:rsidR="00015FAC" w:rsidRPr="00015FAC" w:rsidTr="00015FAC">
        <w:trPr>
          <w:trHeight w:val="300"/>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100" w:firstLine="16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Special appropriations limited by criteria/entitlement</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100" w:firstLine="160"/>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 </w:t>
            </w:r>
          </w:p>
        </w:tc>
      </w:tr>
      <w:tr w:rsidR="00015FAC" w:rsidRPr="00015FAC" w:rsidTr="00015FAC">
        <w:trPr>
          <w:trHeight w:val="45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National Health Act 1953</w:t>
            </w:r>
            <w:r w:rsidRPr="00015FAC">
              <w:rPr>
                <w:rFonts w:ascii="Arial" w:eastAsia="Times New Roman" w:hAnsi="Arial" w:cs="Arial"/>
                <w:sz w:val="16"/>
                <w:szCs w:val="16"/>
                <w:lang w:eastAsia="en-AU"/>
              </w:rPr>
              <w:t xml:space="preserve"> - blood fractionation products and blood related products to National Blood Authority</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920,466</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996,315</w:t>
            </w:r>
          </w:p>
        </w:tc>
      </w:tr>
      <w:tr w:rsidR="00015FAC" w:rsidRPr="00015FAC" w:rsidTr="00015FAC">
        <w:trPr>
          <w:trHeight w:val="45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Public Governance, Performance and Accountability Act 2013 s77</w:t>
            </w:r>
            <w:r w:rsidRPr="00015FAC">
              <w:rPr>
                <w:rFonts w:ascii="Arial" w:eastAsia="Times New Roman" w:hAnsi="Arial" w:cs="Arial"/>
                <w:sz w:val="16"/>
                <w:szCs w:val="16"/>
                <w:lang w:eastAsia="en-AU"/>
              </w:rPr>
              <w:t xml:space="preserve"> - repayments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4,000</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2,000</w:t>
            </w:r>
          </w:p>
        </w:tc>
      </w:tr>
      <w:tr w:rsidR="00015FAC" w:rsidRPr="00015FAC" w:rsidTr="00015FAC">
        <w:trPr>
          <w:trHeight w:val="45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Private Health Insurance Act 2007</w:t>
            </w:r>
            <w:r w:rsidRPr="00015FAC">
              <w:rPr>
                <w:rFonts w:ascii="Arial" w:eastAsia="Times New Roman" w:hAnsi="Arial" w:cs="Arial"/>
                <w:sz w:val="16"/>
                <w:szCs w:val="16"/>
                <w:lang w:eastAsia="en-AU"/>
              </w:rPr>
              <w:t xml:space="preserve"> - incentive payments and rebate</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6,494,551</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6,640,317</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i/>
                <w:iCs/>
                <w:sz w:val="16"/>
                <w:szCs w:val="16"/>
                <w:lang w:eastAsia="en-AU"/>
              </w:rPr>
            </w:pPr>
            <w:r w:rsidRPr="00015FAC">
              <w:rPr>
                <w:rFonts w:ascii="Arial" w:eastAsia="Times New Roman" w:hAnsi="Arial" w:cs="Arial"/>
                <w:i/>
                <w:iCs/>
                <w:sz w:val="16"/>
                <w:szCs w:val="16"/>
                <w:lang w:eastAsia="en-AU"/>
              </w:rPr>
              <w:t xml:space="preserve">Medical Indemnity Act 2002 </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93,635</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101,074</w:t>
            </w:r>
          </w:p>
        </w:tc>
      </w:tr>
      <w:tr w:rsidR="00015FAC" w:rsidRPr="00015FAC" w:rsidTr="00015FAC">
        <w:trPr>
          <w:trHeight w:val="45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i/>
                <w:iCs/>
                <w:sz w:val="16"/>
                <w:szCs w:val="16"/>
                <w:lang w:eastAsia="en-AU"/>
              </w:rPr>
            </w:pPr>
            <w:r w:rsidRPr="00015FAC">
              <w:rPr>
                <w:rFonts w:ascii="Arial" w:eastAsia="Times New Roman" w:hAnsi="Arial" w:cs="Arial"/>
                <w:i/>
                <w:iCs/>
                <w:sz w:val="16"/>
                <w:szCs w:val="16"/>
                <w:lang w:eastAsia="en-AU"/>
              </w:rPr>
              <w:t>Midwife Professional Indemnity (Commonwealth Contribution) Scheme Act 2010</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2,860</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3,366</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i/>
                <w:iCs/>
                <w:sz w:val="16"/>
                <w:szCs w:val="16"/>
                <w:lang w:eastAsia="en-AU"/>
              </w:rPr>
            </w:pPr>
            <w:r w:rsidRPr="00015FAC">
              <w:rPr>
                <w:rFonts w:ascii="Arial" w:eastAsia="Times New Roman" w:hAnsi="Arial" w:cs="Arial"/>
                <w:i/>
                <w:iCs/>
                <w:sz w:val="16"/>
                <w:szCs w:val="16"/>
                <w:lang w:eastAsia="en-AU"/>
              </w:rPr>
              <w:t>Dental Benefits Act 2008</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338,908</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343,172</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National Health Act 1953</w:t>
            </w:r>
            <w:r w:rsidRPr="00015FAC">
              <w:rPr>
                <w:rFonts w:ascii="Arial" w:eastAsia="Times New Roman" w:hAnsi="Arial" w:cs="Arial"/>
                <w:sz w:val="16"/>
                <w:szCs w:val="16"/>
                <w:lang w:eastAsia="en-AU"/>
              </w:rPr>
              <w:t xml:space="preserve"> - aids and appliances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414,931</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420,228</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National Health Act 1953</w:t>
            </w:r>
            <w:r w:rsidRPr="00015FAC">
              <w:rPr>
                <w:rFonts w:ascii="Arial" w:eastAsia="Times New Roman" w:hAnsi="Arial" w:cs="Arial"/>
                <w:sz w:val="16"/>
                <w:szCs w:val="16"/>
                <w:lang w:eastAsia="en-AU"/>
              </w:rPr>
              <w:t xml:space="preserve"> - essential vaccines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442,058</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440,827</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Aged Care Act 1997</w:t>
            </w:r>
            <w:r w:rsidRPr="00015FAC">
              <w:rPr>
                <w:rFonts w:ascii="Arial" w:eastAsia="Times New Roman" w:hAnsi="Arial" w:cs="Arial"/>
                <w:sz w:val="16"/>
                <w:szCs w:val="16"/>
                <w:lang w:eastAsia="en-AU"/>
              </w:rPr>
              <w:t xml:space="preserve"> - residential and home care</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19,061,144</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22,708,179</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National Health Act 1953</w:t>
            </w:r>
            <w:r w:rsidRPr="00015FAC">
              <w:rPr>
                <w:rFonts w:ascii="Arial" w:eastAsia="Times New Roman" w:hAnsi="Arial" w:cs="Arial"/>
                <w:sz w:val="16"/>
                <w:szCs w:val="16"/>
                <w:lang w:eastAsia="en-AU"/>
              </w:rPr>
              <w:t xml:space="preserve"> - continence aids payments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98,418</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97,858</w:t>
            </w:r>
          </w:p>
        </w:tc>
      </w:tr>
      <w:tr w:rsidR="00015FAC" w:rsidRPr="00015FAC" w:rsidTr="00015FAC">
        <w:trPr>
          <w:trHeight w:val="300"/>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sz w:val="16"/>
                <w:szCs w:val="16"/>
                <w:lang w:eastAsia="en-AU"/>
              </w:rPr>
            </w:pPr>
            <w:r w:rsidRPr="00015FAC">
              <w:rPr>
                <w:rFonts w:ascii="Arial" w:eastAsia="Times New Roman" w:hAnsi="Arial" w:cs="Arial"/>
                <w:i/>
                <w:iCs/>
                <w:sz w:val="16"/>
                <w:szCs w:val="16"/>
                <w:lang w:eastAsia="en-AU"/>
              </w:rPr>
              <w:t xml:space="preserve">Aged Care Act 1997 </w:t>
            </w:r>
            <w:r w:rsidRPr="00015FAC">
              <w:rPr>
                <w:rFonts w:ascii="Arial" w:eastAsia="Times New Roman" w:hAnsi="Arial" w:cs="Arial"/>
                <w:sz w:val="16"/>
                <w:szCs w:val="16"/>
                <w:lang w:eastAsia="en-AU"/>
              </w:rPr>
              <w:t xml:space="preserve">- flexible care </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674,049</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731,786</w:t>
            </w:r>
          </w:p>
        </w:tc>
      </w:tr>
      <w:tr w:rsidR="00015FAC" w:rsidRPr="00015FAC" w:rsidTr="00015FAC">
        <w:trPr>
          <w:trHeight w:val="45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150" w:left="300"/>
              <w:rPr>
                <w:rFonts w:ascii="Arial" w:eastAsia="Times New Roman" w:hAnsi="Arial" w:cs="Arial"/>
                <w:i/>
                <w:iCs/>
                <w:sz w:val="16"/>
                <w:szCs w:val="16"/>
                <w:lang w:eastAsia="en-AU"/>
              </w:rPr>
            </w:pPr>
            <w:r w:rsidRPr="00015FAC">
              <w:rPr>
                <w:rFonts w:ascii="Arial" w:eastAsia="Times New Roman" w:hAnsi="Arial" w:cs="Arial"/>
                <w:i/>
                <w:iCs/>
                <w:sz w:val="16"/>
                <w:szCs w:val="16"/>
                <w:lang w:eastAsia="en-AU"/>
              </w:rPr>
              <w:t>National Health Act 1953 - COVID-19 vaccines and treatments</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3,769,994</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w:t>
            </w:r>
          </w:p>
        </w:tc>
      </w:tr>
      <w:tr w:rsidR="00015FAC" w:rsidRPr="00015FAC" w:rsidTr="00015FAC">
        <w:trPr>
          <w:trHeight w:val="283"/>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150" w:left="30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 xml:space="preserve">Total administered special appropriations </w:t>
            </w:r>
          </w:p>
        </w:tc>
        <w:tc>
          <w:tcPr>
            <w:tcW w:w="1360" w:type="dxa"/>
            <w:tcBorders>
              <w:top w:val="single" w:sz="4" w:space="0" w:color="auto"/>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32,315,014</w:t>
            </w:r>
          </w:p>
        </w:tc>
        <w:tc>
          <w:tcPr>
            <w:tcW w:w="1360" w:type="dxa"/>
            <w:tcBorders>
              <w:top w:val="single" w:sz="4" w:space="0" w:color="auto"/>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32,485,122</w:t>
            </w:r>
          </w:p>
        </w:tc>
      </w:tr>
    </w:tbl>
    <w:p w:rsidR="00015FAC" w:rsidRDefault="00015FAC" w:rsidP="00015FAC">
      <w:pPr>
        <w:rPr>
          <w:rFonts w:ascii="Arial" w:eastAsia="Times New Roman" w:hAnsi="Arial" w:cs="Arial"/>
          <w:szCs w:val="18"/>
        </w:rPr>
      </w:pPr>
      <w:r>
        <w:br w:type="page"/>
      </w:r>
    </w:p>
    <w:p w:rsidR="00232F9B" w:rsidRDefault="00232F9B" w:rsidP="0079143E">
      <w:pPr>
        <w:pStyle w:val="Tablenumberandreference"/>
        <w:spacing w:after="240"/>
        <w:rPr>
          <w:color w:val="000000"/>
        </w:rPr>
      </w:pPr>
      <w:r w:rsidRPr="00232F9B">
        <w:rPr>
          <w:color w:val="000000"/>
        </w:rPr>
        <w:lastRenderedPageBreak/>
        <w:t xml:space="preserve">Table 1.1: </w:t>
      </w:r>
      <w:r w:rsidR="00EF5C5E" w:rsidRPr="00232F9B">
        <w:rPr>
          <w:color w:val="000000"/>
        </w:rPr>
        <w:t>Department of Health Resource Statement – Budget Estimates for 202</w:t>
      </w:r>
      <w:r w:rsidR="00EF5C5E">
        <w:rPr>
          <w:color w:val="000000"/>
        </w:rPr>
        <w:t>2–</w:t>
      </w:r>
      <w:r w:rsidR="00EF5C5E" w:rsidRPr="00232F9B">
        <w:rPr>
          <w:color w:val="000000"/>
        </w:rPr>
        <w:t>2</w:t>
      </w:r>
      <w:r w:rsidR="00EF5C5E">
        <w:rPr>
          <w:color w:val="000000"/>
        </w:rPr>
        <w:t>3</w:t>
      </w:r>
      <w:r w:rsidR="00EF5C5E" w:rsidRPr="00232F9B">
        <w:rPr>
          <w:color w:val="000000"/>
        </w:rPr>
        <w:t xml:space="preserve"> as at Budget </w:t>
      </w:r>
      <w:r w:rsidR="00EF5C5E">
        <w:rPr>
          <w:color w:val="000000"/>
        </w:rPr>
        <w:t>March 2022</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1: Department of Health Resource Statement - Budget Estimates for 2022-23 as at Budget March 2022 (continued)"/>
        <w:tblDescription w:val="A table outlining the Department of Health Resource Statements - Budget Estimates for 2022-23 as at Budget March 2022"/>
      </w:tblPr>
      <w:tblGrid>
        <w:gridCol w:w="4660"/>
        <w:gridCol w:w="1360"/>
        <w:gridCol w:w="1360"/>
      </w:tblGrid>
      <w:tr w:rsidR="00015FAC" w:rsidRPr="00015FAC" w:rsidTr="00015FAC">
        <w:trPr>
          <w:trHeight w:val="765"/>
          <w:jc w:val="center"/>
        </w:trPr>
        <w:tc>
          <w:tcPr>
            <w:tcW w:w="4660" w:type="dxa"/>
            <w:tcBorders>
              <w:top w:val="single" w:sz="4" w:space="0" w:color="auto"/>
              <w:left w:val="nil"/>
              <w:bottom w:val="nil"/>
              <w:right w:val="nil"/>
            </w:tcBorders>
            <w:shd w:val="clear" w:color="auto" w:fill="auto"/>
            <w:hideMark/>
          </w:tcPr>
          <w:p w:rsidR="00015FAC" w:rsidRPr="00015FAC" w:rsidRDefault="00015FAC" w:rsidP="00015FAC">
            <w:pPr>
              <w:spacing w:before="40"/>
              <w:ind w:firstLineChars="100" w:firstLine="160"/>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 </w:t>
            </w:r>
          </w:p>
        </w:tc>
        <w:tc>
          <w:tcPr>
            <w:tcW w:w="1360" w:type="dxa"/>
            <w:tcBorders>
              <w:top w:val="single" w:sz="4" w:space="0" w:color="auto"/>
              <w:left w:val="nil"/>
              <w:bottom w:val="single" w:sz="4" w:space="0" w:color="auto"/>
              <w:right w:val="nil"/>
            </w:tcBorders>
            <w:shd w:val="clear" w:color="auto" w:fill="auto"/>
            <w:hideMark/>
          </w:tcPr>
          <w:p w:rsidR="00015FAC" w:rsidRPr="00015FAC" w:rsidRDefault="00015FAC" w:rsidP="00015FAC">
            <w:pPr>
              <w:spacing w:before="40"/>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2021–22</w:t>
            </w:r>
            <w:r w:rsidRPr="00015FAC">
              <w:rPr>
                <w:rFonts w:ascii="Arial" w:eastAsia="Times New Roman" w:hAnsi="Arial" w:cs="Arial"/>
                <w:b/>
                <w:bCs/>
                <w:sz w:val="16"/>
                <w:szCs w:val="16"/>
                <w:lang w:eastAsia="en-AU"/>
              </w:rPr>
              <w:br/>
              <w:t>Estimated</w:t>
            </w:r>
            <w:r w:rsidRPr="00015FAC">
              <w:rPr>
                <w:rFonts w:ascii="Arial" w:eastAsia="Times New Roman" w:hAnsi="Arial" w:cs="Arial"/>
                <w:b/>
                <w:bCs/>
                <w:sz w:val="16"/>
                <w:szCs w:val="16"/>
                <w:lang w:eastAsia="en-AU"/>
              </w:rPr>
              <w:br/>
              <w:t>actual</w:t>
            </w:r>
            <w:r w:rsidRPr="00015FAC">
              <w:rPr>
                <w:rFonts w:ascii="Arial" w:eastAsia="Times New Roman" w:hAnsi="Arial" w:cs="Arial"/>
                <w:b/>
                <w:bCs/>
                <w:sz w:val="16"/>
                <w:szCs w:val="16"/>
                <w:lang w:eastAsia="en-AU"/>
              </w:rPr>
              <w:br/>
            </w:r>
            <w:r w:rsidRPr="00015FAC">
              <w:rPr>
                <w:rFonts w:ascii="Arial" w:eastAsia="Times New Roman" w:hAnsi="Arial" w:cs="Arial"/>
                <w:sz w:val="16"/>
                <w:szCs w:val="16"/>
                <w:lang w:eastAsia="en-AU"/>
              </w:rPr>
              <w:t>$'000</w:t>
            </w:r>
          </w:p>
        </w:tc>
        <w:tc>
          <w:tcPr>
            <w:tcW w:w="1360" w:type="dxa"/>
            <w:tcBorders>
              <w:top w:val="single" w:sz="4" w:space="0" w:color="auto"/>
              <w:left w:val="nil"/>
              <w:bottom w:val="single" w:sz="4" w:space="0" w:color="auto"/>
              <w:right w:val="nil"/>
            </w:tcBorders>
            <w:shd w:val="clear" w:color="000000" w:fill="D9D9D9"/>
            <w:hideMark/>
          </w:tcPr>
          <w:p w:rsidR="00015FAC" w:rsidRPr="00015FAC" w:rsidRDefault="00015FAC" w:rsidP="00015FAC">
            <w:pPr>
              <w:spacing w:before="40"/>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2022–23</w:t>
            </w:r>
            <w:r w:rsidRPr="00015FAC">
              <w:rPr>
                <w:rFonts w:ascii="Arial" w:eastAsia="Times New Roman" w:hAnsi="Arial" w:cs="Arial"/>
                <w:b/>
                <w:bCs/>
                <w:sz w:val="16"/>
                <w:szCs w:val="16"/>
                <w:lang w:eastAsia="en-AU"/>
              </w:rPr>
              <w:br/>
              <w:t>Estimate</w:t>
            </w:r>
            <w:r w:rsidRPr="00015FAC">
              <w:rPr>
                <w:rFonts w:ascii="Arial" w:eastAsia="Times New Roman" w:hAnsi="Arial" w:cs="Arial"/>
                <w:b/>
                <w:bCs/>
                <w:sz w:val="16"/>
                <w:szCs w:val="16"/>
                <w:lang w:eastAsia="en-AU"/>
              </w:rPr>
              <w:br/>
            </w:r>
            <w:r w:rsidRPr="00015FAC">
              <w:rPr>
                <w:rFonts w:ascii="Arial" w:eastAsia="Times New Roman" w:hAnsi="Arial" w:cs="Arial"/>
                <w:b/>
                <w:bCs/>
                <w:sz w:val="16"/>
                <w:szCs w:val="16"/>
                <w:lang w:eastAsia="en-AU"/>
              </w:rPr>
              <w:br/>
            </w:r>
            <w:r w:rsidRPr="00015FAC">
              <w:rPr>
                <w:rFonts w:ascii="Arial" w:eastAsia="Times New Roman" w:hAnsi="Arial" w:cs="Arial"/>
                <w:sz w:val="16"/>
                <w:szCs w:val="16"/>
                <w:lang w:eastAsia="en-AU"/>
              </w:rPr>
              <w:t>$'000</w:t>
            </w:r>
          </w:p>
        </w:tc>
      </w:tr>
      <w:tr w:rsidR="00015FAC" w:rsidRPr="00015FAC" w:rsidTr="00015FAC">
        <w:trPr>
          <w:trHeight w:val="227"/>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75" w:left="15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 xml:space="preserve">Special accounts </w:t>
            </w:r>
            <w:r w:rsidRPr="00015FAC">
              <w:rPr>
                <w:rFonts w:ascii="Arial" w:eastAsia="Times New Roman" w:hAnsi="Arial" w:cs="Arial"/>
                <w:b/>
                <w:bCs/>
                <w:sz w:val="16"/>
                <w:szCs w:val="16"/>
                <w:vertAlign w:val="superscript"/>
                <w:lang w:eastAsia="en-AU"/>
              </w:rPr>
              <w:t>(g) (h)</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ind w:firstLineChars="100" w:firstLine="160"/>
              <w:rPr>
                <w:rFonts w:ascii="Arial" w:eastAsia="Times New Roman" w:hAnsi="Arial" w:cs="Arial"/>
                <w:b/>
                <w:bCs/>
                <w:sz w:val="16"/>
                <w:szCs w:val="16"/>
                <w:lang w:eastAsia="en-AU"/>
              </w:rPr>
            </w:pP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 </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r w:rsidRPr="00015FAC">
              <w:rPr>
                <w:rFonts w:ascii="Arial" w:eastAsia="Times New Roman" w:hAnsi="Arial" w:cs="Arial"/>
                <w:sz w:val="16"/>
                <w:szCs w:val="16"/>
                <w:lang w:eastAsia="en-AU"/>
              </w:rPr>
              <w:t>Opening balance</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1,849,193</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1,850,230</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r w:rsidRPr="00015FAC">
              <w:rPr>
                <w:rFonts w:ascii="Arial" w:eastAsia="Times New Roman" w:hAnsi="Arial" w:cs="Arial"/>
                <w:sz w:val="16"/>
                <w:szCs w:val="16"/>
                <w:lang w:eastAsia="en-AU"/>
              </w:rPr>
              <w:t xml:space="preserve">Appropriation receipts </w:t>
            </w:r>
            <w:r w:rsidRPr="00015FAC">
              <w:rPr>
                <w:rFonts w:ascii="Arial" w:eastAsia="Times New Roman" w:hAnsi="Arial" w:cs="Arial"/>
                <w:sz w:val="16"/>
                <w:szCs w:val="16"/>
                <w:vertAlign w:val="superscript"/>
                <w:lang w:eastAsia="en-AU"/>
              </w:rPr>
              <w:t>(</w:t>
            </w:r>
            <w:proofErr w:type="spellStart"/>
            <w:r w:rsidRPr="00015FAC">
              <w:rPr>
                <w:rFonts w:ascii="Arial" w:eastAsia="Times New Roman" w:hAnsi="Arial" w:cs="Arial"/>
                <w:sz w:val="16"/>
                <w:szCs w:val="16"/>
                <w:vertAlign w:val="superscript"/>
                <w:lang w:eastAsia="en-AU"/>
              </w:rPr>
              <w:t>i</w:t>
            </w:r>
            <w:proofErr w:type="spellEnd"/>
            <w:r w:rsidRPr="00015FAC">
              <w:rPr>
                <w:rFonts w:ascii="Arial" w:eastAsia="Times New Roman" w:hAnsi="Arial" w:cs="Arial"/>
                <w:sz w:val="16"/>
                <w:szCs w:val="16"/>
                <w:vertAlign w:val="superscript"/>
                <w:lang w:eastAsia="en-AU"/>
              </w:rPr>
              <w:t>)</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7,133</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7,133</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sz w:val="16"/>
                <w:szCs w:val="16"/>
                <w:lang w:eastAsia="en-AU"/>
              </w:rPr>
            </w:pPr>
            <w:r w:rsidRPr="00015FAC">
              <w:rPr>
                <w:rFonts w:ascii="Arial" w:eastAsia="Times New Roman" w:hAnsi="Arial" w:cs="Arial"/>
                <w:sz w:val="16"/>
                <w:szCs w:val="16"/>
                <w:lang w:eastAsia="en-AU"/>
              </w:rPr>
              <w:t xml:space="preserve">Non-appropriation receipts </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45,326,730</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47,120,891</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firstLineChars="200" w:firstLine="32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Total special accounts</w:t>
            </w:r>
          </w:p>
        </w:tc>
        <w:tc>
          <w:tcPr>
            <w:tcW w:w="1360" w:type="dxa"/>
            <w:tcBorders>
              <w:top w:val="nil"/>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47,183,056</w:t>
            </w:r>
          </w:p>
        </w:tc>
        <w:tc>
          <w:tcPr>
            <w:tcW w:w="1360" w:type="dxa"/>
            <w:tcBorders>
              <w:top w:val="nil"/>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48,978,254</w:t>
            </w:r>
          </w:p>
        </w:tc>
      </w:tr>
      <w:tr w:rsidR="00015FAC" w:rsidRPr="00015FAC" w:rsidTr="00015FAC">
        <w:trPr>
          <w:trHeight w:val="300"/>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ind w:leftChars="75" w:left="150"/>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97,715,429</w:t>
            </w:r>
          </w:p>
        </w:tc>
        <w:tc>
          <w:tcPr>
            <w:tcW w:w="1360" w:type="dxa"/>
            <w:tcBorders>
              <w:top w:val="nil"/>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98,134,311</w:t>
            </w:r>
          </w:p>
        </w:tc>
      </w:tr>
      <w:tr w:rsidR="00015FAC" w:rsidRPr="00015FAC" w:rsidTr="00015FAC">
        <w:trPr>
          <w:trHeight w:val="794"/>
          <w:jc w:val="center"/>
        </w:trPr>
        <w:tc>
          <w:tcPr>
            <w:tcW w:w="4660" w:type="dxa"/>
            <w:tcBorders>
              <w:top w:val="nil"/>
              <w:left w:val="nil"/>
              <w:bottom w:val="nil"/>
              <w:right w:val="nil"/>
            </w:tcBorders>
            <w:shd w:val="clear" w:color="auto" w:fill="auto"/>
            <w:vAlign w:val="bottom"/>
            <w:hideMark/>
          </w:tcPr>
          <w:p w:rsidR="00015FAC" w:rsidRPr="00015FAC" w:rsidRDefault="00015FAC" w:rsidP="00015FAC">
            <w:pPr>
              <w:ind w:leftChars="75" w:left="150"/>
              <w:rPr>
                <w:rFonts w:ascii="Arial" w:eastAsia="Times New Roman" w:hAnsi="Arial" w:cs="Arial"/>
                <w:sz w:val="16"/>
                <w:szCs w:val="16"/>
                <w:lang w:eastAsia="en-AU"/>
              </w:rPr>
            </w:pPr>
            <w:r w:rsidRPr="00015FAC">
              <w:rPr>
                <w:rFonts w:ascii="Arial" w:eastAsia="Times New Roman" w:hAnsi="Arial" w:cs="Arial"/>
                <w:sz w:val="16"/>
                <w:szCs w:val="16"/>
                <w:lang w:eastAsia="en-AU"/>
              </w:rPr>
              <w:t>Less appropriations drawn from annual or special appropriations above and credited to special accounts and/or payments to corporate entities through annual appropriations</w:t>
            </w:r>
            <w:r w:rsidRPr="00015FAC">
              <w:rPr>
                <w:rFonts w:ascii="Arial" w:eastAsia="Times New Roman" w:hAnsi="Arial" w:cs="Arial"/>
                <w:sz w:val="16"/>
                <w:szCs w:val="16"/>
                <w:vertAlign w:val="superscript"/>
                <w:lang w:eastAsia="en-AU"/>
              </w:rPr>
              <w:t xml:space="preserve"> (j)</w:t>
            </w:r>
          </w:p>
        </w:tc>
        <w:tc>
          <w:tcPr>
            <w:tcW w:w="13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(622,972)</w:t>
            </w:r>
          </w:p>
        </w:tc>
        <w:tc>
          <w:tcPr>
            <w:tcW w:w="1360" w:type="dxa"/>
            <w:tcBorders>
              <w:top w:val="nil"/>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sz w:val="16"/>
                <w:szCs w:val="16"/>
                <w:lang w:eastAsia="en-AU"/>
              </w:rPr>
            </w:pPr>
            <w:r w:rsidRPr="00015FAC">
              <w:rPr>
                <w:rFonts w:ascii="Arial" w:eastAsia="Times New Roman" w:hAnsi="Arial" w:cs="Arial"/>
                <w:sz w:val="16"/>
                <w:szCs w:val="16"/>
                <w:lang w:eastAsia="en-AU"/>
              </w:rPr>
              <w:t>(627,004)</w:t>
            </w:r>
          </w:p>
        </w:tc>
      </w:tr>
      <w:tr w:rsidR="00015FAC" w:rsidRPr="00015FAC" w:rsidTr="00015FAC">
        <w:trPr>
          <w:trHeight w:val="283"/>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Total administered resourcing for Health</w:t>
            </w:r>
          </w:p>
        </w:tc>
        <w:tc>
          <w:tcPr>
            <w:tcW w:w="1360" w:type="dxa"/>
            <w:tcBorders>
              <w:top w:val="single" w:sz="4" w:space="0" w:color="auto"/>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97,092,457</w:t>
            </w:r>
          </w:p>
        </w:tc>
        <w:tc>
          <w:tcPr>
            <w:tcW w:w="1360" w:type="dxa"/>
            <w:tcBorders>
              <w:top w:val="single" w:sz="4" w:space="0" w:color="auto"/>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97,507,307</w:t>
            </w:r>
          </w:p>
        </w:tc>
      </w:tr>
      <w:tr w:rsidR="00015FAC" w:rsidRPr="00015FAC" w:rsidTr="00015FAC">
        <w:trPr>
          <w:trHeight w:val="283"/>
          <w:jc w:val="center"/>
        </w:trPr>
        <w:tc>
          <w:tcPr>
            <w:tcW w:w="4660" w:type="dxa"/>
            <w:tcBorders>
              <w:top w:val="nil"/>
              <w:left w:val="nil"/>
              <w:bottom w:val="single" w:sz="4" w:space="0" w:color="auto"/>
              <w:right w:val="nil"/>
            </w:tcBorders>
            <w:shd w:val="clear" w:color="auto" w:fill="auto"/>
            <w:noWrap/>
            <w:vAlign w:val="bottom"/>
            <w:hideMark/>
          </w:tcPr>
          <w:p w:rsidR="00015FAC" w:rsidRPr="00015FAC" w:rsidRDefault="00015FAC" w:rsidP="00015FAC">
            <w:pPr>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Total resourcing for Health</w:t>
            </w:r>
          </w:p>
        </w:tc>
        <w:tc>
          <w:tcPr>
            <w:tcW w:w="1360" w:type="dxa"/>
            <w:tcBorders>
              <w:top w:val="nil"/>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98,528,522</w:t>
            </w:r>
          </w:p>
        </w:tc>
        <w:tc>
          <w:tcPr>
            <w:tcW w:w="1360" w:type="dxa"/>
            <w:tcBorders>
              <w:top w:val="nil"/>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98,923,640</w:t>
            </w: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p>
        </w:tc>
        <w:tc>
          <w:tcPr>
            <w:tcW w:w="1360" w:type="dxa"/>
            <w:tcBorders>
              <w:top w:val="nil"/>
              <w:left w:val="nil"/>
              <w:bottom w:val="nil"/>
              <w:right w:val="nil"/>
            </w:tcBorders>
            <w:shd w:val="clear" w:color="auto" w:fill="auto"/>
            <w:noWrap/>
            <w:vAlign w:val="bottom"/>
            <w:hideMark/>
          </w:tcPr>
          <w:p w:rsidR="00015FAC" w:rsidRPr="00015FAC" w:rsidRDefault="00015FAC" w:rsidP="00015FAC">
            <w:pPr>
              <w:rPr>
                <w:rFonts w:eastAsia="Times New Roman"/>
                <w:lang w:eastAsia="en-AU"/>
              </w:rPr>
            </w:pPr>
          </w:p>
        </w:tc>
        <w:tc>
          <w:tcPr>
            <w:tcW w:w="1360" w:type="dxa"/>
            <w:tcBorders>
              <w:top w:val="nil"/>
              <w:left w:val="nil"/>
              <w:bottom w:val="nil"/>
              <w:right w:val="nil"/>
            </w:tcBorders>
            <w:shd w:val="clear" w:color="auto" w:fill="auto"/>
            <w:noWrap/>
            <w:vAlign w:val="bottom"/>
            <w:hideMark/>
          </w:tcPr>
          <w:p w:rsidR="00015FAC" w:rsidRPr="00015FAC" w:rsidRDefault="00015FAC" w:rsidP="00015FAC">
            <w:pPr>
              <w:rPr>
                <w:rFonts w:eastAsia="Times New Roman"/>
                <w:lang w:eastAsia="en-AU"/>
              </w:rPr>
            </w:pPr>
          </w:p>
        </w:tc>
      </w:tr>
      <w:tr w:rsidR="00015FAC" w:rsidRPr="00015FAC" w:rsidTr="00015FAC">
        <w:trPr>
          <w:trHeight w:val="225"/>
          <w:jc w:val="center"/>
        </w:trPr>
        <w:tc>
          <w:tcPr>
            <w:tcW w:w="4660" w:type="dxa"/>
            <w:tcBorders>
              <w:top w:val="nil"/>
              <w:left w:val="nil"/>
              <w:bottom w:val="nil"/>
              <w:right w:val="nil"/>
            </w:tcBorders>
            <w:shd w:val="clear" w:color="auto" w:fill="auto"/>
            <w:noWrap/>
            <w:vAlign w:val="bottom"/>
            <w:hideMark/>
          </w:tcPr>
          <w:p w:rsidR="00015FAC" w:rsidRPr="00015FAC" w:rsidRDefault="00015FAC" w:rsidP="00015FAC">
            <w:pPr>
              <w:jc w:val="right"/>
              <w:rPr>
                <w:rFonts w:eastAsia="Times New Roman"/>
                <w:lang w:eastAsia="en-AU"/>
              </w:rPr>
            </w:pPr>
          </w:p>
        </w:tc>
        <w:tc>
          <w:tcPr>
            <w:tcW w:w="1360" w:type="dxa"/>
            <w:tcBorders>
              <w:top w:val="single" w:sz="4" w:space="0" w:color="auto"/>
              <w:left w:val="nil"/>
              <w:bottom w:val="nil"/>
              <w:right w:val="nil"/>
            </w:tcBorders>
            <w:shd w:val="clear" w:color="auto" w:fill="auto"/>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2021-22</w:t>
            </w:r>
          </w:p>
        </w:tc>
        <w:tc>
          <w:tcPr>
            <w:tcW w:w="1360" w:type="dxa"/>
            <w:tcBorders>
              <w:top w:val="single" w:sz="4" w:space="0" w:color="auto"/>
              <w:left w:val="nil"/>
              <w:bottom w:val="nil"/>
              <w:right w:val="nil"/>
            </w:tcBorders>
            <w:shd w:val="clear" w:color="000000" w:fill="D9D9D9"/>
            <w:noWrap/>
            <w:vAlign w:val="bottom"/>
            <w:hideMark/>
          </w:tcPr>
          <w:p w:rsidR="00015FAC" w:rsidRPr="00015FAC" w:rsidRDefault="00015FAC" w:rsidP="00015FAC">
            <w:pPr>
              <w:jc w:val="right"/>
              <w:rPr>
                <w:rFonts w:ascii="Arial" w:eastAsia="Times New Roman" w:hAnsi="Arial" w:cs="Arial"/>
                <w:b/>
                <w:bCs/>
                <w:sz w:val="16"/>
                <w:szCs w:val="16"/>
                <w:lang w:eastAsia="en-AU"/>
              </w:rPr>
            </w:pPr>
            <w:r w:rsidRPr="00015FAC">
              <w:rPr>
                <w:rFonts w:ascii="Arial" w:eastAsia="Times New Roman" w:hAnsi="Arial" w:cs="Arial"/>
                <w:b/>
                <w:bCs/>
                <w:sz w:val="16"/>
                <w:szCs w:val="16"/>
                <w:lang w:eastAsia="en-AU"/>
              </w:rPr>
              <w:t>2022-23</w:t>
            </w:r>
          </w:p>
        </w:tc>
      </w:tr>
      <w:tr w:rsidR="00015FAC" w:rsidRPr="00015FAC" w:rsidTr="00015FAC">
        <w:trPr>
          <w:trHeight w:val="225"/>
          <w:jc w:val="center"/>
        </w:trPr>
        <w:tc>
          <w:tcPr>
            <w:tcW w:w="4660" w:type="dxa"/>
            <w:tcBorders>
              <w:top w:val="nil"/>
              <w:left w:val="nil"/>
              <w:bottom w:val="single" w:sz="4" w:space="0" w:color="auto"/>
              <w:right w:val="nil"/>
            </w:tcBorders>
            <w:shd w:val="clear" w:color="auto" w:fill="auto"/>
            <w:noWrap/>
            <w:vAlign w:val="bottom"/>
            <w:hideMark/>
          </w:tcPr>
          <w:p w:rsidR="00015FAC" w:rsidRPr="00015FAC" w:rsidRDefault="00015FAC" w:rsidP="00015FAC">
            <w:pPr>
              <w:rPr>
                <w:rFonts w:ascii="Arial" w:eastAsia="Times New Roman" w:hAnsi="Arial" w:cs="Arial"/>
                <w:b/>
                <w:bCs/>
                <w:color w:val="000000"/>
                <w:sz w:val="16"/>
                <w:szCs w:val="16"/>
                <w:lang w:eastAsia="en-AU"/>
              </w:rPr>
            </w:pPr>
            <w:r w:rsidRPr="00015FAC">
              <w:rPr>
                <w:rFonts w:ascii="Arial" w:eastAsia="Times New Roman" w:hAnsi="Arial" w:cs="Arial"/>
                <w:b/>
                <w:bCs/>
                <w:color w:val="000000"/>
                <w:sz w:val="16"/>
                <w:szCs w:val="16"/>
                <w:lang w:eastAsia="en-AU"/>
              </w:rPr>
              <w:t xml:space="preserve">Average </w:t>
            </w:r>
            <w:r w:rsidRPr="00015FAC">
              <w:rPr>
                <w:rFonts w:ascii="Arial" w:eastAsia="Times New Roman" w:hAnsi="Arial" w:cs="Arial"/>
                <w:b/>
                <w:bCs/>
                <w:sz w:val="16"/>
                <w:szCs w:val="16"/>
                <w:lang w:eastAsia="en-AU"/>
              </w:rPr>
              <w:t>s</w:t>
            </w:r>
            <w:r w:rsidRPr="00015FAC">
              <w:rPr>
                <w:rFonts w:ascii="Arial" w:eastAsia="Times New Roman" w:hAnsi="Arial" w:cs="Arial"/>
                <w:b/>
                <w:bCs/>
                <w:color w:val="000000"/>
                <w:sz w:val="16"/>
                <w:szCs w:val="16"/>
                <w:lang w:eastAsia="en-AU"/>
              </w:rPr>
              <w:t xml:space="preserve">taffing </w:t>
            </w:r>
            <w:r w:rsidRPr="00015FAC">
              <w:rPr>
                <w:rFonts w:ascii="Arial" w:eastAsia="Times New Roman" w:hAnsi="Arial" w:cs="Arial"/>
                <w:b/>
                <w:bCs/>
                <w:sz w:val="16"/>
                <w:szCs w:val="16"/>
                <w:lang w:eastAsia="en-AU"/>
              </w:rPr>
              <w:t>l</w:t>
            </w:r>
            <w:r w:rsidRPr="00015FAC">
              <w:rPr>
                <w:rFonts w:ascii="Arial" w:eastAsia="Times New Roman" w:hAnsi="Arial" w:cs="Arial"/>
                <w:b/>
                <w:bCs/>
                <w:color w:val="000000"/>
                <w:sz w:val="16"/>
                <w:szCs w:val="16"/>
                <w:lang w:eastAsia="en-AU"/>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rsidR="00015FAC" w:rsidRPr="00015FAC" w:rsidRDefault="00015FAC" w:rsidP="00015FAC">
            <w:pPr>
              <w:jc w:val="right"/>
              <w:rPr>
                <w:rFonts w:ascii="Arial" w:eastAsia="Times New Roman" w:hAnsi="Arial" w:cs="Arial"/>
                <w:color w:val="000000"/>
                <w:sz w:val="16"/>
                <w:szCs w:val="16"/>
                <w:lang w:eastAsia="en-AU"/>
              </w:rPr>
            </w:pPr>
            <w:r w:rsidRPr="00015FAC">
              <w:rPr>
                <w:rFonts w:ascii="Arial" w:eastAsia="Times New Roman" w:hAnsi="Arial" w:cs="Arial"/>
                <w:color w:val="000000"/>
                <w:sz w:val="16"/>
                <w:szCs w:val="16"/>
                <w:lang w:eastAsia="en-AU"/>
              </w:rPr>
              <w:t>4,884</w:t>
            </w:r>
          </w:p>
        </w:tc>
        <w:tc>
          <w:tcPr>
            <w:tcW w:w="1360" w:type="dxa"/>
            <w:tcBorders>
              <w:top w:val="single" w:sz="4" w:space="0" w:color="auto"/>
              <w:left w:val="nil"/>
              <w:bottom w:val="single" w:sz="4" w:space="0" w:color="auto"/>
              <w:right w:val="nil"/>
            </w:tcBorders>
            <w:shd w:val="clear" w:color="000000" w:fill="D9D9D9"/>
            <w:noWrap/>
            <w:vAlign w:val="bottom"/>
            <w:hideMark/>
          </w:tcPr>
          <w:p w:rsidR="00015FAC" w:rsidRPr="00015FAC" w:rsidRDefault="00015FAC" w:rsidP="00015FAC">
            <w:pPr>
              <w:jc w:val="right"/>
              <w:rPr>
                <w:rFonts w:ascii="Arial" w:eastAsia="Times New Roman" w:hAnsi="Arial" w:cs="Arial"/>
                <w:color w:val="000000"/>
                <w:sz w:val="16"/>
                <w:szCs w:val="16"/>
                <w:lang w:eastAsia="en-AU"/>
              </w:rPr>
            </w:pPr>
            <w:r w:rsidRPr="00015FAC">
              <w:rPr>
                <w:rFonts w:ascii="Arial" w:eastAsia="Times New Roman" w:hAnsi="Arial" w:cs="Arial"/>
                <w:color w:val="000000"/>
                <w:sz w:val="16"/>
                <w:szCs w:val="16"/>
                <w:lang w:eastAsia="en-AU"/>
              </w:rPr>
              <w:t>4,502</w:t>
            </w:r>
          </w:p>
        </w:tc>
      </w:tr>
    </w:tbl>
    <w:p w:rsidR="00015FAC" w:rsidRPr="00015FAC" w:rsidRDefault="00015FAC" w:rsidP="007149BA">
      <w:pPr>
        <w:pStyle w:val="FootnoteText"/>
        <w:spacing w:before="120" w:after="40"/>
        <w:rPr>
          <w:lang w:eastAsia="en-AU"/>
        </w:rPr>
      </w:pPr>
      <w:r w:rsidRPr="00015FAC">
        <w:rPr>
          <w:lang w:eastAsia="en-AU"/>
        </w:rPr>
        <w:t>A</w:t>
      </w:r>
      <w:r>
        <w:rPr>
          <w:lang w:eastAsia="en-AU"/>
        </w:rPr>
        <w:t>ll figures are GST exclusive.</w:t>
      </w:r>
    </w:p>
    <w:p w:rsidR="00015FAC" w:rsidRPr="00015FAC" w:rsidRDefault="00015FAC" w:rsidP="007149BA">
      <w:pPr>
        <w:pStyle w:val="FootnoteText"/>
        <w:spacing w:before="40" w:after="40"/>
        <w:rPr>
          <w:lang w:eastAsia="en-AU"/>
        </w:rPr>
      </w:pPr>
      <w:r w:rsidRPr="00015FAC">
        <w:rPr>
          <w:lang w:eastAsia="en-AU"/>
        </w:rPr>
        <w:t>Prepared on resourcing (i.e. ap</w:t>
      </w:r>
      <w:r>
        <w:rPr>
          <w:lang w:eastAsia="en-AU"/>
        </w:rPr>
        <w:t>propriation available) basis.</w:t>
      </w:r>
    </w:p>
    <w:p w:rsidR="00015FAC" w:rsidRPr="00015FAC" w:rsidRDefault="00015FAC" w:rsidP="00015FAC">
      <w:pPr>
        <w:pStyle w:val="FootnoteText"/>
        <w:rPr>
          <w:lang w:eastAsia="en-AU"/>
        </w:rPr>
      </w:pPr>
      <w:r w:rsidRPr="00015FAC">
        <w:rPr>
          <w:vertAlign w:val="superscript"/>
          <w:lang w:eastAsia="en-AU"/>
        </w:rPr>
        <w:t>(a)</w:t>
      </w:r>
      <w:r>
        <w:rPr>
          <w:lang w:eastAsia="en-AU"/>
        </w:rPr>
        <w:tab/>
      </w:r>
      <w:r w:rsidRPr="00015FAC">
        <w:rPr>
          <w:i/>
          <w:lang w:eastAsia="en-AU"/>
        </w:rPr>
        <w:t>Appropriation Act (No. 1) 2022–23.</w:t>
      </w:r>
    </w:p>
    <w:p w:rsidR="00015FAC" w:rsidRPr="00015FAC" w:rsidRDefault="00015FAC" w:rsidP="00015FAC">
      <w:pPr>
        <w:pStyle w:val="FootnoteText"/>
        <w:rPr>
          <w:lang w:eastAsia="en-AU"/>
        </w:rPr>
      </w:pPr>
      <w:r w:rsidRPr="00015FAC">
        <w:rPr>
          <w:vertAlign w:val="superscript"/>
          <w:lang w:eastAsia="en-AU"/>
        </w:rPr>
        <w:t>(b)</w:t>
      </w:r>
      <w:r>
        <w:rPr>
          <w:lang w:eastAsia="en-AU"/>
        </w:rPr>
        <w:tab/>
      </w:r>
      <w:r w:rsidRPr="00015FAC">
        <w:rPr>
          <w:lang w:eastAsia="en-AU"/>
        </w:rPr>
        <w:t>$98.0 million wi</w:t>
      </w:r>
      <w:r w:rsidR="00EF0171">
        <w:rPr>
          <w:lang w:eastAsia="en-AU"/>
        </w:rPr>
        <w:t>ll be received through the 2021–</w:t>
      </w:r>
      <w:r w:rsidRPr="00015FAC">
        <w:rPr>
          <w:lang w:eastAsia="en-AU"/>
        </w:rPr>
        <w:t>22 Annual Appropriation Bill No. 3. The annual appropriations received from these bills be recognise</w:t>
      </w:r>
      <w:r w:rsidR="00EF0171">
        <w:rPr>
          <w:lang w:eastAsia="en-AU"/>
        </w:rPr>
        <w:t>d in a future Portfolio Budget S</w:t>
      </w:r>
      <w:r w:rsidRPr="00015FAC">
        <w:rPr>
          <w:lang w:eastAsia="en-AU"/>
        </w:rPr>
        <w:t>tatement</w:t>
      </w:r>
      <w:r w:rsidR="00EF0171">
        <w:rPr>
          <w:lang w:eastAsia="en-AU"/>
        </w:rPr>
        <w:t>s</w:t>
      </w:r>
      <w:r w:rsidRPr="00015FAC">
        <w:rPr>
          <w:lang w:eastAsia="en-AU"/>
        </w:rPr>
        <w:t xml:space="preserve"> but only after the Bill</w:t>
      </w:r>
      <w:r>
        <w:rPr>
          <w:lang w:eastAsia="en-AU"/>
        </w:rPr>
        <w:t>s have received Royal Assent.</w:t>
      </w:r>
    </w:p>
    <w:p w:rsidR="00015FAC" w:rsidRPr="00015FAC" w:rsidRDefault="00015FAC" w:rsidP="00015FAC">
      <w:pPr>
        <w:pStyle w:val="FootnoteText"/>
        <w:rPr>
          <w:lang w:eastAsia="en-AU"/>
        </w:rPr>
      </w:pPr>
      <w:r w:rsidRPr="00015FAC">
        <w:rPr>
          <w:vertAlign w:val="superscript"/>
          <w:lang w:eastAsia="en-AU"/>
        </w:rPr>
        <w:t>(c)</w:t>
      </w:r>
      <w:r>
        <w:rPr>
          <w:lang w:eastAsia="en-AU"/>
        </w:rPr>
        <w:tab/>
      </w:r>
      <w:r w:rsidRPr="00015FAC">
        <w:rPr>
          <w:lang w:eastAsia="en-AU"/>
        </w:rPr>
        <w:t xml:space="preserve">Estimated retained revenue receipts under section 74 of the </w:t>
      </w:r>
      <w:r w:rsidRPr="00015FAC">
        <w:rPr>
          <w:i/>
          <w:lang w:eastAsia="en-AU"/>
        </w:rPr>
        <w:t xml:space="preserve">Public Governance, Performance and Accountability Act 2013 </w:t>
      </w:r>
      <w:r>
        <w:rPr>
          <w:lang w:eastAsia="en-AU"/>
        </w:rPr>
        <w:t>(PGPA Act).</w:t>
      </w:r>
    </w:p>
    <w:p w:rsidR="00015FAC" w:rsidRPr="00015FAC" w:rsidRDefault="00015FAC" w:rsidP="00015FAC">
      <w:pPr>
        <w:pStyle w:val="FootnoteText"/>
        <w:rPr>
          <w:lang w:eastAsia="en-AU"/>
        </w:rPr>
      </w:pPr>
      <w:r w:rsidRPr="00015FAC">
        <w:rPr>
          <w:vertAlign w:val="superscript"/>
          <w:lang w:eastAsia="en-AU"/>
        </w:rPr>
        <w:t>(d)</w:t>
      </w:r>
      <w:r w:rsidRPr="00015FAC">
        <w:rPr>
          <w:vertAlign w:val="superscript"/>
          <w:lang w:eastAsia="en-AU"/>
        </w:rPr>
        <w:tab/>
      </w:r>
      <w:r w:rsidRPr="00015FAC">
        <w:rPr>
          <w:lang w:eastAsia="en-AU"/>
        </w:rPr>
        <w:t xml:space="preserve">Departmental Capital Budgets are not separately identified in Appropriation Bill (No. 1) and form part of ordinary annual services items. Please refer to Table 3.5 for further details. For accounting purposes, this amount has been designated </w:t>
      </w:r>
      <w:r>
        <w:rPr>
          <w:lang w:eastAsia="en-AU"/>
        </w:rPr>
        <w:t>as a 'contribution by owner'.</w:t>
      </w:r>
    </w:p>
    <w:p w:rsidR="00015FAC" w:rsidRPr="00015FAC" w:rsidRDefault="00015FAC" w:rsidP="00015FAC">
      <w:pPr>
        <w:pStyle w:val="FootnoteText"/>
        <w:rPr>
          <w:lang w:eastAsia="en-AU"/>
        </w:rPr>
      </w:pPr>
      <w:r w:rsidRPr="00015FAC">
        <w:rPr>
          <w:vertAlign w:val="superscript"/>
          <w:lang w:eastAsia="en-AU"/>
        </w:rPr>
        <w:t>(e)</w:t>
      </w:r>
      <w:r>
        <w:rPr>
          <w:lang w:eastAsia="en-AU"/>
        </w:rPr>
        <w:tab/>
      </w:r>
      <w:r w:rsidRPr="00015FAC">
        <w:rPr>
          <w:i/>
          <w:lang w:eastAsia="en-AU"/>
        </w:rPr>
        <w:t>Appropriation Act (No. 2) 2022–23.</w:t>
      </w:r>
    </w:p>
    <w:p w:rsidR="00015FAC" w:rsidRPr="00015FAC" w:rsidRDefault="00015FAC" w:rsidP="00015FAC">
      <w:pPr>
        <w:pStyle w:val="FootnoteText"/>
        <w:rPr>
          <w:lang w:eastAsia="en-AU"/>
        </w:rPr>
      </w:pPr>
      <w:r w:rsidRPr="00015FAC">
        <w:rPr>
          <w:vertAlign w:val="superscript"/>
          <w:lang w:eastAsia="en-AU"/>
        </w:rPr>
        <w:t>(f)</w:t>
      </w:r>
      <w:r>
        <w:rPr>
          <w:lang w:eastAsia="en-AU"/>
        </w:rPr>
        <w:tab/>
      </w:r>
      <w:r w:rsidRPr="00015FAC">
        <w:rPr>
          <w:lang w:eastAsia="en-AU"/>
        </w:rPr>
        <w:t>$49.6 millio</w:t>
      </w:r>
      <w:r w:rsidR="00EF0171">
        <w:rPr>
          <w:lang w:eastAsia="en-AU"/>
        </w:rPr>
        <w:t>n will be received through 2021–</w:t>
      </w:r>
      <w:r w:rsidRPr="00015FAC">
        <w:rPr>
          <w:lang w:eastAsia="en-AU"/>
        </w:rPr>
        <w:t>22 Annual Appropriation Bill No. 4. The annual appropriations received from these bills be recognise</w:t>
      </w:r>
      <w:r w:rsidR="00B63A9E">
        <w:rPr>
          <w:lang w:eastAsia="en-AU"/>
        </w:rPr>
        <w:t>d in a future Portfolio Budget S</w:t>
      </w:r>
      <w:r w:rsidRPr="00015FAC">
        <w:rPr>
          <w:lang w:eastAsia="en-AU"/>
        </w:rPr>
        <w:t>tatement</w:t>
      </w:r>
      <w:r w:rsidR="00B63A9E">
        <w:rPr>
          <w:lang w:eastAsia="en-AU"/>
        </w:rPr>
        <w:t>s</w:t>
      </w:r>
      <w:r w:rsidRPr="00015FAC">
        <w:rPr>
          <w:lang w:eastAsia="en-AU"/>
        </w:rPr>
        <w:t xml:space="preserve"> but only after the Bill</w:t>
      </w:r>
      <w:r>
        <w:rPr>
          <w:lang w:eastAsia="en-AU"/>
        </w:rPr>
        <w:t>s have received Royal Assent.</w:t>
      </w:r>
    </w:p>
    <w:p w:rsidR="00015FAC" w:rsidRPr="00015FAC" w:rsidRDefault="00015FAC" w:rsidP="00015FAC">
      <w:pPr>
        <w:pStyle w:val="FootnoteText"/>
        <w:rPr>
          <w:lang w:eastAsia="en-AU"/>
        </w:rPr>
      </w:pPr>
      <w:r w:rsidRPr="00015FAC">
        <w:rPr>
          <w:vertAlign w:val="superscript"/>
          <w:lang w:eastAsia="en-AU"/>
        </w:rPr>
        <w:t>(g)</w:t>
      </w:r>
      <w:r>
        <w:rPr>
          <w:lang w:eastAsia="en-AU"/>
        </w:rPr>
        <w:tab/>
      </w:r>
      <w:r w:rsidRPr="00015FAC">
        <w:rPr>
          <w:lang w:eastAsia="en-AU"/>
        </w:rPr>
        <w:t xml:space="preserve">For further information on special appropriations and special accounts, please refer to </w:t>
      </w:r>
      <w:r w:rsidRPr="00015FAC">
        <w:rPr>
          <w:i/>
          <w:lang w:eastAsia="en-AU"/>
        </w:rPr>
        <w:t>Budget Paper No. 4 - Agency Resourcing</w:t>
      </w:r>
      <w:r w:rsidRPr="00015FAC">
        <w:rPr>
          <w:lang w:eastAsia="en-AU"/>
        </w:rPr>
        <w:t>. Please also see Table 2.1 for further information on outcome and program expenses broken down by various funding sources, e.g. annual appropriations, special appropriations and special accounts.</w:t>
      </w:r>
    </w:p>
    <w:p w:rsidR="00015FAC" w:rsidRPr="00015FAC" w:rsidRDefault="00015FAC" w:rsidP="00015FAC">
      <w:pPr>
        <w:pStyle w:val="FootnoteText"/>
        <w:rPr>
          <w:lang w:eastAsia="en-AU"/>
        </w:rPr>
      </w:pPr>
      <w:r w:rsidRPr="00015FAC">
        <w:rPr>
          <w:vertAlign w:val="superscript"/>
          <w:lang w:eastAsia="en-AU"/>
        </w:rPr>
        <w:t>(h)</w:t>
      </w:r>
      <w:r>
        <w:rPr>
          <w:lang w:eastAsia="en-AU"/>
        </w:rPr>
        <w:tab/>
      </w:r>
      <w:r w:rsidRPr="00015FAC">
        <w:rPr>
          <w:lang w:eastAsia="en-AU"/>
        </w:rPr>
        <w:t>Excludes Services for Other Entities and Trust Moneys Special Account as this account is not considered resourcing for the D</w:t>
      </w:r>
      <w:r>
        <w:rPr>
          <w:lang w:eastAsia="en-AU"/>
        </w:rPr>
        <w:t>epartment of Health (Health).</w:t>
      </w:r>
    </w:p>
    <w:p w:rsidR="00015FAC" w:rsidRPr="00015FAC" w:rsidRDefault="00015FAC" w:rsidP="00015FAC">
      <w:pPr>
        <w:pStyle w:val="FootnoteText"/>
        <w:rPr>
          <w:lang w:eastAsia="en-AU"/>
        </w:rPr>
      </w:pPr>
      <w:r w:rsidRPr="00015FAC">
        <w:rPr>
          <w:vertAlign w:val="superscript"/>
          <w:lang w:eastAsia="en-AU"/>
        </w:rPr>
        <w:t>(</w:t>
      </w:r>
      <w:proofErr w:type="spellStart"/>
      <w:r w:rsidRPr="00015FAC">
        <w:rPr>
          <w:vertAlign w:val="superscript"/>
          <w:lang w:eastAsia="en-AU"/>
        </w:rPr>
        <w:t>i</w:t>
      </w:r>
      <w:proofErr w:type="spellEnd"/>
      <w:r w:rsidRPr="00015FAC">
        <w:rPr>
          <w:vertAlign w:val="superscript"/>
          <w:lang w:eastAsia="en-AU"/>
        </w:rPr>
        <w:t>)</w:t>
      </w:r>
      <w:r>
        <w:rPr>
          <w:lang w:eastAsia="en-AU"/>
        </w:rPr>
        <w:tab/>
      </w:r>
      <w:r w:rsidRPr="00015FAC">
        <w:rPr>
          <w:lang w:eastAsia="en-AU"/>
        </w:rPr>
        <w:t>Amounts credited to the special account(s) from Health's annual and special appropriati</w:t>
      </w:r>
      <w:r>
        <w:rPr>
          <w:lang w:eastAsia="en-AU"/>
        </w:rPr>
        <w:t>ons.</w:t>
      </w:r>
    </w:p>
    <w:p w:rsidR="00015FAC" w:rsidRPr="00015FAC" w:rsidRDefault="00015FAC" w:rsidP="00015FAC">
      <w:pPr>
        <w:pStyle w:val="FootnoteText"/>
        <w:rPr>
          <w:lang w:eastAsia="en-AU"/>
        </w:rPr>
      </w:pPr>
      <w:r w:rsidRPr="00015FAC">
        <w:rPr>
          <w:vertAlign w:val="superscript"/>
          <w:lang w:eastAsia="en-AU"/>
        </w:rPr>
        <w:t>(j)</w:t>
      </w:r>
      <w:r>
        <w:rPr>
          <w:lang w:eastAsia="en-AU"/>
        </w:rPr>
        <w:tab/>
      </w:r>
      <w:r w:rsidRPr="00015FAC">
        <w:rPr>
          <w:lang w:eastAsia="en-AU"/>
        </w:rPr>
        <w:t>Appropriation receipts from Health annual and special a</w:t>
      </w:r>
      <w:r>
        <w:rPr>
          <w:lang w:eastAsia="en-AU"/>
        </w:rPr>
        <w:t>ppropriations included above.</w:t>
      </w:r>
    </w:p>
    <w:p w:rsidR="00015FAC" w:rsidRPr="00015FAC" w:rsidRDefault="00015FAC" w:rsidP="00015FAC">
      <w:pPr>
        <w:pStyle w:val="FootnoteText"/>
        <w:rPr>
          <w:lang w:eastAsia="en-AU"/>
        </w:rPr>
      </w:pPr>
      <w:r w:rsidRPr="00015FAC">
        <w:rPr>
          <w:vertAlign w:val="superscript"/>
          <w:lang w:eastAsia="en-AU"/>
        </w:rPr>
        <w:t>(k)</w:t>
      </w:r>
      <w:r>
        <w:rPr>
          <w:lang w:eastAsia="en-AU"/>
        </w:rPr>
        <w:tab/>
      </w:r>
      <w:r w:rsidRPr="00015FAC">
        <w:rPr>
          <w:lang w:eastAsia="en-AU"/>
        </w:rPr>
        <w:t>$2.765 billion wi</w:t>
      </w:r>
      <w:r w:rsidR="00EF0171">
        <w:rPr>
          <w:lang w:eastAsia="en-AU"/>
        </w:rPr>
        <w:t>ll be received through the 2021–</w:t>
      </w:r>
      <w:r w:rsidRPr="00015FAC">
        <w:rPr>
          <w:lang w:eastAsia="en-AU"/>
        </w:rPr>
        <w:t>22 Annual Appropriation Bill No. 3. The annual appropriations received from these bills be recognised in a future Portfoli</w:t>
      </w:r>
      <w:r w:rsidR="00EF0171">
        <w:rPr>
          <w:lang w:eastAsia="en-AU"/>
        </w:rPr>
        <w:t>o Budget S</w:t>
      </w:r>
      <w:r w:rsidRPr="00015FAC">
        <w:rPr>
          <w:lang w:eastAsia="en-AU"/>
        </w:rPr>
        <w:t>tatement</w:t>
      </w:r>
      <w:r w:rsidR="00EF0171">
        <w:rPr>
          <w:lang w:eastAsia="en-AU"/>
        </w:rPr>
        <w:t>s</w:t>
      </w:r>
      <w:r w:rsidRPr="00015FAC">
        <w:rPr>
          <w:lang w:eastAsia="en-AU"/>
        </w:rPr>
        <w:t xml:space="preserve"> but only after the Bill</w:t>
      </w:r>
      <w:r>
        <w:rPr>
          <w:lang w:eastAsia="en-AU"/>
        </w:rPr>
        <w:t>s have received Royal Assent.</w:t>
      </w:r>
    </w:p>
    <w:p w:rsidR="00015FAC" w:rsidRPr="00015FAC" w:rsidRDefault="00015FAC" w:rsidP="00015FAC">
      <w:pPr>
        <w:pStyle w:val="FootnoteText"/>
        <w:rPr>
          <w:lang w:eastAsia="en-AU"/>
        </w:rPr>
      </w:pPr>
      <w:r w:rsidRPr="00015FAC">
        <w:rPr>
          <w:vertAlign w:val="superscript"/>
          <w:lang w:eastAsia="en-AU"/>
        </w:rPr>
        <w:t>(l)</w:t>
      </w:r>
      <w:r>
        <w:rPr>
          <w:lang w:eastAsia="en-AU"/>
        </w:rPr>
        <w:tab/>
      </w:r>
      <w:r w:rsidRPr="00015FAC">
        <w:rPr>
          <w:lang w:eastAsia="en-AU"/>
        </w:rPr>
        <w:t>'Corporate entities' are corporate Commonwealth entities and Commonwealth companies a</w:t>
      </w:r>
      <w:r>
        <w:rPr>
          <w:lang w:eastAsia="en-AU"/>
        </w:rPr>
        <w:t>s defined under the PGPA Act.</w:t>
      </w:r>
    </w:p>
    <w:p w:rsidR="00015FAC" w:rsidRPr="00015FAC" w:rsidRDefault="00015FAC" w:rsidP="00015FAC">
      <w:pPr>
        <w:pStyle w:val="FootnoteText"/>
        <w:rPr>
          <w:lang w:eastAsia="en-AU"/>
        </w:rPr>
      </w:pPr>
      <w:r w:rsidRPr="00015FAC">
        <w:rPr>
          <w:vertAlign w:val="superscript"/>
          <w:lang w:eastAsia="en-AU"/>
        </w:rPr>
        <w:t>(m)</w:t>
      </w:r>
      <w:r>
        <w:rPr>
          <w:lang w:eastAsia="en-AU"/>
        </w:rPr>
        <w:tab/>
      </w:r>
      <w:r w:rsidRPr="00015FAC">
        <w:rPr>
          <w:i/>
          <w:lang w:eastAsia="en-AU"/>
        </w:rPr>
        <w:t>Appropriation (Coronavirus Response) Act (No. 1) 2021–22.</w:t>
      </w:r>
    </w:p>
    <w:p w:rsidR="00015FAC" w:rsidRPr="00015FAC" w:rsidRDefault="00015FAC" w:rsidP="00015FAC">
      <w:pPr>
        <w:pStyle w:val="FootnoteText"/>
        <w:rPr>
          <w:lang w:eastAsia="en-AU"/>
        </w:rPr>
      </w:pPr>
      <w:r w:rsidRPr="00015FAC">
        <w:rPr>
          <w:vertAlign w:val="superscript"/>
          <w:lang w:eastAsia="en-AU"/>
        </w:rPr>
        <w:t>(n)</w:t>
      </w:r>
      <w:r>
        <w:rPr>
          <w:lang w:eastAsia="en-AU"/>
        </w:rPr>
        <w:tab/>
      </w:r>
      <w:r w:rsidRPr="00015FAC">
        <w:rPr>
          <w:lang w:eastAsia="en-AU"/>
        </w:rPr>
        <w:t>$2.444 billio</w:t>
      </w:r>
      <w:r w:rsidR="00803083">
        <w:rPr>
          <w:lang w:eastAsia="en-AU"/>
        </w:rPr>
        <w:t>n will be received through 2021–</w:t>
      </w:r>
      <w:r w:rsidRPr="00015FAC">
        <w:rPr>
          <w:lang w:eastAsia="en-AU"/>
        </w:rPr>
        <w:t>22 Annual Appropriation Bill No. 4. The annual appropriations received from these bills be recognise</w:t>
      </w:r>
      <w:r w:rsidR="00803083">
        <w:rPr>
          <w:lang w:eastAsia="en-AU"/>
        </w:rPr>
        <w:t>d in a future Portfolio Budget S</w:t>
      </w:r>
      <w:r w:rsidRPr="00015FAC">
        <w:rPr>
          <w:lang w:eastAsia="en-AU"/>
        </w:rPr>
        <w:t>tatement</w:t>
      </w:r>
      <w:r w:rsidR="00803083">
        <w:rPr>
          <w:lang w:eastAsia="en-AU"/>
        </w:rPr>
        <w:t>s</w:t>
      </w:r>
      <w:r w:rsidRPr="00015FAC">
        <w:rPr>
          <w:lang w:eastAsia="en-AU"/>
        </w:rPr>
        <w:t xml:space="preserve"> but only after the Bills have received Ro</w:t>
      </w:r>
      <w:r>
        <w:rPr>
          <w:lang w:eastAsia="en-AU"/>
        </w:rPr>
        <w:t>yal Assent.</w:t>
      </w:r>
    </w:p>
    <w:p w:rsidR="00A14EB6" w:rsidRDefault="00015FAC" w:rsidP="00015FAC">
      <w:pPr>
        <w:pStyle w:val="FootnoteText"/>
        <w:rPr>
          <w:lang w:eastAsia="en-AU"/>
        </w:rPr>
      </w:pPr>
      <w:r w:rsidRPr="00015FAC">
        <w:rPr>
          <w:vertAlign w:val="superscript"/>
          <w:lang w:eastAsia="en-AU"/>
        </w:rPr>
        <w:t>(o)</w:t>
      </w:r>
      <w:r w:rsidRPr="00015FAC">
        <w:rPr>
          <w:vertAlign w:val="superscript"/>
          <w:lang w:eastAsia="en-AU"/>
        </w:rPr>
        <w:tab/>
      </w:r>
      <w:r w:rsidRPr="00015FAC">
        <w:rPr>
          <w:i/>
          <w:lang w:eastAsia="en-AU"/>
        </w:rPr>
        <w:t>Appropriation (Coronavirus Response) Act (No. 2) 2021–22</w:t>
      </w:r>
      <w:r>
        <w:rPr>
          <w:lang w:eastAsia="en-AU"/>
        </w:rPr>
        <w:t>.</w:t>
      </w:r>
      <w:r w:rsidR="00A14EB6">
        <w:rPr>
          <w:lang w:eastAsia="en-AU"/>
        </w:rPr>
        <w:br w:type="page"/>
      </w:r>
    </w:p>
    <w:p w:rsidR="00232F9B" w:rsidRPr="00232F9B" w:rsidRDefault="00232F9B" w:rsidP="00232F9B">
      <w:pPr>
        <w:keepNext/>
        <w:tabs>
          <w:tab w:val="left" w:pos="709"/>
        </w:tabs>
        <w:spacing w:after="240"/>
        <w:outlineLvl w:val="2"/>
        <w:rPr>
          <w:rFonts w:ascii="Arial" w:eastAsia="Times New Roman" w:hAnsi="Arial"/>
          <w:b/>
          <w:smallCaps/>
          <w:color w:val="000000"/>
          <w:sz w:val="26"/>
          <w:szCs w:val="26"/>
          <w:lang w:eastAsia="en-AU"/>
        </w:rPr>
      </w:pPr>
      <w:r w:rsidRPr="00232F9B">
        <w:rPr>
          <w:rFonts w:ascii="Arial" w:eastAsia="Times New Roman" w:hAnsi="Arial"/>
          <w:b/>
          <w:smallCaps/>
          <w:color w:val="000000"/>
          <w:sz w:val="26"/>
          <w:szCs w:val="26"/>
          <w:lang w:eastAsia="en-AU"/>
        </w:rPr>
        <w:lastRenderedPageBreak/>
        <w:t>1.3</w:t>
      </w:r>
      <w:r w:rsidRPr="00232F9B">
        <w:rPr>
          <w:rFonts w:ascii="Arial" w:eastAsia="Times New Roman" w:hAnsi="Arial"/>
          <w:b/>
          <w:smallCaps/>
          <w:color w:val="000000"/>
          <w:sz w:val="26"/>
          <w:szCs w:val="26"/>
          <w:lang w:eastAsia="en-AU"/>
        </w:rPr>
        <w:tab/>
        <w:t>Budget Measures</w:t>
      </w:r>
      <w:bookmarkEnd w:id="4"/>
      <w:bookmarkEnd w:id="5"/>
    </w:p>
    <w:p w:rsidR="00232F9B" w:rsidRPr="00232F9B" w:rsidRDefault="00232F9B" w:rsidP="00232F9B">
      <w:pPr>
        <w:spacing w:after="80"/>
        <w:rPr>
          <w:rFonts w:ascii="Book Antiqua" w:eastAsia="Times New Roman" w:hAnsi="Book Antiqua"/>
          <w:color w:val="000000"/>
          <w:lang w:eastAsia="en-AU"/>
        </w:rPr>
      </w:pPr>
      <w:r w:rsidRPr="00232F9B">
        <w:rPr>
          <w:rFonts w:ascii="Book Antiqua" w:eastAsia="Times New Roman" w:hAnsi="Book Antiqua"/>
          <w:color w:val="000000"/>
          <w:lang w:eastAsia="en-AU"/>
        </w:rPr>
        <w:t xml:space="preserve">Budget measures in Part 1 relating to the Department of Health are detailed in </w:t>
      </w:r>
      <w:r w:rsidRPr="00A21E8B">
        <w:rPr>
          <w:rFonts w:ascii="Book Antiqua" w:eastAsia="Times New Roman" w:hAnsi="Book Antiqua"/>
          <w:i/>
          <w:color w:val="000000"/>
          <w:lang w:eastAsia="en-AU"/>
        </w:rPr>
        <w:t>Budget Paper No. 2</w:t>
      </w:r>
      <w:r w:rsidRPr="00232F9B">
        <w:rPr>
          <w:rFonts w:ascii="Book Antiqua" w:eastAsia="Times New Roman" w:hAnsi="Book Antiqua"/>
          <w:color w:val="000000"/>
          <w:lang w:eastAsia="en-AU"/>
        </w:rPr>
        <w:t xml:space="preserve"> and are summarised below.</w:t>
      </w:r>
    </w:p>
    <w:p w:rsidR="00232F9B" w:rsidRDefault="00232F9B" w:rsidP="00232F9B">
      <w:pPr>
        <w:pStyle w:val="Tablenumberandreference"/>
        <w:spacing w:after="120"/>
        <w:rPr>
          <w:color w:val="000000"/>
        </w:rPr>
      </w:pPr>
      <w:r w:rsidRPr="00232F9B">
        <w:rPr>
          <w:color w:val="000000"/>
        </w:rPr>
        <w:t>Table 1.2: Department of Health 202</w:t>
      </w:r>
      <w:r w:rsidR="00EF5C5E">
        <w:rPr>
          <w:color w:val="000000"/>
        </w:rPr>
        <w:t>2–</w:t>
      </w:r>
      <w:r w:rsidRPr="00232F9B">
        <w:rPr>
          <w:color w:val="000000"/>
        </w:rPr>
        <w:t>2</w:t>
      </w:r>
      <w:r w:rsidR="00EF5C5E">
        <w:rPr>
          <w:color w:val="000000"/>
        </w:rPr>
        <w:t>3</w:t>
      </w:r>
      <w:r w:rsidR="001B2EF1">
        <w:rPr>
          <w:color w:val="000000"/>
        </w:rPr>
        <w:t xml:space="preserve"> Budget Measures</w:t>
      </w:r>
    </w:p>
    <w:tbl>
      <w:tblPr>
        <w:tblW w:w="7380" w:type="dxa"/>
        <w:jc w:val="center"/>
        <w:tblLayout w:type="fixed"/>
        <w:tblLook w:val="04A0" w:firstRow="1" w:lastRow="0" w:firstColumn="1" w:lastColumn="0" w:noHBand="0" w:noVBand="1"/>
        <w:tblCaption w:val="Table 1.2: Department of Health 2022-23 Budget Measures (continued)"/>
        <w:tblDescription w:val="A table outlining the Department of Health's 2022-23 Budget Measures since the 2021-22 MYEFO update"/>
      </w:tblPr>
      <w:tblGrid>
        <w:gridCol w:w="2320"/>
        <w:gridCol w:w="460"/>
        <w:gridCol w:w="920"/>
        <w:gridCol w:w="920"/>
        <w:gridCol w:w="920"/>
        <w:gridCol w:w="920"/>
        <w:gridCol w:w="920"/>
      </w:tblGrid>
      <w:tr w:rsidR="0060513A" w:rsidRPr="0060513A" w:rsidTr="0060513A">
        <w:trPr>
          <w:trHeight w:val="340"/>
          <w:jc w:val="center"/>
        </w:trPr>
        <w:tc>
          <w:tcPr>
            <w:tcW w:w="2780" w:type="dxa"/>
            <w:gridSpan w:val="2"/>
            <w:tcBorders>
              <w:top w:val="single" w:sz="4" w:space="0" w:color="000000"/>
              <w:left w:val="nil"/>
              <w:bottom w:val="nil"/>
              <w:right w:val="nil"/>
            </w:tcBorders>
            <w:shd w:val="clear" w:color="auto" w:fill="auto"/>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Outcome/ </w:t>
            </w:r>
            <w:r w:rsidRPr="0060513A">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2021–22</w:t>
            </w:r>
            <w:r w:rsidRPr="0060513A">
              <w:rPr>
                <w:rFonts w:ascii="Arial" w:eastAsia="Times New Roman" w:hAnsi="Arial" w:cs="Arial"/>
                <w:b/>
                <w:bCs/>
                <w:sz w:val="16"/>
                <w:szCs w:val="16"/>
                <w:lang w:eastAsia="en-AU"/>
              </w:rPr>
              <w:br/>
            </w:r>
            <w:r w:rsidRPr="0060513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2022–23</w:t>
            </w:r>
            <w:r w:rsidRPr="0060513A">
              <w:rPr>
                <w:rFonts w:ascii="Arial" w:eastAsia="Times New Roman" w:hAnsi="Arial" w:cs="Arial"/>
                <w:b/>
                <w:bCs/>
                <w:sz w:val="16"/>
                <w:szCs w:val="16"/>
                <w:lang w:eastAsia="en-AU"/>
              </w:rPr>
              <w:br/>
            </w:r>
            <w:r w:rsidRPr="0060513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2023–24</w:t>
            </w:r>
            <w:r w:rsidRPr="0060513A">
              <w:rPr>
                <w:rFonts w:ascii="Arial" w:eastAsia="Times New Roman" w:hAnsi="Arial" w:cs="Arial"/>
                <w:b/>
                <w:bCs/>
                <w:sz w:val="16"/>
                <w:szCs w:val="16"/>
                <w:lang w:eastAsia="en-AU"/>
              </w:rPr>
              <w:br/>
            </w:r>
            <w:r w:rsidRPr="0060513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2024–25</w:t>
            </w:r>
            <w:r w:rsidRPr="0060513A">
              <w:rPr>
                <w:rFonts w:ascii="Arial" w:eastAsia="Times New Roman" w:hAnsi="Arial" w:cs="Arial"/>
                <w:b/>
                <w:bCs/>
                <w:sz w:val="16"/>
                <w:szCs w:val="16"/>
                <w:lang w:eastAsia="en-AU"/>
              </w:rPr>
              <w:br/>
            </w:r>
            <w:r w:rsidRPr="0060513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60513A" w:rsidRPr="0060513A" w:rsidRDefault="0060513A" w:rsidP="0060513A">
            <w:pPr>
              <w:spacing w:before="40"/>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2025–26</w:t>
            </w:r>
            <w:r w:rsidRPr="0060513A">
              <w:rPr>
                <w:rFonts w:ascii="Arial" w:eastAsia="Times New Roman" w:hAnsi="Arial" w:cs="Arial"/>
                <w:b/>
                <w:bCs/>
                <w:sz w:val="16"/>
                <w:szCs w:val="16"/>
                <w:lang w:eastAsia="en-AU"/>
              </w:rPr>
              <w:br/>
            </w:r>
            <w:r w:rsidRPr="0060513A">
              <w:rPr>
                <w:rFonts w:ascii="Arial" w:eastAsia="Times New Roman" w:hAnsi="Arial" w:cs="Arial"/>
                <w:sz w:val="16"/>
                <w:szCs w:val="16"/>
                <w:lang w:eastAsia="en-AU"/>
              </w:rPr>
              <w:t>$'000</w:t>
            </w:r>
          </w:p>
        </w:tc>
      </w:tr>
      <w:tr w:rsidR="0060513A" w:rsidRPr="0060513A" w:rsidTr="0060513A">
        <w:trPr>
          <w:trHeight w:val="135"/>
          <w:jc w:val="center"/>
        </w:trPr>
        <w:tc>
          <w:tcPr>
            <w:tcW w:w="2320" w:type="dxa"/>
            <w:tcBorders>
              <w:top w:val="nil"/>
              <w:left w:val="nil"/>
              <w:bottom w:val="nil"/>
              <w:right w:val="nil"/>
            </w:tcBorders>
            <w:shd w:val="clear" w:color="auto" w:fill="auto"/>
            <w:hideMark/>
          </w:tcPr>
          <w:p w:rsidR="0060513A" w:rsidRPr="0060513A" w:rsidRDefault="0060513A" w:rsidP="0060513A">
            <w:pPr>
              <w:jc w:val="right"/>
              <w:rPr>
                <w:rFonts w:ascii="Arial" w:eastAsia="Times New Roman" w:hAnsi="Arial" w:cs="Arial"/>
                <w:b/>
                <w:bCs/>
                <w:sz w:val="16"/>
                <w:szCs w:val="16"/>
                <w:lang w:eastAsia="en-AU"/>
              </w:rPr>
            </w:pPr>
          </w:p>
        </w:tc>
        <w:tc>
          <w:tcPr>
            <w:tcW w:w="460" w:type="dxa"/>
            <w:tcBorders>
              <w:top w:val="nil"/>
              <w:left w:val="nil"/>
              <w:bottom w:val="nil"/>
              <w:right w:val="nil"/>
            </w:tcBorders>
            <w:shd w:val="clear" w:color="auto" w:fill="auto"/>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vAlign w:val="bottom"/>
            <w:hideMark/>
          </w:tcPr>
          <w:p w:rsidR="0060513A" w:rsidRPr="0060513A" w:rsidRDefault="0060513A" w:rsidP="0060513A">
            <w:pPr>
              <w:jc w:val="right"/>
              <w:rPr>
                <w:rFonts w:eastAsia="Times New Roman"/>
                <w:lang w:eastAsia="en-AU"/>
              </w:rPr>
            </w:pPr>
          </w:p>
        </w:tc>
      </w:tr>
      <w:tr w:rsidR="0060513A" w:rsidRPr="0060513A" w:rsidTr="0060513A">
        <w:trPr>
          <w:trHeight w:val="340"/>
          <w:jc w:val="center"/>
        </w:trPr>
        <w:tc>
          <w:tcPr>
            <w:tcW w:w="4620" w:type="dxa"/>
            <w:gridSpan w:val="4"/>
            <w:tcBorders>
              <w:top w:val="nil"/>
              <w:left w:val="nil"/>
              <w:bottom w:val="nil"/>
              <w:right w:val="nil"/>
            </w:tcBorders>
            <w:shd w:val="clear" w:color="000000" w:fill="D9D9D9"/>
            <w:noWrap/>
            <w:vAlign w:val="bottom"/>
            <w:hideMark/>
          </w:tcPr>
          <w:p w:rsidR="0060513A" w:rsidRPr="0060513A" w:rsidRDefault="0060513A" w:rsidP="0060513A">
            <w:pPr>
              <w:rPr>
                <w:rFonts w:ascii="Arial" w:eastAsia="Times New Roman" w:hAnsi="Arial" w:cs="Arial"/>
                <w:b/>
                <w:bCs/>
                <w:lang w:eastAsia="en-AU"/>
              </w:rPr>
            </w:pPr>
            <w:r w:rsidRPr="0060513A">
              <w:rPr>
                <w:rFonts w:ascii="Arial" w:eastAsia="Times New Roman" w:hAnsi="Arial" w:cs="Arial"/>
                <w:b/>
                <w:bCs/>
                <w:lang w:eastAsia="en-AU"/>
              </w:rPr>
              <w:t>Measures since the 2021–22 MYEFO update</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r>
      <w:tr w:rsidR="0060513A" w:rsidRPr="0060513A" w:rsidTr="0060513A">
        <w:trPr>
          <w:trHeight w:val="283"/>
          <w:jc w:val="center"/>
        </w:trPr>
        <w:tc>
          <w:tcPr>
            <w:tcW w:w="7380" w:type="dxa"/>
            <w:gridSpan w:val="7"/>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Ageing and Aged Care</w:t>
            </w:r>
            <w:r w:rsidRPr="0060513A">
              <w:rPr>
                <w:rFonts w:ascii="Arial" w:eastAsia="Times New Roman" w:hAnsi="Arial" w:cs="Arial"/>
                <w:b/>
                <w:bCs/>
                <w:sz w:val="16"/>
                <w:szCs w:val="16"/>
                <w:vertAlign w:val="superscript"/>
                <w:lang w:eastAsia="en-AU"/>
              </w:rPr>
              <w:t xml:space="preserve"> (a)</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200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200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200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1.4</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2,450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5,430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2,970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3,454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3.1</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7,540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10,054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2,514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3.3</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16,822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9,790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2,250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258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390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262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9,637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397"/>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Aged Care Quality and Safety Commission</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(3,300)</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25,417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83"/>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10,301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10,301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4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Department of Veterans' Affairs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851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1E1E28">
        <w:trPr>
          <w:trHeight w:val="4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Department of Social Services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1,650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1,671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813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112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454"/>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NDIS Quality and Safeguards Commission</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352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A77688">
        <w:trPr>
          <w:trHeight w:val="283"/>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(3,300)</w:t>
            </w:r>
          </w:p>
        </w:tc>
        <w:tc>
          <w:tcPr>
            <w:tcW w:w="920" w:type="dxa"/>
            <w:tcBorders>
              <w:top w:val="single" w:sz="4" w:space="0" w:color="000000"/>
              <w:left w:val="nil"/>
              <w:bottom w:val="single" w:sz="4" w:space="0" w:color="000000"/>
              <w:right w:val="nil"/>
            </w:tcBorders>
            <w:shd w:val="clear" w:color="000000" w:fill="D9D9D9"/>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76,291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37,948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8,196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3,454 </w:t>
            </w:r>
          </w:p>
        </w:tc>
      </w:tr>
      <w:tr w:rsidR="0060513A" w:rsidRPr="0060513A" w:rsidTr="0060513A">
        <w:trPr>
          <w:trHeight w:val="283"/>
          <w:jc w:val="center"/>
        </w:trPr>
        <w:tc>
          <w:tcPr>
            <w:tcW w:w="7380" w:type="dxa"/>
            <w:gridSpan w:val="7"/>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COVID-19 Response Package — Ageing and Aged Care</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7,838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21,590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3.2</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210,316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2,000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3.3</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190,967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12,266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2,995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3,040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88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4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3</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6,416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47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47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47 </w:t>
            </w:r>
          </w:p>
        </w:tc>
      </w:tr>
      <w:tr w:rsidR="0060513A" w:rsidRPr="0060513A" w:rsidTr="00A77688">
        <w:trPr>
          <w:trHeight w:val="227"/>
          <w:jc w:val="center"/>
        </w:trPr>
        <w:tc>
          <w:tcPr>
            <w:tcW w:w="2780" w:type="dxa"/>
            <w:gridSpan w:val="2"/>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Department of Veterans' Affairs</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367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60513A">
        <w:trPr>
          <w:trHeight w:val="300"/>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rPr>
                <w:rFonts w:ascii="Arial" w:eastAsia="Times New Roman" w:hAnsi="Arial" w:cs="Arial"/>
                <w:sz w:val="16"/>
                <w:szCs w:val="16"/>
                <w:lang w:eastAsia="en-AU"/>
              </w:rPr>
            </w:pPr>
            <w:r w:rsidRPr="0060513A">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eastAsia="Times New Roman"/>
                <w:lang w:eastAsia="en-AU"/>
              </w:rPr>
            </w:pP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sz w:val="16"/>
                <w:szCs w:val="16"/>
                <w:lang w:eastAsia="en-AU"/>
              </w:rPr>
            </w:pPr>
            <w:r w:rsidRPr="0060513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122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sz w:val="16"/>
                <w:szCs w:val="16"/>
                <w:lang w:eastAsia="en-AU"/>
              </w:rPr>
            </w:pPr>
            <w:r w:rsidRPr="0060513A">
              <w:rPr>
                <w:rFonts w:ascii="Arial" w:eastAsia="Times New Roman" w:hAnsi="Arial" w:cs="Arial"/>
                <w:sz w:val="16"/>
                <w:szCs w:val="16"/>
                <w:lang w:eastAsia="en-AU"/>
              </w:rPr>
              <w:t xml:space="preserve">- </w:t>
            </w:r>
          </w:p>
        </w:tc>
      </w:tr>
      <w:tr w:rsidR="0060513A" w:rsidRPr="0060513A" w:rsidTr="00A77688">
        <w:trPr>
          <w:trHeight w:val="283"/>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210,320 </w:t>
            </w:r>
          </w:p>
        </w:tc>
        <w:tc>
          <w:tcPr>
            <w:tcW w:w="920" w:type="dxa"/>
            <w:tcBorders>
              <w:top w:val="single" w:sz="4" w:space="0" w:color="000000"/>
              <w:left w:val="nil"/>
              <w:bottom w:val="single" w:sz="4" w:space="0" w:color="000000"/>
              <w:right w:val="nil"/>
            </w:tcBorders>
            <w:shd w:val="clear" w:color="000000" w:fill="D9D9D9"/>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229,388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12,313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3,042 </w:t>
            </w:r>
          </w:p>
        </w:tc>
        <w:tc>
          <w:tcPr>
            <w:tcW w:w="920" w:type="dxa"/>
            <w:tcBorders>
              <w:top w:val="single" w:sz="4" w:space="0" w:color="000000"/>
              <w:left w:val="nil"/>
              <w:bottom w:val="single" w:sz="4" w:space="0" w:color="000000"/>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xml:space="preserve">3,087 </w:t>
            </w:r>
          </w:p>
        </w:tc>
      </w:tr>
      <w:tr w:rsidR="0060513A" w:rsidRPr="0060513A" w:rsidTr="0060513A">
        <w:trPr>
          <w:trHeight w:val="225"/>
          <w:jc w:val="center"/>
        </w:trPr>
        <w:tc>
          <w:tcPr>
            <w:tcW w:w="2320" w:type="dxa"/>
            <w:tcBorders>
              <w:top w:val="nil"/>
              <w:left w:val="nil"/>
              <w:bottom w:val="nil"/>
              <w:right w:val="nil"/>
            </w:tcBorders>
            <w:shd w:val="clear" w:color="auto" w:fill="auto"/>
            <w:vAlign w:val="bottom"/>
            <w:hideMark/>
          </w:tcPr>
          <w:p w:rsidR="0060513A" w:rsidRPr="0060513A" w:rsidRDefault="0060513A" w:rsidP="0060513A">
            <w:pPr>
              <w:ind w:firstLineChars="100" w:firstLine="160"/>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Related receipts</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w:t>
            </w:r>
          </w:p>
        </w:tc>
        <w:tc>
          <w:tcPr>
            <w:tcW w:w="920" w:type="dxa"/>
            <w:tcBorders>
              <w:top w:val="nil"/>
              <w:left w:val="nil"/>
              <w:bottom w:val="nil"/>
              <w:right w:val="nil"/>
            </w:tcBorders>
            <w:shd w:val="clear" w:color="000000" w:fill="D9D9D9"/>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60513A" w:rsidRPr="0060513A" w:rsidRDefault="0060513A" w:rsidP="0060513A">
            <w:pPr>
              <w:jc w:val="right"/>
              <w:rPr>
                <w:rFonts w:ascii="Arial" w:eastAsia="Times New Roman" w:hAnsi="Arial" w:cs="Arial"/>
                <w:b/>
                <w:bCs/>
                <w:sz w:val="16"/>
                <w:szCs w:val="16"/>
                <w:lang w:eastAsia="en-AU"/>
              </w:rPr>
            </w:pPr>
            <w:r w:rsidRPr="0060513A">
              <w:rPr>
                <w:rFonts w:ascii="Arial" w:eastAsia="Times New Roman" w:hAnsi="Arial" w:cs="Arial"/>
                <w:b/>
                <w:bCs/>
                <w:sz w:val="16"/>
                <w:szCs w:val="16"/>
                <w:lang w:eastAsia="en-AU"/>
              </w:rPr>
              <w:t> </w:t>
            </w:r>
          </w:p>
        </w:tc>
      </w:tr>
      <w:tr w:rsidR="0060513A" w:rsidRPr="0060513A" w:rsidTr="0060513A">
        <w:trPr>
          <w:trHeight w:val="225"/>
          <w:jc w:val="center"/>
        </w:trPr>
        <w:tc>
          <w:tcPr>
            <w:tcW w:w="232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Australian Taxation Office</w:t>
            </w:r>
          </w:p>
        </w:tc>
        <w:tc>
          <w:tcPr>
            <w:tcW w:w="460" w:type="dxa"/>
            <w:tcBorders>
              <w:top w:val="nil"/>
              <w:left w:val="nil"/>
              <w:bottom w:val="nil"/>
              <w:right w:val="nil"/>
            </w:tcBorders>
            <w:shd w:val="clear" w:color="auto" w:fill="auto"/>
            <w:noWrap/>
            <w:vAlign w:val="bottom"/>
            <w:hideMark/>
          </w:tcPr>
          <w:p w:rsidR="0060513A" w:rsidRPr="0060513A" w:rsidRDefault="0060513A" w:rsidP="0060513A">
            <w:pPr>
              <w:ind w:firstLineChars="100" w:firstLine="160"/>
              <w:rPr>
                <w:rFonts w:ascii="Arial" w:eastAsia="Times New Roman" w:hAnsi="Arial" w:cs="Arial"/>
                <w:i/>
                <w:iCs/>
                <w:sz w:val="16"/>
                <w:szCs w:val="16"/>
                <w:lang w:eastAsia="en-AU"/>
              </w:rPr>
            </w:pPr>
          </w:p>
        </w:tc>
        <w:tc>
          <w:tcPr>
            <w:tcW w:w="920" w:type="dxa"/>
            <w:tcBorders>
              <w:top w:val="nil"/>
              <w:left w:val="nil"/>
              <w:bottom w:val="single" w:sz="4" w:space="0" w:color="auto"/>
              <w:right w:val="nil"/>
            </w:tcBorders>
            <w:shd w:val="clear" w:color="auto" w:fill="auto"/>
            <w:noWrap/>
            <w:vAlign w:val="bottom"/>
            <w:hideMark/>
          </w:tcPr>
          <w:p w:rsidR="0060513A" w:rsidRPr="0060513A" w:rsidRDefault="0060513A" w:rsidP="0060513A">
            <w:pPr>
              <w:jc w:val="right"/>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 xml:space="preserve">45,900 </w:t>
            </w:r>
          </w:p>
        </w:tc>
        <w:tc>
          <w:tcPr>
            <w:tcW w:w="920" w:type="dxa"/>
            <w:tcBorders>
              <w:top w:val="nil"/>
              <w:left w:val="nil"/>
              <w:bottom w:val="single" w:sz="4" w:space="0" w:color="auto"/>
              <w:right w:val="nil"/>
            </w:tcBorders>
            <w:shd w:val="clear" w:color="000000" w:fill="D9D9D9"/>
            <w:noWrap/>
            <w:vAlign w:val="bottom"/>
            <w:hideMark/>
          </w:tcPr>
          <w:p w:rsidR="0060513A" w:rsidRPr="0060513A" w:rsidRDefault="0060513A" w:rsidP="0060513A">
            <w:pPr>
              <w:jc w:val="right"/>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 xml:space="preserve">4,000 </w:t>
            </w:r>
          </w:p>
        </w:tc>
        <w:tc>
          <w:tcPr>
            <w:tcW w:w="920" w:type="dxa"/>
            <w:tcBorders>
              <w:top w:val="nil"/>
              <w:left w:val="nil"/>
              <w:bottom w:val="single" w:sz="4" w:space="0" w:color="auto"/>
              <w:right w:val="nil"/>
            </w:tcBorders>
            <w:shd w:val="clear" w:color="auto" w:fill="auto"/>
            <w:noWrap/>
            <w:vAlign w:val="bottom"/>
            <w:hideMark/>
          </w:tcPr>
          <w:p w:rsidR="0060513A" w:rsidRPr="0060513A" w:rsidRDefault="0060513A" w:rsidP="0060513A">
            <w:pPr>
              <w:jc w:val="right"/>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 xml:space="preserve">500 </w:t>
            </w:r>
          </w:p>
        </w:tc>
        <w:tc>
          <w:tcPr>
            <w:tcW w:w="920" w:type="dxa"/>
            <w:tcBorders>
              <w:top w:val="nil"/>
              <w:left w:val="nil"/>
              <w:bottom w:val="single" w:sz="4" w:space="0" w:color="auto"/>
              <w:right w:val="nil"/>
            </w:tcBorders>
            <w:shd w:val="clear" w:color="auto" w:fill="auto"/>
            <w:noWrap/>
            <w:vAlign w:val="bottom"/>
            <w:hideMark/>
          </w:tcPr>
          <w:p w:rsidR="0060513A" w:rsidRPr="0060513A" w:rsidRDefault="0060513A" w:rsidP="0060513A">
            <w:pPr>
              <w:jc w:val="right"/>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 xml:space="preserve">- </w:t>
            </w:r>
          </w:p>
        </w:tc>
        <w:tc>
          <w:tcPr>
            <w:tcW w:w="920" w:type="dxa"/>
            <w:tcBorders>
              <w:top w:val="nil"/>
              <w:left w:val="nil"/>
              <w:bottom w:val="single" w:sz="4" w:space="0" w:color="auto"/>
              <w:right w:val="nil"/>
            </w:tcBorders>
            <w:shd w:val="clear" w:color="auto" w:fill="auto"/>
            <w:noWrap/>
            <w:vAlign w:val="bottom"/>
            <w:hideMark/>
          </w:tcPr>
          <w:p w:rsidR="0060513A" w:rsidRPr="0060513A" w:rsidRDefault="0060513A" w:rsidP="0060513A">
            <w:pPr>
              <w:jc w:val="right"/>
              <w:rPr>
                <w:rFonts w:ascii="Arial" w:eastAsia="Times New Roman" w:hAnsi="Arial" w:cs="Arial"/>
                <w:i/>
                <w:iCs/>
                <w:sz w:val="16"/>
                <w:szCs w:val="16"/>
                <w:lang w:eastAsia="en-AU"/>
              </w:rPr>
            </w:pPr>
            <w:r w:rsidRPr="0060513A">
              <w:rPr>
                <w:rFonts w:ascii="Arial" w:eastAsia="Times New Roman" w:hAnsi="Arial" w:cs="Arial"/>
                <w:i/>
                <w:iCs/>
                <w:sz w:val="16"/>
                <w:szCs w:val="16"/>
                <w:lang w:eastAsia="en-AU"/>
              </w:rPr>
              <w:t xml:space="preserve">- </w:t>
            </w:r>
          </w:p>
        </w:tc>
      </w:tr>
    </w:tbl>
    <w:p w:rsidR="00C069E9" w:rsidRDefault="00C069E9">
      <w:pPr>
        <w:rPr>
          <w:rFonts w:ascii="Arial" w:eastAsia="Times New Roman" w:hAnsi="Arial" w:cs="Arial"/>
          <w:b/>
          <w:color w:val="000000"/>
          <w:szCs w:val="18"/>
        </w:rPr>
      </w:pPr>
      <w:r>
        <w:rPr>
          <w:color w:val="000000"/>
        </w:rPr>
        <w:br w:type="page"/>
      </w:r>
    </w:p>
    <w:p w:rsidR="00232F9B" w:rsidRDefault="00232F9B" w:rsidP="00232F9B">
      <w:pPr>
        <w:pStyle w:val="Tablenumberandreference"/>
        <w:spacing w:after="120"/>
        <w:rPr>
          <w:color w:val="000000"/>
        </w:rPr>
      </w:pPr>
      <w:r w:rsidRPr="00232F9B">
        <w:rPr>
          <w:color w:val="000000"/>
        </w:rPr>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490"/>
        <w:gridCol w:w="438"/>
        <w:gridCol w:w="900"/>
        <w:gridCol w:w="900"/>
        <w:gridCol w:w="884"/>
        <w:gridCol w:w="884"/>
        <w:gridCol w:w="884"/>
      </w:tblGrid>
      <w:tr w:rsidR="00A77688" w:rsidRPr="00A77688" w:rsidTr="00A77688">
        <w:trPr>
          <w:trHeight w:val="340"/>
          <w:jc w:val="center"/>
        </w:trPr>
        <w:tc>
          <w:tcPr>
            <w:tcW w:w="2928" w:type="dxa"/>
            <w:gridSpan w:val="2"/>
            <w:tcBorders>
              <w:top w:val="single" w:sz="4" w:space="0" w:color="000000"/>
              <w:left w:val="nil"/>
              <w:bottom w:val="nil"/>
              <w:right w:val="nil"/>
            </w:tcBorders>
            <w:shd w:val="clear" w:color="auto" w:fill="auto"/>
            <w:hideMark/>
          </w:tcPr>
          <w:p w:rsidR="00A77688" w:rsidRPr="00A77688" w:rsidRDefault="00A77688" w:rsidP="00A77688">
            <w:pPr>
              <w:spacing w:before="40"/>
              <w:jc w:val="right"/>
              <w:rPr>
                <w:rFonts w:ascii="Arial" w:eastAsia="Times New Roman" w:hAnsi="Arial" w:cs="Arial"/>
                <w:b/>
                <w:bCs/>
                <w:sz w:val="16"/>
                <w:szCs w:val="16"/>
                <w:lang w:eastAsia="en-AU"/>
              </w:rPr>
            </w:pPr>
            <w:bookmarkStart w:id="6" w:name="_Toc479762909"/>
            <w:bookmarkStart w:id="7" w:name="_Toc481865385"/>
            <w:r>
              <w:rPr>
                <w:rFonts w:ascii="Arial" w:eastAsia="Times New Roman" w:hAnsi="Arial" w:cs="Arial"/>
                <w:b/>
                <w:bCs/>
                <w:sz w:val="16"/>
                <w:szCs w:val="16"/>
                <w:lang w:eastAsia="en-AU"/>
              </w:rPr>
              <w:t xml:space="preserve">Outcome/ </w:t>
            </w:r>
            <w:r>
              <w:rPr>
                <w:rFonts w:ascii="Arial" w:eastAsia="Times New Roman" w:hAnsi="Arial" w:cs="Arial"/>
                <w:b/>
                <w:bCs/>
                <w:sz w:val="16"/>
                <w:szCs w:val="16"/>
                <w:lang w:eastAsia="en-AU"/>
              </w:rPr>
              <w:br/>
            </w:r>
            <w:r w:rsidRPr="00A77688">
              <w:rPr>
                <w:rFonts w:ascii="Arial" w:eastAsia="Times New Roman" w:hAnsi="Arial" w:cs="Arial"/>
                <w:b/>
                <w:bCs/>
                <w:sz w:val="16"/>
                <w:szCs w:val="16"/>
                <w:lang w:eastAsia="en-AU"/>
              </w:rPr>
              <w:t>Program</w:t>
            </w:r>
          </w:p>
        </w:tc>
        <w:tc>
          <w:tcPr>
            <w:tcW w:w="900" w:type="dxa"/>
            <w:tcBorders>
              <w:top w:val="single" w:sz="4" w:space="0" w:color="000000"/>
              <w:left w:val="nil"/>
              <w:bottom w:val="single" w:sz="4" w:space="0" w:color="000000"/>
              <w:right w:val="nil"/>
            </w:tcBorders>
            <w:shd w:val="clear" w:color="auto" w:fill="auto"/>
            <w:tcMar>
              <w:left w:w="57" w:type="dxa"/>
            </w:tcMar>
            <w:vAlign w:val="bottom"/>
            <w:hideMark/>
          </w:tcPr>
          <w:p w:rsidR="00A77688" w:rsidRPr="00A77688" w:rsidRDefault="00A77688" w:rsidP="00A77688">
            <w:pPr>
              <w:spacing w:before="40"/>
              <w:jc w:val="right"/>
              <w:rPr>
                <w:rFonts w:ascii="Arial" w:eastAsia="Times New Roman" w:hAnsi="Arial" w:cs="Arial"/>
                <w:b/>
                <w:bCs/>
                <w:sz w:val="16"/>
                <w:szCs w:val="16"/>
                <w:lang w:eastAsia="en-AU"/>
              </w:rPr>
            </w:pPr>
            <w:r>
              <w:rPr>
                <w:rFonts w:ascii="Arial" w:eastAsia="Times New Roman" w:hAnsi="Arial" w:cs="Arial"/>
                <w:b/>
                <w:bCs/>
                <w:sz w:val="16"/>
                <w:szCs w:val="16"/>
                <w:lang w:eastAsia="en-AU"/>
              </w:rPr>
              <w:t>2021–</w:t>
            </w:r>
            <w:r w:rsidRPr="00A77688">
              <w:rPr>
                <w:rFonts w:ascii="Arial" w:eastAsia="Times New Roman" w:hAnsi="Arial" w:cs="Arial"/>
                <w:b/>
                <w:bCs/>
                <w:sz w:val="16"/>
                <w:szCs w:val="16"/>
                <w:lang w:eastAsia="en-AU"/>
              </w:rPr>
              <w:t>22</w:t>
            </w:r>
            <w:r>
              <w:rPr>
                <w:rFonts w:ascii="Arial" w:eastAsia="Times New Roman" w:hAnsi="Arial" w:cs="Arial"/>
                <w:b/>
                <w:bCs/>
                <w:sz w:val="16"/>
                <w:szCs w:val="16"/>
                <w:lang w:eastAsia="en-AU"/>
              </w:rPr>
              <w:br/>
            </w:r>
            <w:r w:rsidRPr="00A77688">
              <w:rPr>
                <w:rFonts w:ascii="Arial" w:eastAsia="Times New Roman" w:hAnsi="Arial" w:cs="Arial"/>
                <w:b/>
                <w:bCs/>
                <w:sz w:val="16"/>
                <w:szCs w:val="16"/>
                <w:lang w:eastAsia="en-AU"/>
              </w:rPr>
              <w:br w:type="page"/>
            </w:r>
            <w:r w:rsidRPr="00A77688">
              <w:rPr>
                <w:rFonts w:ascii="Arial" w:eastAsia="Times New Roman" w:hAnsi="Arial" w:cs="Arial"/>
                <w:sz w:val="16"/>
                <w:szCs w:val="16"/>
                <w:lang w:eastAsia="en-AU"/>
              </w:rPr>
              <w:t>$'000</w:t>
            </w:r>
          </w:p>
        </w:tc>
        <w:tc>
          <w:tcPr>
            <w:tcW w:w="900" w:type="dxa"/>
            <w:tcBorders>
              <w:top w:val="single" w:sz="4" w:space="0" w:color="000000"/>
              <w:left w:val="nil"/>
              <w:bottom w:val="single" w:sz="4" w:space="0" w:color="000000"/>
              <w:right w:val="nil"/>
            </w:tcBorders>
            <w:shd w:val="clear" w:color="000000" w:fill="D9D9D9"/>
            <w:tcMar>
              <w:left w:w="57" w:type="dxa"/>
            </w:tcMar>
            <w:vAlign w:val="bottom"/>
            <w:hideMark/>
          </w:tcPr>
          <w:p w:rsidR="00A77688" w:rsidRPr="00A77688" w:rsidRDefault="00A77688" w:rsidP="00A77688">
            <w:pPr>
              <w:spacing w:before="40"/>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2022–23</w:t>
            </w:r>
            <w:r w:rsidRPr="00A77688">
              <w:rPr>
                <w:rFonts w:ascii="Arial" w:eastAsia="Times New Roman" w:hAnsi="Arial" w:cs="Arial"/>
                <w:b/>
                <w:bCs/>
                <w:sz w:val="16"/>
                <w:szCs w:val="16"/>
                <w:lang w:eastAsia="en-AU"/>
              </w:rPr>
              <w:br w:type="page"/>
            </w:r>
            <w:r>
              <w:rPr>
                <w:rFonts w:ascii="Arial" w:eastAsia="Times New Roman" w:hAnsi="Arial" w:cs="Arial"/>
                <w:b/>
                <w:bCs/>
                <w:sz w:val="16"/>
                <w:szCs w:val="16"/>
                <w:lang w:eastAsia="en-AU"/>
              </w:rPr>
              <w:br/>
            </w:r>
            <w:r w:rsidRPr="00A77688">
              <w:rPr>
                <w:rFonts w:ascii="Arial" w:eastAsia="Times New Roman" w:hAnsi="Arial" w:cs="Arial"/>
                <w:sz w:val="16"/>
                <w:szCs w:val="16"/>
                <w:lang w:eastAsia="en-AU"/>
              </w:rPr>
              <w:t>$'000</w:t>
            </w:r>
          </w:p>
        </w:tc>
        <w:tc>
          <w:tcPr>
            <w:tcW w:w="884" w:type="dxa"/>
            <w:tcBorders>
              <w:top w:val="single" w:sz="4" w:space="0" w:color="000000"/>
              <w:left w:val="nil"/>
              <w:bottom w:val="single" w:sz="4" w:space="0" w:color="000000"/>
              <w:right w:val="nil"/>
            </w:tcBorders>
            <w:shd w:val="clear" w:color="auto" w:fill="auto"/>
            <w:tcMar>
              <w:left w:w="57" w:type="dxa"/>
            </w:tcMar>
            <w:vAlign w:val="bottom"/>
            <w:hideMark/>
          </w:tcPr>
          <w:p w:rsidR="00A77688" w:rsidRPr="00A77688" w:rsidRDefault="00A77688" w:rsidP="00A77688">
            <w:pPr>
              <w:spacing w:before="40"/>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2023–24</w:t>
            </w:r>
            <w:r w:rsidRPr="00A77688">
              <w:rPr>
                <w:rFonts w:ascii="Arial" w:eastAsia="Times New Roman" w:hAnsi="Arial" w:cs="Arial"/>
                <w:b/>
                <w:bCs/>
                <w:sz w:val="16"/>
                <w:szCs w:val="16"/>
                <w:lang w:eastAsia="en-AU"/>
              </w:rPr>
              <w:br w:type="page"/>
            </w:r>
            <w:r>
              <w:rPr>
                <w:rFonts w:ascii="Arial" w:eastAsia="Times New Roman" w:hAnsi="Arial" w:cs="Arial"/>
                <w:b/>
                <w:bCs/>
                <w:sz w:val="16"/>
                <w:szCs w:val="16"/>
                <w:lang w:eastAsia="en-AU"/>
              </w:rPr>
              <w:br/>
            </w:r>
            <w:r w:rsidRPr="00A77688">
              <w:rPr>
                <w:rFonts w:ascii="Arial" w:eastAsia="Times New Roman" w:hAnsi="Arial" w:cs="Arial"/>
                <w:sz w:val="16"/>
                <w:szCs w:val="16"/>
                <w:lang w:eastAsia="en-AU"/>
              </w:rPr>
              <w:t>$'000</w:t>
            </w:r>
          </w:p>
        </w:tc>
        <w:tc>
          <w:tcPr>
            <w:tcW w:w="884" w:type="dxa"/>
            <w:tcBorders>
              <w:top w:val="single" w:sz="4" w:space="0" w:color="000000"/>
              <w:left w:val="nil"/>
              <w:bottom w:val="single" w:sz="4" w:space="0" w:color="000000"/>
              <w:right w:val="nil"/>
            </w:tcBorders>
            <w:shd w:val="clear" w:color="auto" w:fill="auto"/>
            <w:tcMar>
              <w:left w:w="57" w:type="dxa"/>
            </w:tcMar>
            <w:vAlign w:val="bottom"/>
            <w:hideMark/>
          </w:tcPr>
          <w:p w:rsidR="00A77688" w:rsidRPr="00A77688" w:rsidRDefault="00A77688" w:rsidP="00A77688">
            <w:pPr>
              <w:spacing w:before="40"/>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2024–25</w:t>
            </w:r>
            <w:r>
              <w:rPr>
                <w:rFonts w:ascii="Arial" w:eastAsia="Times New Roman" w:hAnsi="Arial" w:cs="Arial"/>
                <w:b/>
                <w:bCs/>
                <w:sz w:val="16"/>
                <w:szCs w:val="16"/>
                <w:lang w:eastAsia="en-AU"/>
              </w:rPr>
              <w:br/>
            </w:r>
            <w:r w:rsidRPr="00A77688">
              <w:rPr>
                <w:rFonts w:ascii="Arial" w:eastAsia="Times New Roman" w:hAnsi="Arial" w:cs="Arial"/>
                <w:b/>
                <w:bCs/>
                <w:sz w:val="16"/>
                <w:szCs w:val="16"/>
                <w:lang w:eastAsia="en-AU"/>
              </w:rPr>
              <w:br w:type="page"/>
            </w:r>
            <w:r w:rsidRPr="00A77688">
              <w:rPr>
                <w:rFonts w:ascii="Arial" w:eastAsia="Times New Roman" w:hAnsi="Arial" w:cs="Arial"/>
                <w:sz w:val="16"/>
                <w:szCs w:val="16"/>
                <w:lang w:eastAsia="en-AU"/>
              </w:rPr>
              <w:t>$'000</w:t>
            </w:r>
          </w:p>
        </w:tc>
        <w:tc>
          <w:tcPr>
            <w:tcW w:w="884" w:type="dxa"/>
            <w:tcBorders>
              <w:top w:val="single" w:sz="4" w:space="0" w:color="000000"/>
              <w:left w:val="nil"/>
              <w:bottom w:val="single" w:sz="4" w:space="0" w:color="000000"/>
              <w:right w:val="nil"/>
            </w:tcBorders>
            <w:shd w:val="clear" w:color="auto" w:fill="auto"/>
            <w:tcMar>
              <w:left w:w="57" w:type="dxa"/>
            </w:tcMar>
            <w:vAlign w:val="bottom"/>
            <w:hideMark/>
          </w:tcPr>
          <w:p w:rsidR="00A77688" w:rsidRPr="00A77688" w:rsidRDefault="00A77688" w:rsidP="00A77688">
            <w:pPr>
              <w:spacing w:before="40"/>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2025–26</w:t>
            </w:r>
            <w:r>
              <w:rPr>
                <w:rFonts w:ascii="Arial" w:eastAsia="Times New Roman" w:hAnsi="Arial" w:cs="Arial"/>
                <w:b/>
                <w:bCs/>
                <w:sz w:val="16"/>
                <w:szCs w:val="16"/>
                <w:lang w:eastAsia="en-AU"/>
              </w:rPr>
              <w:br/>
            </w:r>
            <w:r w:rsidRPr="00A77688">
              <w:rPr>
                <w:rFonts w:ascii="Arial" w:eastAsia="Times New Roman" w:hAnsi="Arial" w:cs="Arial"/>
                <w:b/>
                <w:bCs/>
                <w:sz w:val="16"/>
                <w:szCs w:val="16"/>
                <w:lang w:eastAsia="en-AU"/>
              </w:rPr>
              <w:br w:type="page"/>
            </w:r>
            <w:r w:rsidRPr="00A77688">
              <w:rPr>
                <w:rFonts w:ascii="Arial" w:eastAsia="Times New Roman" w:hAnsi="Arial" w:cs="Arial"/>
                <w:sz w:val="16"/>
                <w:szCs w:val="16"/>
                <w:lang w:eastAsia="en-AU"/>
              </w:rPr>
              <w:t>$'000</w:t>
            </w:r>
          </w:p>
        </w:tc>
      </w:tr>
      <w:tr w:rsidR="00A77688" w:rsidRPr="00A77688" w:rsidTr="00A77688">
        <w:trPr>
          <w:trHeight w:val="283"/>
          <w:jc w:val="center"/>
        </w:trPr>
        <w:tc>
          <w:tcPr>
            <w:tcW w:w="7380" w:type="dxa"/>
            <w:gridSpan w:val="7"/>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COVID-19 Response Package — guaranteeing Medicare and access to medicines </w:t>
            </w:r>
            <w:r w:rsidRPr="00A77688">
              <w:rPr>
                <w:rFonts w:ascii="Arial" w:eastAsia="Times New Roman" w:hAnsi="Arial" w:cs="Arial"/>
                <w:b/>
                <w:bCs/>
                <w:sz w:val="16"/>
                <w:szCs w:val="16"/>
                <w:vertAlign w:val="superscript"/>
                <w:lang w:eastAsia="en-AU"/>
              </w:rPr>
              <w:t>(b)</w:t>
            </w: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1.3</w:t>
            </w: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43,342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1.6</w:t>
            </w: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158,600 </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89,097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2.1</w:t>
            </w: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22,524 </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536,291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w:t>
            </w: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465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1E1E28">
        <w:trPr>
          <w:trHeight w:val="283"/>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Department of the Treasury</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14,494 </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8,862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1E1E28">
        <w:trPr>
          <w:trHeight w:val="283"/>
          <w:jc w:val="center"/>
        </w:trPr>
        <w:tc>
          <w:tcPr>
            <w:tcW w:w="2928" w:type="dxa"/>
            <w:gridSpan w:val="2"/>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Department of Veterans' Affairs</w:t>
            </w:r>
          </w:p>
        </w:tc>
        <w:tc>
          <w:tcPr>
            <w:tcW w:w="900"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559 </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6,664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1E1E28">
        <w:trPr>
          <w:trHeight w:val="283"/>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Services Australia</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31 </w:t>
            </w:r>
          </w:p>
        </w:tc>
        <w:tc>
          <w:tcPr>
            <w:tcW w:w="900" w:type="dxa"/>
            <w:tcBorders>
              <w:top w:val="nil"/>
              <w:left w:val="nil"/>
              <w:bottom w:val="nil"/>
              <w:right w:val="nil"/>
            </w:tcBorders>
            <w:shd w:val="clear" w:color="000000" w:fill="D9D9D9"/>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5,119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83"/>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p>
        </w:tc>
        <w:tc>
          <w:tcPr>
            <w:tcW w:w="900" w:type="dxa"/>
            <w:tcBorders>
              <w:top w:val="single" w:sz="4" w:space="0" w:color="000000"/>
              <w:left w:val="nil"/>
              <w:bottom w:val="single" w:sz="4" w:space="0" w:color="000000"/>
              <w:right w:val="nil"/>
            </w:tcBorders>
            <w:shd w:val="clear" w:color="auto" w:fill="auto"/>
            <w:noWrap/>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196,208 </w:t>
            </w:r>
          </w:p>
        </w:tc>
        <w:tc>
          <w:tcPr>
            <w:tcW w:w="900" w:type="dxa"/>
            <w:tcBorders>
              <w:top w:val="single" w:sz="4" w:space="0" w:color="000000"/>
              <w:left w:val="nil"/>
              <w:bottom w:val="single" w:sz="4" w:space="0" w:color="000000"/>
              <w:right w:val="nil"/>
            </w:tcBorders>
            <w:shd w:val="clear" w:color="000000" w:fill="D9D9D9"/>
            <w:noWrap/>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689,840 </w:t>
            </w:r>
          </w:p>
        </w:tc>
        <w:tc>
          <w:tcPr>
            <w:tcW w:w="884" w:type="dxa"/>
            <w:tcBorders>
              <w:top w:val="single" w:sz="4" w:space="0" w:color="000000"/>
              <w:left w:val="nil"/>
              <w:bottom w:val="single" w:sz="4" w:space="0" w:color="000000"/>
              <w:right w:val="nil"/>
            </w:tcBorders>
            <w:shd w:val="clear" w:color="auto" w:fill="auto"/>
            <w:noWrap/>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884" w:type="dxa"/>
            <w:tcBorders>
              <w:top w:val="single" w:sz="4" w:space="0" w:color="000000"/>
              <w:left w:val="nil"/>
              <w:bottom w:val="single" w:sz="4" w:space="0" w:color="000000"/>
              <w:right w:val="nil"/>
            </w:tcBorders>
            <w:shd w:val="clear" w:color="auto" w:fill="auto"/>
            <w:noWrap/>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884" w:type="dxa"/>
            <w:tcBorders>
              <w:top w:val="single" w:sz="4" w:space="0" w:color="000000"/>
              <w:left w:val="nil"/>
              <w:bottom w:val="single" w:sz="4" w:space="0" w:color="000000"/>
              <w:right w:val="nil"/>
            </w:tcBorders>
            <w:shd w:val="clear" w:color="auto" w:fill="auto"/>
            <w:noWrap/>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r>
      <w:tr w:rsidR="00A77688" w:rsidRPr="00A77688" w:rsidTr="00A77688">
        <w:trPr>
          <w:trHeight w:val="283"/>
          <w:jc w:val="center"/>
        </w:trPr>
        <w:tc>
          <w:tcPr>
            <w:tcW w:w="7380" w:type="dxa"/>
            <w:gridSpan w:val="7"/>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COVID-19 Response Package — personal protective equipment and rapid antigen tests</w:t>
            </w:r>
            <w:r w:rsidRPr="00A77688">
              <w:rPr>
                <w:rFonts w:ascii="Arial" w:eastAsia="Times New Roman" w:hAnsi="Arial" w:cs="Arial"/>
                <w:b/>
                <w:bCs/>
                <w:sz w:val="16"/>
                <w:szCs w:val="16"/>
                <w:vertAlign w:val="superscript"/>
                <w:lang w:eastAsia="en-AU"/>
              </w:rPr>
              <w:t xml:space="preserve"> (b)</w:t>
            </w: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1.8</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886,045 </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190,520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jc w:val="right"/>
              <w:rPr>
                <w:rFonts w:ascii="Arial" w:eastAsia="Times New Roman" w:hAnsi="Arial" w:cs="Arial"/>
                <w:sz w:val="16"/>
                <w:szCs w:val="16"/>
                <w:lang w:eastAsia="en-AU"/>
              </w:rPr>
            </w:pP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3.3</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110,702 </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capital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1.8</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1,722,278 </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37,129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869 </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128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1E1E28">
        <w:trPr>
          <w:trHeight w:val="283"/>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Department of the Treasury</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(371,821)</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(95,260)</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454"/>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National Disability Insurance Agency</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81,054 </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 </w:t>
            </w:r>
          </w:p>
        </w:tc>
      </w:tr>
      <w:tr w:rsidR="00A77688" w:rsidRPr="00A77688" w:rsidTr="00A77688">
        <w:trPr>
          <w:trHeight w:val="283"/>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p>
        </w:tc>
        <w:tc>
          <w:tcPr>
            <w:tcW w:w="900"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2,429,127 </w:t>
            </w:r>
          </w:p>
        </w:tc>
        <w:tc>
          <w:tcPr>
            <w:tcW w:w="900" w:type="dxa"/>
            <w:tcBorders>
              <w:top w:val="single" w:sz="4" w:space="0" w:color="000000"/>
              <w:left w:val="nil"/>
              <w:bottom w:val="single" w:sz="4" w:space="0" w:color="000000"/>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132,517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r>
      <w:tr w:rsidR="00A77688" w:rsidRPr="00A77688" w:rsidTr="00A77688">
        <w:trPr>
          <w:trHeight w:val="283"/>
          <w:jc w:val="center"/>
        </w:trPr>
        <w:tc>
          <w:tcPr>
            <w:tcW w:w="7380" w:type="dxa"/>
            <w:gridSpan w:val="7"/>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COVID-19 Response Package — supporting hospitals and emergency response extension</w:t>
            </w: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1.6</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11,970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jc w:val="right"/>
              <w:rPr>
                <w:rFonts w:ascii="Arial" w:eastAsia="Times New Roman" w:hAnsi="Arial" w:cs="Arial"/>
                <w:sz w:val="16"/>
                <w:szCs w:val="16"/>
                <w:lang w:eastAsia="en-AU"/>
              </w:rPr>
            </w:pP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1.8</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47,711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225"/>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capital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1.8</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1,495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1</w:t>
            </w: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14,761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336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300"/>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National Health Funding Body</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714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300"/>
          <w:jc w:val="center"/>
        </w:trPr>
        <w:tc>
          <w:tcPr>
            <w:tcW w:w="2490" w:type="dxa"/>
            <w:tcBorders>
              <w:top w:val="nil"/>
              <w:left w:val="nil"/>
              <w:bottom w:val="nil"/>
              <w:right w:val="nil"/>
            </w:tcBorders>
            <w:shd w:val="clear" w:color="auto" w:fill="auto"/>
            <w:vAlign w:val="bottom"/>
            <w:hideMark/>
          </w:tcPr>
          <w:p w:rsidR="00A77688" w:rsidRPr="00A77688" w:rsidRDefault="00A77688" w:rsidP="00A77688">
            <w:pPr>
              <w:rPr>
                <w:rFonts w:ascii="Arial" w:eastAsia="Times New Roman" w:hAnsi="Arial" w:cs="Arial"/>
                <w:sz w:val="16"/>
                <w:szCs w:val="16"/>
                <w:lang w:eastAsia="en-AU"/>
              </w:rPr>
            </w:pPr>
            <w:r w:rsidRPr="00A77688">
              <w:rPr>
                <w:rFonts w:ascii="Arial" w:eastAsia="Times New Roman" w:hAnsi="Arial" w:cs="Arial"/>
                <w:sz w:val="16"/>
                <w:szCs w:val="16"/>
                <w:lang w:eastAsia="en-AU"/>
              </w:rPr>
              <w:t>Department of the Treasury</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eastAsia="Times New Roman"/>
                <w:lang w:eastAsia="en-AU"/>
              </w:rPr>
            </w:pPr>
          </w:p>
        </w:tc>
      </w:tr>
      <w:tr w:rsidR="00A77688" w:rsidRPr="00A77688" w:rsidTr="00A77688">
        <w:trPr>
          <w:trHeight w:val="225"/>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ind w:leftChars="75" w:left="150"/>
              <w:rPr>
                <w:rFonts w:ascii="Arial" w:eastAsia="Times New Roman" w:hAnsi="Arial" w:cs="Arial"/>
                <w:sz w:val="16"/>
                <w:szCs w:val="16"/>
                <w:lang w:eastAsia="en-AU"/>
              </w:rPr>
            </w:pPr>
            <w:r w:rsidRPr="00A77688">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ind w:firstLineChars="100" w:firstLine="160"/>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 xml:space="preserve">982,488 </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c>
          <w:tcPr>
            <w:tcW w:w="884" w:type="dxa"/>
            <w:tcBorders>
              <w:top w:val="nil"/>
              <w:left w:val="nil"/>
              <w:bottom w:val="nil"/>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sz w:val="16"/>
                <w:szCs w:val="16"/>
                <w:lang w:eastAsia="en-AU"/>
              </w:rPr>
            </w:pPr>
            <w:r w:rsidRPr="00A77688">
              <w:rPr>
                <w:rFonts w:ascii="Arial" w:eastAsia="Times New Roman" w:hAnsi="Arial" w:cs="Arial"/>
                <w:sz w:val="16"/>
                <w:szCs w:val="16"/>
                <w:lang w:eastAsia="en-AU"/>
              </w:rPr>
              <w:t>-</w:t>
            </w:r>
          </w:p>
        </w:tc>
      </w:tr>
      <w:tr w:rsidR="00A77688" w:rsidRPr="00A77688" w:rsidTr="00A77688">
        <w:trPr>
          <w:trHeight w:val="283"/>
          <w:jc w:val="center"/>
        </w:trPr>
        <w:tc>
          <w:tcPr>
            <w:tcW w:w="2490"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A77688" w:rsidRPr="00A77688" w:rsidRDefault="00A77688" w:rsidP="00A77688">
            <w:pPr>
              <w:rPr>
                <w:rFonts w:ascii="Arial" w:eastAsia="Times New Roman" w:hAnsi="Arial" w:cs="Arial"/>
                <w:b/>
                <w:bCs/>
                <w:sz w:val="16"/>
                <w:szCs w:val="16"/>
                <w:lang w:eastAsia="en-AU"/>
              </w:rPr>
            </w:pPr>
          </w:p>
        </w:tc>
        <w:tc>
          <w:tcPr>
            <w:tcW w:w="900"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900" w:type="dxa"/>
            <w:tcBorders>
              <w:top w:val="single" w:sz="4" w:space="0" w:color="000000"/>
              <w:left w:val="nil"/>
              <w:bottom w:val="single" w:sz="4" w:space="0" w:color="000000"/>
              <w:right w:val="nil"/>
            </w:tcBorders>
            <w:shd w:val="clear" w:color="000000" w:fill="D9D9D9"/>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1,058,425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1,050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c>
          <w:tcPr>
            <w:tcW w:w="884" w:type="dxa"/>
            <w:tcBorders>
              <w:top w:val="single" w:sz="4" w:space="0" w:color="000000"/>
              <w:left w:val="nil"/>
              <w:bottom w:val="single" w:sz="4" w:space="0" w:color="000000"/>
              <w:right w:val="nil"/>
            </w:tcBorders>
            <w:shd w:val="clear" w:color="auto" w:fill="auto"/>
            <w:noWrap/>
            <w:tcMar>
              <w:left w:w="57" w:type="dxa"/>
            </w:tcMar>
            <w:vAlign w:val="bottom"/>
            <w:hideMark/>
          </w:tcPr>
          <w:p w:rsidR="00A77688" w:rsidRPr="00A77688" w:rsidRDefault="00A77688" w:rsidP="00A77688">
            <w:pPr>
              <w:jc w:val="right"/>
              <w:rPr>
                <w:rFonts w:ascii="Arial" w:eastAsia="Times New Roman" w:hAnsi="Arial" w:cs="Arial"/>
                <w:b/>
                <w:bCs/>
                <w:sz w:val="16"/>
                <w:szCs w:val="16"/>
                <w:lang w:eastAsia="en-AU"/>
              </w:rPr>
            </w:pPr>
            <w:r w:rsidRPr="00A77688">
              <w:rPr>
                <w:rFonts w:ascii="Arial" w:eastAsia="Times New Roman" w:hAnsi="Arial" w:cs="Arial"/>
                <w:b/>
                <w:bCs/>
                <w:sz w:val="16"/>
                <w:szCs w:val="16"/>
                <w:lang w:eastAsia="en-AU"/>
              </w:rPr>
              <w:t xml:space="preserve">- </w:t>
            </w:r>
          </w:p>
        </w:tc>
      </w:tr>
    </w:tbl>
    <w:p w:rsidR="00A6223E" w:rsidRDefault="00A6223E" w:rsidP="00A6223E">
      <w:pPr>
        <w:rPr>
          <w:rFonts w:ascii="Arial" w:eastAsia="Times New Roman" w:hAnsi="Arial" w:cs="Arial"/>
          <w:szCs w:val="18"/>
        </w:rPr>
      </w:pPr>
      <w:r>
        <w:br w:type="page"/>
      </w:r>
    </w:p>
    <w:p w:rsidR="00232F9B" w:rsidRDefault="00232F9B" w:rsidP="00232F9B">
      <w:pPr>
        <w:pStyle w:val="Tablenumberandreference"/>
        <w:spacing w:after="120"/>
        <w:rPr>
          <w:color w:val="000000"/>
        </w:rPr>
      </w:pPr>
      <w:r w:rsidRPr="00232F9B">
        <w:rPr>
          <w:color w:val="000000"/>
        </w:rPr>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320"/>
        <w:gridCol w:w="460"/>
        <w:gridCol w:w="920"/>
        <w:gridCol w:w="920"/>
        <w:gridCol w:w="920"/>
        <w:gridCol w:w="920"/>
        <w:gridCol w:w="920"/>
      </w:tblGrid>
      <w:tr w:rsidR="00BD703F" w:rsidRPr="00BD703F" w:rsidTr="00BD703F">
        <w:trPr>
          <w:trHeight w:val="340"/>
          <w:jc w:val="center"/>
        </w:trPr>
        <w:tc>
          <w:tcPr>
            <w:tcW w:w="2780" w:type="dxa"/>
            <w:gridSpan w:val="2"/>
            <w:tcBorders>
              <w:top w:val="single" w:sz="4" w:space="0" w:color="000000"/>
              <w:left w:val="nil"/>
              <w:bottom w:val="nil"/>
              <w:right w:val="nil"/>
            </w:tcBorders>
            <w:shd w:val="clear" w:color="auto" w:fill="auto"/>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Outcome/ </w:t>
            </w:r>
            <w:r w:rsidRPr="00BD703F">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2021–22</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2022–23</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2023–24</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2024–25</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2025–26</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r>
      <w:tr w:rsidR="00BD703F" w:rsidRPr="00BD703F" w:rsidTr="00BD703F">
        <w:trPr>
          <w:trHeight w:val="300"/>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COVID-19 Response Package — vaccines and treatments</w:t>
            </w:r>
            <w:r w:rsidRPr="00BD703F">
              <w:rPr>
                <w:rFonts w:ascii="Arial" w:eastAsia="Times New Roman" w:hAnsi="Arial" w:cs="Arial"/>
                <w:b/>
                <w:bCs/>
                <w:sz w:val="16"/>
                <w:szCs w:val="16"/>
                <w:vertAlign w:val="superscript"/>
                <w:lang w:eastAsia="en-AU"/>
              </w:rPr>
              <w:t xml:space="preserve"> (c) (d)</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1.7</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3.3</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capital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4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Australian Digital Health Agency</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w:t>
            </w:r>
          </w:p>
        </w:tc>
      </w:tr>
      <w:tr w:rsidR="00BD703F" w:rsidRPr="00BD703F" w:rsidTr="00BD703F">
        <w:trPr>
          <w:trHeight w:val="4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Foreign Affairs and Trade</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w:t>
            </w:r>
          </w:p>
        </w:tc>
      </w:tr>
      <w:tr w:rsidR="00BD703F" w:rsidRPr="00BD703F" w:rsidTr="001E1E28">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83"/>
          <w:jc w:val="center"/>
        </w:trPr>
        <w:tc>
          <w:tcPr>
            <w:tcW w:w="2780" w:type="dxa"/>
            <w:gridSpan w:val="2"/>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Veterans' Affairs</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r>
      <w:tr w:rsidR="00BD703F" w:rsidRPr="00BD703F" w:rsidTr="00BD703F">
        <w:trPr>
          <w:trHeight w:val="283"/>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Fighting Cancer</w:t>
            </w:r>
            <w:r w:rsidRPr="00BD703F">
              <w:rPr>
                <w:rFonts w:ascii="Arial" w:eastAsia="Times New Roman" w:hAnsi="Arial" w:cs="Arial"/>
                <w:b/>
                <w:bCs/>
                <w:sz w:val="16"/>
                <w:szCs w:val="16"/>
                <w:vertAlign w:val="superscript"/>
                <w:lang w:eastAsia="en-AU"/>
              </w:rPr>
              <w:t xml:space="preserve"> (a)</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1.5</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5,000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137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137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139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140 </w:t>
            </w:r>
          </w:p>
        </w:tc>
      </w:tr>
      <w:tr w:rsidR="00BD703F" w:rsidRPr="00BD703F" w:rsidTr="001E1E28">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58,343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105,931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199,471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11,292 </w:t>
            </w:r>
          </w:p>
        </w:tc>
      </w:tr>
      <w:tr w:rsidR="00BD703F" w:rsidRPr="00BD703F" w:rsidTr="00BD703F">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63,480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106,068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199,610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11,432 </w:t>
            </w:r>
          </w:p>
        </w:tc>
      </w:tr>
      <w:tr w:rsidR="00BD703F" w:rsidRPr="00BD703F" w:rsidTr="00BD703F">
        <w:trPr>
          <w:trHeight w:val="283"/>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Guaranteeing Medicare — Digital Health</w:t>
            </w:r>
          </w:p>
        </w:tc>
      </w:tr>
      <w:tr w:rsidR="00BD703F" w:rsidRPr="00BD703F" w:rsidTr="00BD703F">
        <w:trPr>
          <w:trHeight w:val="300"/>
          <w:jc w:val="center"/>
        </w:trPr>
        <w:tc>
          <w:tcPr>
            <w:tcW w:w="2780" w:type="dxa"/>
            <w:gridSpan w:val="2"/>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Australian Digital Health Agency</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64,500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1E1E28">
        <w:trPr>
          <w:trHeight w:val="4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Australian Institute of Health and Welfare</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955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553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306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308 </w:t>
            </w:r>
          </w:p>
        </w:tc>
      </w:tr>
      <w:tr w:rsidR="00BD703F" w:rsidRPr="00BD703F" w:rsidTr="00BD703F">
        <w:trPr>
          <w:trHeight w:val="397"/>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capital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778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1E1E28">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66,233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553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306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308 </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Related receipts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w:t>
            </w:r>
          </w:p>
        </w:tc>
      </w:tr>
      <w:tr w:rsidR="00BD703F" w:rsidRPr="00BD703F" w:rsidTr="00BD703F">
        <w:trPr>
          <w:trHeight w:val="4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leftChars="75" w:left="150"/>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Australian Digital Health Agency</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i/>
                <w:iCs/>
                <w:sz w:val="16"/>
                <w:szCs w:val="16"/>
                <w:lang w:eastAsia="en-AU"/>
              </w:rPr>
            </w:pPr>
          </w:p>
        </w:tc>
        <w:tc>
          <w:tcPr>
            <w:tcW w:w="920" w:type="dxa"/>
            <w:tcBorders>
              <w:top w:val="nil"/>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 xml:space="preserve">- </w:t>
            </w:r>
          </w:p>
        </w:tc>
        <w:tc>
          <w:tcPr>
            <w:tcW w:w="920" w:type="dxa"/>
            <w:tcBorders>
              <w:top w:val="nil"/>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 xml:space="preserve">32,250 </w:t>
            </w:r>
          </w:p>
        </w:tc>
        <w:tc>
          <w:tcPr>
            <w:tcW w:w="920" w:type="dxa"/>
            <w:tcBorders>
              <w:top w:val="nil"/>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 xml:space="preserve">- </w:t>
            </w:r>
          </w:p>
        </w:tc>
        <w:tc>
          <w:tcPr>
            <w:tcW w:w="920" w:type="dxa"/>
            <w:tcBorders>
              <w:top w:val="nil"/>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 xml:space="preserve">- </w:t>
            </w:r>
          </w:p>
        </w:tc>
        <w:tc>
          <w:tcPr>
            <w:tcW w:w="920" w:type="dxa"/>
            <w:tcBorders>
              <w:top w:val="nil"/>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i/>
                <w:iCs/>
                <w:sz w:val="16"/>
                <w:szCs w:val="16"/>
                <w:lang w:eastAsia="en-AU"/>
              </w:rPr>
            </w:pPr>
            <w:r w:rsidRPr="00BD703F">
              <w:rPr>
                <w:rFonts w:ascii="Arial" w:eastAsia="Times New Roman" w:hAnsi="Arial" w:cs="Arial"/>
                <w:i/>
                <w:iCs/>
                <w:sz w:val="16"/>
                <w:szCs w:val="16"/>
                <w:lang w:eastAsia="en-AU"/>
              </w:rPr>
              <w:t xml:space="preserve">- </w:t>
            </w:r>
          </w:p>
        </w:tc>
      </w:tr>
    </w:tbl>
    <w:p w:rsidR="00A6223E" w:rsidRDefault="00A6223E" w:rsidP="0079143E">
      <w:pPr>
        <w:pStyle w:val="Tablenumberandreference"/>
        <w:spacing w:after="120"/>
        <w:rPr>
          <w:color w:val="000000"/>
        </w:rPr>
      </w:pPr>
      <w:r>
        <w:rPr>
          <w:color w:val="000000"/>
        </w:rPr>
        <w:br w:type="page"/>
      </w:r>
    </w:p>
    <w:p w:rsidR="00232F9B" w:rsidRDefault="00232F9B" w:rsidP="0079143E">
      <w:pPr>
        <w:pStyle w:val="Tablenumberandreference"/>
        <w:spacing w:after="120"/>
        <w:rPr>
          <w:color w:val="000000"/>
        </w:rPr>
      </w:pPr>
      <w:r w:rsidRPr="00232F9B">
        <w:rPr>
          <w:color w:val="000000"/>
        </w:rPr>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320"/>
        <w:gridCol w:w="460"/>
        <w:gridCol w:w="920"/>
        <w:gridCol w:w="920"/>
        <w:gridCol w:w="920"/>
        <w:gridCol w:w="920"/>
        <w:gridCol w:w="920"/>
      </w:tblGrid>
      <w:tr w:rsidR="00BD703F" w:rsidRPr="00BD703F" w:rsidTr="00BD703F">
        <w:trPr>
          <w:trHeight w:val="340"/>
          <w:jc w:val="center"/>
        </w:trPr>
        <w:tc>
          <w:tcPr>
            <w:tcW w:w="2780" w:type="dxa"/>
            <w:gridSpan w:val="2"/>
            <w:tcBorders>
              <w:top w:val="single" w:sz="4" w:space="0" w:color="000000"/>
              <w:left w:val="nil"/>
              <w:bottom w:val="nil"/>
              <w:right w:val="nil"/>
            </w:tcBorders>
            <w:shd w:val="clear" w:color="auto" w:fill="auto"/>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Outcome/ </w:t>
            </w:r>
            <w:r w:rsidRPr="00BD703F">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2021–22</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2022–23</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2023–24</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2024–25</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BD703F" w:rsidRPr="00BD703F" w:rsidRDefault="00BD703F" w:rsidP="00BD703F">
            <w:pPr>
              <w:spacing w:before="40"/>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2025–26</w:t>
            </w:r>
            <w:r w:rsidRPr="00BD703F">
              <w:rPr>
                <w:rFonts w:ascii="Arial" w:eastAsia="Times New Roman" w:hAnsi="Arial" w:cs="Arial"/>
                <w:b/>
                <w:bCs/>
                <w:sz w:val="16"/>
                <w:szCs w:val="16"/>
                <w:lang w:eastAsia="en-AU"/>
              </w:rPr>
              <w:br/>
            </w:r>
            <w:r w:rsidRPr="00BD703F">
              <w:rPr>
                <w:rFonts w:ascii="Arial" w:eastAsia="Times New Roman" w:hAnsi="Arial" w:cs="Arial"/>
                <w:sz w:val="16"/>
                <w:szCs w:val="16"/>
                <w:lang w:eastAsia="en-AU"/>
              </w:rPr>
              <w:t>$'000</w:t>
            </w:r>
          </w:p>
        </w:tc>
      </w:tr>
      <w:tr w:rsidR="00BD703F" w:rsidRPr="00BD703F" w:rsidTr="00BD703F">
        <w:trPr>
          <w:trHeight w:val="283"/>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Guaranteeing Medicare — Medical Benefits Schedule new and amended listings</w:t>
            </w:r>
            <w:r w:rsidRPr="00BD703F">
              <w:rPr>
                <w:rFonts w:ascii="Arial" w:eastAsia="Times New Roman" w:hAnsi="Arial" w:cs="Arial"/>
                <w:b/>
                <w:bCs/>
                <w:sz w:val="16"/>
                <w:szCs w:val="16"/>
                <w:vertAlign w:val="superscript"/>
                <w:lang w:eastAsia="en-AU"/>
              </w:rPr>
              <w:t xml:space="preserve"> (a)</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(613)</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5,961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10,843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11,939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12,016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83"/>
          <w:jc w:val="center"/>
        </w:trPr>
        <w:tc>
          <w:tcPr>
            <w:tcW w:w="2780" w:type="dxa"/>
            <w:gridSpan w:val="2"/>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Veterans' Affairs</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(15)</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192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224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238 </w:t>
            </w:r>
          </w:p>
        </w:tc>
      </w:tr>
      <w:tr w:rsidR="00BD703F" w:rsidRPr="00BD703F" w:rsidTr="00BD703F">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188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167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(303)</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(306)</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(317)</w:t>
            </w:r>
          </w:p>
        </w:tc>
      </w:tr>
      <w:tr w:rsidR="00BD703F" w:rsidRPr="00BD703F" w:rsidTr="00BD703F">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(440)</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6,239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10,732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11,857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11,937 </w:t>
            </w:r>
          </w:p>
        </w:tc>
      </w:tr>
      <w:tr w:rsidR="00BD703F" w:rsidRPr="00BD703F" w:rsidTr="00BD703F">
        <w:trPr>
          <w:trHeight w:val="283"/>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Guaranteeing Medicare — strengthening primary care</w:t>
            </w:r>
            <w:r w:rsidRPr="00BD703F">
              <w:rPr>
                <w:rFonts w:ascii="Arial" w:eastAsia="Times New Roman" w:hAnsi="Arial" w:cs="Arial"/>
                <w:b/>
                <w:bCs/>
                <w:sz w:val="16"/>
                <w:szCs w:val="16"/>
                <w:vertAlign w:val="superscript"/>
                <w:lang w:eastAsia="en-AU"/>
              </w:rPr>
              <w:t xml:space="preserve"> (c)</w:t>
            </w:r>
          </w:p>
        </w:tc>
      </w:tr>
      <w:tr w:rsidR="00BD703F" w:rsidRPr="00BD703F" w:rsidTr="00BD703F">
        <w:trPr>
          <w:trHeight w:val="2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1.4</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7,048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69,246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11,242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4,510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761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1.7</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8,716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175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1,732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(4,385)</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(9,341)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(9,341)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(9,341)</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607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137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80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6,792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796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796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796 </w:t>
            </w:r>
          </w:p>
        </w:tc>
      </w:tr>
      <w:tr w:rsidR="00BD703F" w:rsidRPr="00BD703F" w:rsidTr="00BD703F">
        <w:trPr>
          <w:trHeight w:val="567"/>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Australian Commission on Safety and Quality in Health Care</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161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4,642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9,341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9,341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9,341 </w:t>
            </w:r>
          </w:p>
        </w:tc>
      </w:tr>
      <w:tr w:rsidR="00BD703F" w:rsidRPr="00BD703F" w:rsidTr="001E1E28">
        <w:trPr>
          <w:trHeight w:val="283"/>
          <w:jc w:val="center"/>
        </w:trPr>
        <w:tc>
          <w:tcPr>
            <w:tcW w:w="2780" w:type="dxa"/>
            <w:gridSpan w:val="2"/>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Australian Digital Health Agency</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3,314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1E1E28">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107,755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r>
      <w:tr w:rsidR="00BD703F" w:rsidRPr="00BD703F" w:rsidTr="00BD703F">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Home Affairs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113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114 </w:t>
            </w:r>
          </w:p>
        </w:tc>
      </w:tr>
      <w:tr w:rsidR="00BD703F" w:rsidRPr="00BD703F" w:rsidTr="00BD703F">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241 </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205,578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12,634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5,905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2,158 </w:t>
            </w:r>
          </w:p>
        </w:tc>
      </w:tr>
      <w:tr w:rsidR="00BD703F" w:rsidRPr="00BD703F" w:rsidTr="00BD703F">
        <w:trPr>
          <w:trHeight w:val="283"/>
          <w:jc w:val="center"/>
        </w:trPr>
        <w:tc>
          <w:tcPr>
            <w:tcW w:w="7380" w:type="dxa"/>
            <w:gridSpan w:val="7"/>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Guaranteeing Medicare — Supporting Rural Health</w:t>
            </w:r>
            <w:r w:rsidRPr="00BD703F">
              <w:rPr>
                <w:rFonts w:ascii="Arial" w:eastAsia="Times New Roman" w:hAnsi="Arial" w:cs="Arial"/>
                <w:b/>
                <w:bCs/>
                <w:sz w:val="16"/>
                <w:szCs w:val="16"/>
                <w:vertAlign w:val="superscript"/>
                <w:lang w:eastAsia="en-AU"/>
              </w:rPr>
              <w:t xml:space="preserve"> (b)</w:t>
            </w:r>
          </w:p>
        </w:tc>
      </w:tr>
      <w:tr w:rsidR="00BD703F" w:rsidRPr="00BD703F" w:rsidTr="00BD703F">
        <w:trPr>
          <w:trHeight w:val="283"/>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1.4</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54,972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54,259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58,771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40,208 </w:t>
            </w: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2,004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1,202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864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813 </w:t>
            </w:r>
          </w:p>
        </w:tc>
      </w:tr>
      <w:tr w:rsidR="00BD703F" w:rsidRPr="00BD703F" w:rsidTr="00BD703F">
        <w:trPr>
          <w:trHeight w:val="425"/>
          <w:jc w:val="center"/>
        </w:trPr>
        <w:tc>
          <w:tcPr>
            <w:tcW w:w="2320" w:type="dxa"/>
            <w:tcBorders>
              <w:top w:val="nil"/>
              <w:left w:val="nil"/>
              <w:bottom w:val="nil"/>
              <w:right w:val="nil"/>
            </w:tcBorders>
            <w:shd w:val="clear" w:color="auto" w:fill="auto"/>
            <w:vAlign w:val="bottom"/>
            <w:hideMark/>
          </w:tcPr>
          <w:p w:rsidR="00BD703F" w:rsidRPr="00BD703F" w:rsidRDefault="00BD703F" w:rsidP="00BD703F">
            <w:pPr>
              <w:rPr>
                <w:rFonts w:ascii="Arial" w:eastAsia="Times New Roman" w:hAnsi="Arial" w:cs="Arial"/>
                <w:sz w:val="16"/>
                <w:szCs w:val="16"/>
                <w:lang w:eastAsia="en-AU"/>
              </w:rPr>
            </w:pPr>
            <w:r w:rsidRPr="00BD703F">
              <w:rPr>
                <w:rFonts w:ascii="Arial" w:eastAsia="Times New Roman" w:hAnsi="Arial" w:cs="Arial"/>
                <w:sz w:val="16"/>
                <w:szCs w:val="16"/>
                <w:lang w:eastAsia="en-AU"/>
              </w:rPr>
              <w:t>Department of Education, Skills and Employment</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eastAsia="Times New Roman"/>
                <w:lang w:eastAsia="en-AU"/>
              </w:rPr>
            </w:pPr>
          </w:p>
        </w:tc>
      </w:tr>
      <w:tr w:rsidR="00BD703F" w:rsidRPr="00BD703F" w:rsidTr="00BD703F">
        <w:trPr>
          <w:trHeight w:val="225"/>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r w:rsidRPr="00BD703F">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1,220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3,724 </w:t>
            </w:r>
          </w:p>
        </w:tc>
        <w:tc>
          <w:tcPr>
            <w:tcW w:w="920" w:type="dxa"/>
            <w:tcBorders>
              <w:top w:val="nil"/>
              <w:left w:val="nil"/>
              <w:bottom w:val="nil"/>
              <w:right w:val="nil"/>
            </w:tcBorders>
            <w:shd w:val="clear" w:color="auto" w:fill="auto"/>
            <w:noWrap/>
            <w:vAlign w:val="bottom"/>
            <w:hideMark/>
          </w:tcPr>
          <w:p w:rsidR="00BD703F" w:rsidRPr="00BD703F" w:rsidRDefault="00BD703F" w:rsidP="00BD703F">
            <w:pPr>
              <w:jc w:val="right"/>
              <w:rPr>
                <w:rFonts w:ascii="Arial" w:eastAsia="Times New Roman" w:hAnsi="Arial" w:cs="Arial"/>
                <w:sz w:val="16"/>
                <w:szCs w:val="16"/>
                <w:lang w:eastAsia="en-AU"/>
              </w:rPr>
            </w:pPr>
            <w:r w:rsidRPr="00BD703F">
              <w:rPr>
                <w:rFonts w:ascii="Arial" w:eastAsia="Times New Roman" w:hAnsi="Arial" w:cs="Arial"/>
                <w:sz w:val="16"/>
                <w:szCs w:val="16"/>
                <w:lang w:eastAsia="en-AU"/>
              </w:rPr>
              <w:t xml:space="preserve">6,354 </w:t>
            </w:r>
          </w:p>
        </w:tc>
      </w:tr>
      <w:tr w:rsidR="00BD703F" w:rsidRPr="00BD703F" w:rsidTr="00BD703F">
        <w:trPr>
          <w:trHeight w:val="283"/>
          <w:jc w:val="center"/>
        </w:trPr>
        <w:tc>
          <w:tcPr>
            <w:tcW w:w="232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BD703F" w:rsidRPr="00BD703F" w:rsidRDefault="00BD703F" w:rsidP="00BD703F">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56,976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56,681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63,359 </w:t>
            </w:r>
          </w:p>
        </w:tc>
        <w:tc>
          <w:tcPr>
            <w:tcW w:w="920" w:type="dxa"/>
            <w:tcBorders>
              <w:top w:val="single" w:sz="4" w:space="0" w:color="000000"/>
              <w:left w:val="nil"/>
              <w:bottom w:val="single" w:sz="4" w:space="0" w:color="000000"/>
              <w:right w:val="nil"/>
            </w:tcBorders>
            <w:shd w:val="clear" w:color="auto" w:fill="auto"/>
            <w:noWrap/>
            <w:vAlign w:val="bottom"/>
            <w:hideMark/>
          </w:tcPr>
          <w:p w:rsidR="00BD703F" w:rsidRPr="00BD703F" w:rsidRDefault="00BD703F" w:rsidP="00BD703F">
            <w:pPr>
              <w:jc w:val="right"/>
              <w:rPr>
                <w:rFonts w:ascii="Arial" w:eastAsia="Times New Roman" w:hAnsi="Arial" w:cs="Arial"/>
                <w:b/>
                <w:bCs/>
                <w:sz w:val="16"/>
                <w:szCs w:val="16"/>
                <w:lang w:eastAsia="en-AU"/>
              </w:rPr>
            </w:pPr>
            <w:r w:rsidRPr="00BD703F">
              <w:rPr>
                <w:rFonts w:ascii="Arial" w:eastAsia="Times New Roman" w:hAnsi="Arial" w:cs="Arial"/>
                <w:b/>
                <w:bCs/>
                <w:sz w:val="16"/>
                <w:szCs w:val="16"/>
                <w:lang w:eastAsia="en-AU"/>
              </w:rPr>
              <w:t xml:space="preserve">47,375 </w:t>
            </w:r>
          </w:p>
        </w:tc>
      </w:tr>
    </w:tbl>
    <w:p w:rsidR="00A6223E" w:rsidRDefault="00A6223E" w:rsidP="0079143E">
      <w:pPr>
        <w:pStyle w:val="Tablenumberandreference"/>
        <w:spacing w:after="120"/>
        <w:rPr>
          <w:color w:val="000000"/>
        </w:rPr>
      </w:pPr>
      <w:r>
        <w:rPr>
          <w:color w:val="000000"/>
        </w:rPr>
        <w:br w:type="page"/>
      </w:r>
    </w:p>
    <w:p w:rsidR="00232F9B" w:rsidRDefault="00232F9B" w:rsidP="0079143E">
      <w:pPr>
        <w:pStyle w:val="Tablenumberandreference"/>
        <w:spacing w:after="120"/>
        <w:rPr>
          <w:color w:val="000000"/>
        </w:rPr>
      </w:pPr>
      <w:r w:rsidRPr="00232F9B">
        <w:rPr>
          <w:color w:val="000000"/>
        </w:rPr>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517"/>
        <w:gridCol w:w="438"/>
        <w:gridCol w:w="885"/>
        <w:gridCol w:w="885"/>
        <w:gridCol w:w="885"/>
        <w:gridCol w:w="885"/>
        <w:gridCol w:w="885"/>
      </w:tblGrid>
      <w:tr w:rsidR="00011AF6" w:rsidRPr="00011AF6" w:rsidTr="00011AF6">
        <w:trPr>
          <w:trHeight w:val="340"/>
          <w:jc w:val="center"/>
        </w:trPr>
        <w:tc>
          <w:tcPr>
            <w:tcW w:w="2955" w:type="dxa"/>
            <w:gridSpan w:val="2"/>
            <w:tcBorders>
              <w:top w:val="single" w:sz="4" w:space="0" w:color="000000"/>
              <w:left w:val="nil"/>
              <w:bottom w:val="nil"/>
              <w:right w:val="nil"/>
            </w:tcBorders>
            <w:shd w:val="clear" w:color="auto" w:fill="auto"/>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Outcome/ </w:t>
            </w:r>
            <w:r w:rsidRPr="00011AF6">
              <w:rPr>
                <w:rFonts w:ascii="Arial" w:eastAsia="Times New Roman" w:hAnsi="Arial" w:cs="Arial"/>
                <w:b/>
                <w:bCs/>
                <w:sz w:val="16"/>
                <w:szCs w:val="16"/>
                <w:lang w:eastAsia="en-AU"/>
              </w:rPr>
              <w:br/>
              <w:t>Program</w:t>
            </w:r>
          </w:p>
        </w:tc>
        <w:tc>
          <w:tcPr>
            <w:tcW w:w="885" w:type="dxa"/>
            <w:tcBorders>
              <w:top w:val="single" w:sz="4" w:space="0" w:color="000000"/>
              <w:left w:val="nil"/>
              <w:bottom w:val="single" w:sz="4" w:space="0" w:color="000000"/>
              <w:right w:val="nil"/>
            </w:tcBorders>
            <w:shd w:val="clear" w:color="auto" w:fill="auto"/>
            <w:vAlign w:val="bottom"/>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2021–22</w:t>
            </w:r>
            <w:r w:rsidRPr="00011AF6">
              <w:rPr>
                <w:rFonts w:ascii="Arial" w:eastAsia="Times New Roman" w:hAnsi="Arial" w:cs="Arial"/>
                <w:b/>
                <w:bCs/>
                <w:sz w:val="16"/>
                <w:szCs w:val="16"/>
                <w:lang w:eastAsia="en-AU"/>
              </w:rPr>
              <w:br/>
            </w:r>
            <w:r w:rsidRPr="00011AF6">
              <w:rPr>
                <w:rFonts w:ascii="Arial" w:eastAsia="Times New Roman" w:hAnsi="Arial" w:cs="Arial"/>
                <w:sz w:val="16"/>
                <w:szCs w:val="16"/>
                <w:lang w:eastAsia="en-AU"/>
              </w:rPr>
              <w:t>$'000</w:t>
            </w:r>
          </w:p>
        </w:tc>
        <w:tc>
          <w:tcPr>
            <w:tcW w:w="885" w:type="dxa"/>
            <w:tcBorders>
              <w:top w:val="single" w:sz="4" w:space="0" w:color="000000"/>
              <w:left w:val="nil"/>
              <w:bottom w:val="single" w:sz="4" w:space="0" w:color="000000"/>
              <w:right w:val="nil"/>
            </w:tcBorders>
            <w:shd w:val="clear" w:color="000000" w:fill="D9D9D9"/>
            <w:vAlign w:val="bottom"/>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2022–23</w:t>
            </w:r>
            <w:r w:rsidRPr="00011AF6">
              <w:rPr>
                <w:rFonts w:ascii="Arial" w:eastAsia="Times New Roman" w:hAnsi="Arial" w:cs="Arial"/>
                <w:b/>
                <w:bCs/>
                <w:sz w:val="16"/>
                <w:szCs w:val="16"/>
                <w:lang w:eastAsia="en-AU"/>
              </w:rPr>
              <w:br/>
            </w:r>
            <w:r w:rsidRPr="00011AF6">
              <w:rPr>
                <w:rFonts w:ascii="Arial" w:eastAsia="Times New Roman" w:hAnsi="Arial" w:cs="Arial"/>
                <w:sz w:val="16"/>
                <w:szCs w:val="16"/>
                <w:lang w:eastAsia="en-AU"/>
              </w:rPr>
              <w:t>$'000</w:t>
            </w:r>
          </w:p>
        </w:tc>
        <w:tc>
          <w:tcPr>
            <w:tcW w:w="885" w:type="dxa"/>
            <w:tcBorders>
              <w:top w:val="single" w:sz="4" w:space="0" w:color="000000"/>
              <w:left w:val="nil"/>
              <w:bottom w:val="single" w:sz="4" w:space="0" w:color="000000"/>
              <w:right w:val="nil"/>
            </w:tcBorders>
            <w:shd w:val="clear" w:color="auto" w:fill="auto"/>
            <w:vAlign w:val="bottom"/>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2023–24</w:t>
            </w:r>
            <w:r w:rsidRPr="00011AF6">
              <w:rPr>
                <w:rFonts w:ascii="Arial" w:eastAsia="Times New Roman" w:hAnsi="Arial" w:cs="Arial"/>
                <w:b/>
                <w:bCs/>
                <w:sz w:val="16"/>
                <w:szCs w:val="16"/>
                <w:lang w:eastAsia="en-AU"/>
              </w:rPr>
              <w:br/>
            </w:r>
            <w:r w:rsidRPr="00011AF6">
              <w:rPr>
                <w:rFonts w:ascii="Arial" w:eastAsia="Times New Roman" w:hAnsi="Arial" w:cs="Arial"/>
                <w:sz w:val="16"/>
                <w:szCs w:val="16"/>
                <w:lang w:eastAsia="en-AU"/>
              </w:rPr>
              <w:t>$'000</w:t>
            </w:r>
          </w:p>
        </w:tc>
        <w:tc>
          <w:tcPr>
            <w:tcW w:w="885" w:type="dxa"/>
            <w:tcBorders>
              <w:top w:val="single" w:sz="4" w:space="0" w:color="000000"/>
              <w:left w:val="nil"/>
              <w:bottom w:val="single" w:sz="4" w:space="0" w:color="000000"/>
              <w:right w:val="nil"/>
            </w:tcBorders>
            <w:shd w:val="clear" w:color="auto" w:fill="auto"/>
            <w:vAlign w:val="bottom"/>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2024–25</w:t>
            </w:r>
            <w:r w:rsidRPr="00011AF6">
              <w:rPr>
                <w:rFonts w:ascii="Arial" w:eastAsia="Times New Roman" w:hAnsi="Arial" w:cs="Arial"/>
                <w:b/>
                <w:bCs/>
                <w:sz w:val="16"/>
                <w:szCs w:val="16"/>
                <w:lang w:eastAsia="en-AU"/>
              </w:rPr>
              <w:br/>
            </w:r>
            <w:r w:rsidRPr="00011AF6">
              <w:rPr>
                <w:rFonts w:ascii="Arial" w:eastAsia="Times New Roman" w:hAnsi="Arial" w:cs="Arial"/>
                <w:sz w:val="16"/>
                <w:szCs w:val="16"/>
                <w:lang w:eastAsia="en-AU"/>
              </w:rPr>
              <w:t>$'000</w:t>
            </w:r>
          </w:p>
        </w:tc>
        <w:tc>
          <w:tcPr>
            <w:tcW w:w="885" w:type="dxa"/>
            <w:tcBorders>
              <w:top w:val="single" w:sz="4" w:space="0" w:color="000000"/>
              <w:left w:val="nil"/>
              <w:bottom w:val="single" w:sz="4" w:space="0" w:color="000000"/>
              <w:right w:val="nil"/>
            </w:tcBorders>
            <w:shd w:val="clear" w:color="auto" w:fill="auto"/>
            <w:vAlign w:val="bottom"/>
            <w:hideMark/>
          </w:tcPr>
          <w:p w:rsidR="00011AF6" w:rsidRPr="00011AF6" w:rsidRDefault="00011AF6" w:rsidP="00011AF6">
            <w:pPr>
              <w:spacing w:before="40"/>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2025–26</w:t>
            </w:r>
            <w:r w:rsidRPr="00011AF6">
              <w:rPr>
                <w:rFonts w:ascii="Arial" w:eastAsia="Times New Roman" w:hAnsi="Arial" w:cs="Arial"/>
                <w:b/>
                <w:bCs/>
                <w:sz w:val="16"/>
                <w:szCs w:val="16"/>
                <w:lang w:eastAsia="en-AU"/>
              </w:rPr>
              <w:br/>
            </w:r>
            <w:r w:rsidRPr="00011AF6">
              <w:rPr>
                <w:rFonts w:ascii="Arial" w:eastAsia="Times New Roman" w:hAnsi="Arial" w:cs="Arial"/>
                <w:sz w:val="16"/>
                <w:szCs w:val="16"/>
                <w:lang w:eastAsia="en-AU"/>
              </w:rPr>
              <w:t>$'000</w:t>
            </w:r>
          </w:p>
        </w:tc>
      </w:tr>
      <w:tr w:rsidR="00011AF6" w:rsidRPr="00011AF6" w:rsidTr="00011AF6">
        <w:trPr>
          <w:trHeight w:val="454"/>
          <w:jc w:val="center"/>
        </w:trPr>
        <w:tc>
          <w:tcPr>
            <w:tcW w:w="7380" w:type="dxa"/>
            <w:gridSpan w:val="7"/>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Guaranteeing Medicare — supporting rural health - improved patient access to magnetic resonance imaging</w:t>
            </w:r>
          </w:p>
        </w:tc>
      </w:tr>
      <w:tr w:rsidR="00011AF6" w:rsidRPr="00011AF6" w:rsidTr="00D7327A">
        <w:trPr>
          <w:trHeight w:val="283"/>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2.1</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9,227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17,959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18,665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19,372 </w:t>
            </w:r>
          </w:p>
        </w:tc>
      </w:tr>
      <w:tr w:rsidR="00011AF6" w:rsidRPr="00011AF6" w:rsidTr="00BE0F59">
        <w:trPr>
          <w:trHeight w:val="283"/>
          <w:jc w:val="center"/>
        </w:trPr>
        <w:tc>
          <w:tcPr>
            <w:tcW w:w="2955" w:type="dxa"/>
            <w:gridSpan w:val="2"/>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Department of Veterans' Affairs</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100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188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192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199 </w:t>
            </w:r>
          </w:p>
        </w:tc>
      </w:tr>
      <w:tr w:rsidR="00011AF6" w:rsidRPr="00011AF6" w:rsidTr="00BE0F59">
        <w:trPr>
          <w:trHeight w:val="283"/>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Services Australia</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35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36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37 </w:t>
            </w:r>
          </w:p>
        </w:tc>
      </w:tr>
      <w:tr w:rsidR="00011AF6" w:rsidRPr="00011AF6" w:rsidTr="00011AF6">
        <w:trPr>
          <w:trHeight w:val="283"/>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9,345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18,182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18,893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19,608 </w:t>
            </w:r>
          </w:p>
        </w:tc>
      </w:tr>
      <w:tr w:rsidR="00011AF6" w:rsidRPr="00011AF6" w:rsidTr="00011AF6">
        <w:trPr>
          <w:trHeight w:val="283"/>
          <w:jc w:val="center"/>
        </w:trPr>
        <w:tc>
          <w:tcPr>
            <w:tcW w:w="7380" w:type="dxa"/>
            <w:gridSpan w:val="7"/>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Implementing Sport 2030 — Ensuring the Integrity of Sport</w:t>
            </w:r>
          </w:p>
        </w:tc>
      </w:tr>
      <w:tr w:rsidR="00011AF6" w:rsidRPr="00011AF6" w:rsidTr="00D7327A">
        <w:trPr>
          <w:trHeight w:val="283"/>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Sport Integrity Australia</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4,070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15,364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BE0F59">
        <w:trPr>
          <w:trHeight w:val="397"/>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capital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288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BE0F59">
        <w:trPr>
          <w:trHeight w:val="454"/>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Department of Industry, Science, Energy and Resources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953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6,138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D7327A">
        <w:trPr>
          <w:trHeight w:val="397"/>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capital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20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1,340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011AF6">
        <w:trPr>
          <w:trHeight w:val="283"/>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5,043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23,130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Related receipts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i/>
                <w:iCs/>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r>
      <w:tr w:rsidR="00011AF6" w:rsidRPr="00011AF6" w:rsidTr="00BE0F59">
        <w:trPr>
          <w:trHeight w:val="567"/>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Department of Industry, Science, Energy and Resources</w:t>
            </w:r>
          </w:p>
        </w:tc>
        <w:tc>
          <w:tcPr>
            <w:tcW w:w="438"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 </w:t>
            </w:r>
          </w:p>
        </w:tc>
        <w:tc>
          <w:tcPr>
            <w:tcW w:w="885" w:type="dxa"/>
            <w:tcBorders>
              <w:top w:val="nil"/>
              <w:left w:val="nil"/>
              <w:bottom w:val="single" w:sz="4" w:space="0" w:color="auto"/>
              <w:right w:val="nil"/>
            </w:tcBorders>
            <w:shd w:val="clear" w:color="000000" w:fill="D9D9D9"/>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 </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950 </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 </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 </w:t>
            </w:r>
          </w:p>
        </w:tc>
      </w:tr>
      <w:tr w:rsidR="00011AF6" w:rsidRPr="00011AF6" w:rsidTr="00BE0F59">
        <w:trPr>
          <w:trHeight w:val="454"/>
          <w:jc w:val="center"/>
        </w:trPr>
        <w:tc>
          <w:tcPr>
            <w:tcW w:w="7380" w:type="dxa"/>
            <w:gridSpan w:val="7"/>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Improving Access to Medicines — additional funding for Pharmaceutical Benefits Scheme litigation</w:t>
            </w:r>
            <w:r w:rsidRPr="00011AF6">
              <w:rPr>
                <w:rFonts w:ascii="Arial" w:eastAsia="Times New Roman" w:hAnsi="Arial" w:cs="Arial"/>
                <w:b/>
                <w:bCs/>
                <w:sz w:val="16"/>
                <w:szCs w:val="16"/>
                <w:vertAlign w:val="superscript"/>
                <w:lang w:eastAsia="en-AU"/>
              </w:rPr>
              <w:t xml:space="preserve"> (d)</w:t>
            </w:r>
          </w:p>
        </w:tc>
      </w:tr>
      <w:tr w:rsidR="00011AF6" w:rsidRPr="00011AF6" w:rsidTr="00011AF6">
        <w:trPr>
          <w:trHeight w:val="2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2.3</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nfp</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011AF6">
        <w:trPr>
          <w:trHeight w:val="283"/>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nfp</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 </w:t>
            </w:r>
          </w:p>
        </w:tc>
      </w:tr>
      <w:tr w:rsidR="00011AF6" w:rsidRPr="00011AF6" w:rsidTr="00011AF6">
        <w:trPr>
          <w:trHeight w:val="454"/>
          <w:jc w:val="center"/>
        </w:trPr>
        <w:tc>
          <w:tcPr>
            <w:tcW w:w="7380" w:type="dxa"/>
            <w:gridSpan w:val="7"/>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Improving Access to Medicines — Pharmaceutical Benefits Scheme new and amended listings</w:t>
            </w:r>
          </w:p>
        </w:tc>
      </w:tr>
      <w:tr w:rsidR="00011AF6" w:rsidRPr="00011AF6" w:rsidTr="00011AF6">
        <w:trPr>
          <w:trHeight w:val="2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Department of Health </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2.1</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2,183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8,208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9,495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10,410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10,897 </w:t>
            </w: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2.3</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175,303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600,273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577,654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496,542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508,140 </w:t>
            </w:r>
          </w:p>
        </w:tc>
      </w:tr>
      <w:tr w:rsidR="00011AF6" w:rsidRPr="00011AF6" w:rsidTr="00011AF6">
        <w:trPr>
          <w:trHeight w:val="2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capital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1.8</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36,935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1</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108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D7327A">
        <w:trPr>
          <w:trHeight w:val="4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capital payments</w:t>
            </w:r>
          </w:p>
        </w:tc>
        <w:tc>
          <w:tcPr>
            <w:tcW w:w="438" w:type="dxa"/>
            <w:tcBorders>
              <w:top w:val="nil"/>
              <w:left w:val="nil"/>
              <w:bottom w:val="nil"/>
              <w:right w:val="nil"/>
            </w:tcBorders>
            <w:shd w:val="clear" w:color="auto" w:fill="auto"/>
            <w:noWrap/>
            <w:tcMar>
              <w:left w:w="57" w:type="dxa"/>
            </w:tcMar>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1</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1,170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BE0F59">
        <w:trPr>
          <w:trHeight w:val="283"/>
          <w:jc w:val="center"/>
        </w:trPr>
        <w:tc>
          <w:tcPr>
            <w:tcW w:w="2955" w:type="dxa"/>
            <w:gridSpan w:val="2"/>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Department of Veterans' Affairs</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Administered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2,936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8,665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6,387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3,289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3,591 </w:t>
            </w:r>
          </w:p>
        </w:tc>
      </w:tr>
      <w:tr w:rsidR="00011AF6" w:rsidRPr="00011AF6" w:rsidTr="00BE0F59">
        <w:trPr>
          <w:trHeight w:val="283"/>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rPr>
                <w:rFonts w:ascii="Arial" w:eastAsia="Times New Roman" w:hAnsi="Arial" w:cs="Arial"/>
                <w:sz w:val="16"/>
                <w:szCs w:val="16"/>
                <w:lang w:eastAsia="en-AU"/>
              </w:rPr>
            </w:pPr>
            <w:r w:rsidRPr="00011AF6">
              <w:rPr>
                <w:rFonts w:ascii="Arial" w:eastAsia="Times New Roman" w:hAnsi="Arial" w:cs="Arial"/>
                <w:sz w:val="16"/>
                <w:szCs w:val="16"/>
                <w:lang w:eastAsia="en-AU"/>
              </w:rPr>
              <w:t>Services Australia</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586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3,499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992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169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184 </w:t>
            </w:r>
          </w:p>
        </w:tc>
      </w:tr>
      <w:tr w:rsidR="00011AF6" w:rsidRPr="00011AF6" w:rsidTr="00D7327A">
        <w:trPr>
          <w:trHeight w:val="425"/>
          <w:jc w:val="center"/>
        </w:trPr>
        <w:tc>
          <w:tcPr>
            <w:tcW w:w="2517" w:type="dxa"/>
            <w:tcBorders>
              <w:top w:val="nil"/>
              <w:left w:val="nil"/>
              <w:bottom w:val="nil"/>
              <w:right w:val="nil"/>
            </w:tcBorders>
            <w:shd w:val="clear" w:color="auto" w:fill="auto"/>
            <w:vAlign w:val="bottom"/>
            <w:hideMark/>
          </w:tcPr>
          <w:p w:rsidR="00011AF6" w:rsidRPr="00011AF6" w:rsidRDefault="00011AF6" w:rsidP="00011AF6">
            <w:pPr>
              <w:ind w:leftChars="75" w:left="150"/>
              <w:rPr>
                <w:rFonts w:ascii="Arial" w:eastAsia="Times New Roman" w:hAnsi="Arial" w:cs="Arial"/>
                <w:sz w:val="16"/>
                <w:szCs w:val="16"/>
                <w:lang w:eastAsia="en-AU"/>
              </w:rPr>
            </w:pPr>
            <w:r w:rsidRPr="00011AF6">
              <w:rPr>
                <w:rFonts w:ascii="Arial" w:eastAsia="Times New Roman" w:hAnsi="Arial" w:cs="Arial"/>
                <w:sz w:val="16"/>
                <w:szCs w:val="16"/>
                <w:lang w:eastAsia="en-AU"/>
              </w:rPr>
              <w:t>Departmental capital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3,964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99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sz w:val="16"/>
                <w:szCs w:val="16"/>
                <w:lang w:eastAsia="en-AU"/>
              </w:rPr>
            </w:pPr>
            <w:r w:rsidRPr="00011AF6">
              <w:rPr>
                <w:rFonts w:ascii="Arial" w:eastAsia="Times New Roman" w:hAnsi="Arial" w:cs="Arial"/>
                <w:sz w:val="16"/>
                <w:szCs w:val="16"/>
                <w:lang w:eastAsia="en-AU"/>
              </w:rPr>
              <w:t xml:space="preserve">- </w:t>
            </w:r>
          </w:p>
        </w:tc>
      </w:tr>
      <w:tr w:rsidR="00011AF6" w:rsidRPr="00011AF6" w:rsidTr="00011AF6">
        <w:trPr>
          <w:trHeight w:val="283"/>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Total payments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rPr>
                <w:rFonts w:ascii="Arial" w:eastAsia="Times New Roman" w:hAnsi="Arial" w:cs="Arial"/>
                <w:b/>
                <w:bCs/>
                <w:sz w:val="16"/>
                <w:szCs w:val="16"/>
                <w:lang w:eastAsia="en-AU"/>
              </w:rPr>
            </w:pP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181,008 </w:t>
            </w:r>
          </w:p>
        </w:tc>
        <w:tc>
          <w:tcPr>
            <w:tcW w:w="885" w:type="dxa"/>
            <w:tcBorders>
              <w:top w:val="single" w:sz="4" w:space="0" w:color="000000"/>
              <w:left w:val="nil"/>
              <w:bottom w:val="single" w:sz="4" w:space="0" w:color="000000"/>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662,822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594,627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510,410 </w:t>
            </w:r>
          </w:p>
        </w:tc>
        <w:tc>
          <w:tcPr>
            <w:tcW w:w="885" w:type="dxa"/>
            <w:tcBorders>
              <w:top w:val="single" w:sz="4" w:space="0" w:color="000000"/>
              <w:left w:val="nil"/>
              <w:bottom w:val="single" w:sz="4" w:space="0" w:color="000000"/>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xml:space="preserve">522,812 </w:t>
            </w: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Related receipts</w:t>
            </w:r>
          </w:p>
        </w:tc>
        <w:tc>
          <w:tcPr>
            <w:tcW w:w="438" w:type="dxa"/>
            <w:tcBorders>
              <w:top w:val="nil"/>
              <w:left w:val="nil"/>
              <w:bottom w:val="nil"/>
              <w:right w:val="nil"/>
            </w:tcBorders>
            <w:shd w:val="clear" w:color="auto" w:fill="auto"/>
            <w:noWrap/>
            <w:vAlign w:val="bottom"/>
            <w:hideMark/>
          </w:tcPr>
          <w:p w:rsidR="00011AF6" w:rsidRPr="00011AF6" w:rsidRDefault="00011AF6" w:rsidP="00011AF6">
            <w:pPr>
              <w:ind w:firstLineChars="100" w:firstLine="160"/>
              <w:rPr>
                <w:rFonts w:ascii="Arial" w:eastAsia="Times New Roman" w:hAnsi="Arial" w:cs="Arial"/>
                <w:i/>
                <w:iCs/>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000000" w:fill="D9D9D9"/>
            <w:noWrap/>
            <w:vAlign w:val="bottom"/>
            <w:hideMark/>
          </w:tcPr>
          <w:p w:rsidR="00011AF6" w:rsidRPr="00011AF6" w:rsidRDefault="00011AF6" w:rsidP="00011AF6">
            <w:pPr>
              <w:jc w:val="right"/>
              <w:rPr>
                <w:rFonts w:ascii="Arial" w:eastAsia="Times New Roman" w:hAnsi="Arial" w:cs="Arial"/>
                <w:b/>
                <w:bCs/>
                <w:sz w:val="16"/>
                <w:szCs w:val="16"/>
                <w:lang w:eastAsia="en-AU"/>
              </w:rPr>
            </w:pPr>
            <w:r w:rsidRPr="00011AF6">
              <w:rPr>
                <w:rFonts w:ascii="Arial" w:eastAsia="Times New Roman" w:hAnsi="Arial" w:cs="Arial"/>
                <w:b/>
                <w:bCs/>
                <w:sz w:val="16"/>
                <w:szCs w:val="16"/>
                <w:lang w:eastAsia="en-AU"/>
              </w:rPr>
              <w:t> </w:t>
            </w: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ascii="Arial" w:eastAsia="Times New Roman" w:hAnsi="Arial" w:cs="Arial"/>
                <w:b/>
                <w:bCs/>
                <w:sz w:val="16"/>
                <w:szCs w:val="16"/>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c>
          <w:tcPr>
            <w:tcW w:w="885" w:type="dxa"/>
            <w:tcBorders>
              <w:top w:val="nil"/>
              <w:left w:val="nil"/>
              <w:bottom w:val="nil"/>
              <w:right w:val="nil"/>
            </w:tcBorders>
            <w:shd w:val="clear" w:color="auto" w:fill="auto"/>
            <w:noWrap/>
            <w:vAlign w:val="bottom"/>
            <w:hideMark/>
          </w:tcPr>
          <w:p w:rsidR="00011AF6" w:rsidRPr="00011AF6" w:rsidRDefault="00011AF6" w:rsidP="00011AF6">
            <w:pPr>
              <w:jc w:val="right"/>
              <w:rPr>
                <w:rFonts w:eastAsia="Times New Roman"/>
                <w:lang w:eastAsia="en-AU"/>
              </w:rPr>
            </w:pPr>
          </w:p>
        </w:tc>
      </w:tr>
      <w:tr w:rsidR="00011AF6" w:rsidRPr="00011AF6" w:rsidTr="00011AF6">
        <w:trPr>
          <w:trHeight w:val="225"/>
          <w:jc w:val="center"/>
        </w:trPr>
        <w:tc>
          <w:tcPr>
            <w:tcW w:w="2517" w:type="dxa"/>
            <w:tcBorders>
              <w:top w:val="nil"/>
              <w:left w:val="nil"/>
              <w:bottom w:val="nil"/>
              <w:right w:val="nil"/>
            </w:tcBorders>
            <w:shd w:val="clear" w:color="auto" w:fill="auto"/>
            <w:noWrap/>
            <w:vAlign w:val="bottom"/>
            <w:hideMark/>
          </w:tcPr>
          <w:p w:rsidR="00011AF6" w:rsidRPr="00011AF6" w:rsidRDefault="00011AF6" w:rsidP="00011AF6">
            <w:pPr>
              <w:ind w:leftChars="75" w:left="150"/>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xml:space="preserve">Department of Health </w:t>
            </w:r>
          </w:p>
        </w:tc>
        <w:tc>
          <w:tcPr>
            <w:tcW w:w="438"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 </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nfp</w:t>
            </w:r>
          </w:p>
        </w:tc>
        <w:tc>
          <w:tcPr>
            <w:tcW w:w="885" w:type="dxa"/>
            <w:tcBorders>
              <w:top w:val="nil"/>
              <w:left w:val="nil"/>
              <w:bottom w:val="single" w:sz="4" w:space="0" w:color="auto"/>
              <w:right w:val="nil"/>
            </w:tcBorders>
            <w:shd w:val="clear" w:color="000000" w:fill="D9D9D9"/>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nfp</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nfp</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nfp</w:t>
            </w:r>
          </w:p>
        </w:tc>
        <w:tc>
          <w:tcPr>
            <w:tcW w:w="885" w:type="dxa"/>
            <w:tcBorders>
              <w:top w:val="nil"/>
              <w:left w:val="nil"/>
              <w:bottom w:val="single" w:sz="4" w:space="0" w:color="auto"/>
              <w:right w:val="nil"/>
            </w:tcBorders>
            <w:shd w:val="clear" w:color="auto" w:fill="auto"/>
            <w:noWrap/>
            <w:vAlign w:val="bottom"/>
            <w:hideMark/>
          </w:tcPr>
          <w:p w:rsidR="00011AF6" w:rsidRPr="00011AF6" w:rsidRDefault="00011AF6" w:rsidP="00011AF6">
            <w:pPr>
              <w:jc w:val="right"/>
              <w:rPr>
                <w:rFonts w:ascii="Arial" w:eastAsia="Times New Roman" w:hAnsi="Arial" w:cs="Arial"/>
                <w:i/>
                <w:iCs/>
                <w:sz w:val="16"/>
                <w:szCs w:val="16"/>
                <w:lang w:eastAsia="en-AU"/>
              </w:rPr>
            </w:pPr>
            <w:r w:rsidRPr="00011AF6">
              <w:rPr>
                <w:rFonts w:ascii="Arial" w:eastAsia="Times New Roman" w:hAnsi="Arial" w:cs="Arial"/>
                <w:i/>
                <w:iCs/>
                <w:sz w:val="16"/>
                <w:szCs w:val="16"/>
                <w:lang w:eastAsia="en-AU"/>
              </w:rPr>
              <w:t>nfp</w:t>
            </w:r>
          </w:p>
        </w:tc>
      </w:tr>
    </w:tbl>
    <w:p w:rsidR="00C069E9" w:rsidRDefault="00C069E9">
      <w:pPr>
        <w:rPr>
          <w:rFonts w:ascii="Arial" w:eastAsia="Times New Roman" w:hAnsi="Arial" w:cs="Arial"/>
          <w:b/>
          <w:color w:val="000000"/>
          <w:szCs w:val="18"/>
        </w:rPr>
      </w:pPr>
      <w:r>
        <w:rPr>
          <w:color w:val="000000"/>
        </w:rPr>
        <w:br w:type="page"/>
      </w:r>
    </w:p>
    <w:p w:rsidR="00232F9B" w:rsidRDefault="00232F9B" w:rsidP="0079143E">
      <w:pPr>
        <w:pStyle w:val="Tablenumberandreference"/>
        <w:spacing w:after="120"/>
        <w:rPr>
          <w:color w:val="000000"/>
        </w:rPr>
      </w:pPr>
      <w:r w:rsidRPr="00232F9B">
        <w:rPr>
          <w:color w:val="000000"/>
        </w:rPr>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rPr>
          <w:color w:val="000000"/>
        </w:rPr>
        <w:t xml:space="preserve"> </w:t>
      </w:r>
      <w:r w:rsidRPr="00232F9B">
        <w:rPr>
          <w:color w:val="000000"/>
        </w:rPr>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320"/>
        <w:gridCol w:w="460"/>
        <w:gridCol w:w="920"/>
        <w:gridCol w:w="920"/>
        <w:gridCol w:w="920"/>
        <w:gridCol w:w="920"/>
        <w:gridCol w:w="920"/>
      </w:tblGrid>
      <w:tr w:rsidR="004745C1" w:rsidRPr="004745C1" w:rsidTr="004745C1">
        <w:trPr>
          <w:trHeight w:val="340"/>
          <w:jc w:val="center"/>
        </w:trPr>
        <w:tc>
          <w:tcPr>
            <w:tcW w:w="2780" w:type="dxa"/>
            <w:gridSpan w:val="2"/>
            <w:tcBorders>
              <w:top w:val="single" w:sz="4" w:space="0" w:color="000000"/>
              <w:left w:val="nil"/>
              <w:bottom w:val="nil"/>
              <w:right w:val="nil"/>
            </w:tcBorders>
            <w:shd w:val="clear" w:color="auto" w:fill="auto"/>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Outcome/ </w:t>
            </w:r>
            <w:r w:rsidRPr="004745C1">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2021–22</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2022–23</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2023–24</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2024–25</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2025–26</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International Sporting Events and Community Sport Participation</w:t>
            </w:r>
            <w:r w:rsidRPr="004745C1">
              <w:rPr>
                <w:rFonts w:ascii="Arial" w:eastAsia="Times New Roman" w:hAnsi="Arial" w:cs="Arial"/>
                <w:b/>
                <w:bCs/>
                <w:sz w:val="16"/>
                <w:szCs w:val="16"/>
                <w:vertAlign w:val="superscript"/>
                <w:lang w:eastAsia="en-AU"/>
              </w:rPr>
              <w:t xml:space="preserve"> (c)</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4.1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300"/>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Australian Sports Commission</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27,575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47,080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23,441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capital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2,466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30,041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47,080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23,441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r>
      <w:tr w:rsidR="004745C1" w:rsidRPr="004745C1" w:rsidTr="004745C1">
        <w:trPr>
          <w:trHeight w:val="454"/>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Life Saving and Job Creating Medical Research — investing in medical research and technology</w:t>
            </w:r>
            <w:r w:rsidRPr="004745C1">
              <w:rPr>
                <w:rFonts w:ascii="Arial" w:eastAsia="Times New Roman" w:hAnsi="Arial" w:cs="Arial"/>
                <w:b/>
                <w:bCs/>
                <w:sz w:val="16"/>
                <w:szCs w:val="16"/>
                <w:vertAlign w:val="superscript"/>
                <w:lang w:eastAsia="en-AU"/>
              </w:rPr>
              <w:t xml:space="preserve"> (c)</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capital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mRNA Vaccine Manufacturing</w:t>
            </w:r>
            <w:r w:rsidRPr="004745C1">
              <w:rPr>
                <w:rFonts w:ascii="Arial" w:eastAsia="Times New Roman" w:hAnsi="Arial" w:cs="Arial"/>
                <w:b/>
                <w:bCs/>
                <w:sz w:val="16"/>
                <w:szCs w:val="16"/>
                <w:vertAlign w:val="superscript"/>
                <w:lang w:eastAsia="en-AU"/>
              </w:rPr>
              <w:t xml:space="preserve"> (d) (e)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r>
      <w:tr w:rsidR="004745C1" w:rsidRPr="004745C1" w:rsidTr="004745C1">
        <w:trPr>
          <w:trHeight w:val="59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Industry, Science, Energy and Resources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Related receipts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 xml:space="preserve">Department of Health </w:t>
            </w:r>
          </w:p>
        </w:tc>
        <w:tc>
          <w:tcPr>
            <w:tcW w:w="460" w:type="dxa"/>
            <w:tcBorders>
              <w:top w:val="nil"/>
              <w:left w:val="nil"/>
              <w:bottom w:val="single" w:sz="4" w:space="0" w:color="auto"/>
              <w:right w:val="nil"/>
            </w:tcBorders>
            <w:shd w:val="clear" w:color="auto" w:fill="auto"/>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 </w:t>
            </w:r>
          </w:p>
        </w:tc>
        <w:tc>
          <w:tcPr>
            <w:tcW w:w="920" w:type="dxa"/>
            <w:tcBorders>
              <w:top w:val="nil"/>
              <w:left w:val="nil"/>
              <w:bottom w:val="single" w:sz="4" w:space="0" w:color="auto"/>
              <w:right w:val="nil"/>
            </w:tcBorders>
            <w:shd w:val="clear" w:color="auto" w:fill="auto"/>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nfp</w:t>
            </w:r>
          </w:p>
        </w:tc>
        <w:tc>
          <w:tcPr>
            <w:tcW w:w="920" w:type="dxa"/>
            <w:tcBorders>
              <w:top w:val="nil"/>
              <w:left w:val="nil"/>
              <w:bottom w:val="single" w:sz="4" w:space="0" w:color="auto"/>
              <w:right w:val="nil"/>
            </w:tcBorders>
            <w:shd w:val="clear" w:color="000000" w:fill="D9D9D9"/>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nfp</w:t>
            </w:r>
          </w:p>
        </w:tc>
        <w:tc>
          <w:tcPr>
            <w:tcW w:w="920" w:type="dxa"/>
            <w:tcBorders>
              <w:top w:val="nil"/>
              <w:left w:val="nil"/>
              <w:bottom w:val="single" w:sz="4" w:space="0" w:color="auto"/>
              <w:right w:val="nil"/>
            </w:tcBorders>
            <w:shd w:val="clear" w:color="auto" w:fill="auto"/>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nfp</w:t>
            </w:r>
          </w:p>
        </w:tc>
        <w:tc>
          <w:tcPr>
            <w:tcW w:w="920" w:type="dxa"/>
            <w:tcBorders>
              <w:top w:val="nil"/>
              <w:left w:val="nil"/>
              <w:bottom w:val="single" w:sz="4" w:space="0" w:color="auto"/>
              <w:right w:val="nil"/>
            </w:tcBorders>
            <w:shd w:val="clear" w:color="auto" w:fill="auto"/>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nfp</w:t>
            </w:r>
          </w:p>
        </w:tc>
        <w:tc>
          <w:tcPr>
            <w:tcW w:w="920" w:type="dxa"/>
            <w:tcBorders>
              <w:top w:val="nil"/>
              <w:left w:val="nil"/>
              <w:bottom w:val="single" w:sz="4" w:space="0" w:color="auto"/>
              <w:right w:val="nil"/>
            </w:tcBorders>
            <w:shd w:val="clear" w:color="auto" w:fill="auto"/>
            <w:noWrap/>
            <w:vAlign w:val="bottom"/>
            <w:hideMark/>
          </w:tcPr>
          <w:p w:rsidR="004745C1" w:rsidRPr="004745C1" w:rsidRDefault="004745C1" w:rsidP="004745C1">
            <w:pPr>
              <w:jc w:val="right"/>
              <w:rPr>
                <w:rFonts w:ascii="Arial" w:eastAsia="Times New Roman" w:hAnsi="Arial" w:cs="Arial"/>
                <w:i/>
                <w:iCs/>
                <w:sz w:val="16"/>
                <w:szCs w:val="16"/>
                <w:lang w:eastAsia="en-AU"/>
              </w:rPr>
            </w:pPr>
            <w:r w:rsidRPr="004745C1">
              <w:rPr>
                <w:rFonts w:ascii="Arial" w:eastAsia="Times New Roman" w:hAnsi="Arial" w:cs="Arial"/>
                <w:i/>
                <w:iCs/>
                <w:sz w:val="16"/>
                <w:szCs w:val="16"/>
                <w:lang w:eastAsia="en-AU"/>
              </w:rPr>
              <w:t>nfp</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Pharmaceutical Benefits Scheme – lowering the Safety Net threshold</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121,129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124,763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128,506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132,361 </w:t>
            </w:r>
          </w:p>
        </w:tc>
      </w:tr>
      <w:tr w:rsidR="004745C1" w:rsidRPr="004745C1" w:rsidTr="004C7F94">
        <w:trPr>
          <w:trHeight w:val="397"/>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Veterans' Affairs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3,402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3,505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3,610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3,718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1,051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1,073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1,095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1,117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125,582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129,341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133,211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137,196 </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Preventive Health</w:t>
            </w:r>
            <w:r w:rsidRPr="004745C1">
              <w:rPr>
                <w:rFonts w:ascii="Arial" w:eastAsia="Times New Roman" w:hAnsi="Arial" w:cs="Arial"/>
                <w:b/>
                <w:bCs/>
                <w:sz w:val="16"/>
                <w:szCs w:val="16"/>
                <w:vertAlign w:val="superscript"/>
                <w:lang w:eastAsia="en-AU"/>
              </w:rPr>
              <w:t xml:space="preserve"> (c)</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2,000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1.5</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23,995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33,086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12,671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2,668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4,193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4,780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4,995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4,880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293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232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97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477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322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1,950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7,750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C7F94">
            <w:pPr>
              <w:ind w:leftChars="75" w:left="15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753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33,661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46,170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17,763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7,548 </w:t>
            </w:r>
          </w:p>
        </w:tc>
      </w:tr>
    </w:tbl>
    <w:p w:rsidR="00232F9B" w:rsidRDefault="00232F9B" w:rsidP="0079143E">
      <w:pPr>
        <w:pStyle w:val="Tablenumberandreference"/>
        <w:spacing w:after="120"/>
      </w:pPr>
      <w:r w:rsidRPr="00232F9B">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t xml:space="preserve"> </w:t>
      </w:r>
      <w:r w:rsidRPr="00232F9B">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w:tblPr>
      <w:tblGrid>
        <w:gridCol w:w="2320"/>
        <w:gridCol w:w="460"/>
        <w:gridCol w:w="920"/>
        <w:gridCol w:w="920"/>
        <w:gridCol w:w="920"/>
        <w:gridCol w:w="920"/>
        <w:gridCol w:w="920"/>
      </w:tblGrid>
      <w:tr w:rsidR="004745C1" w:rsidRPr="004745C1" w:rsidTr="004745C1">
        <w:trPr>
          <w:trHeight w:val="340"/>
          <w:jc w:val="center"/>
        </w:trPr>
        <w:tc>
          <w:tcPr>
            <w:tcW w:w="2780" w:type="dxa"/>
            <w:gridSpan w:val="2"/>
            <w:tcBorders>
              <w:top w:val="single" w:sz="4" w:space="0" w:color="000000"/>
              <w:left w:val="nil"/>
              <w:bottom w:val="nil"/>
              <w:right w:val="nil"/>
            </w:tcBorders>
            <w:shd w:val="clear" w:color="auto" w:fill="auto"/>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Outcome/ </w:t>
            </w:r>
            <w:r w:rsidRPr="004745C1">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2021–22</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2022–23</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2023–24</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2024–25</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4745C1" w:rsidRPr="004745C1" w:rsidRDefault="004745C1" w:rsidP="004745C1">
            <w:pPr>
              <w:spacing w:before="40"/>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2025–26</w:t>
            </w:r>
            <w:r w:rsidRPr="004745C1">
              <w:rPr>
                <w:rFonts w:ascii="Arial" w:eastAsia="Times New Roman" w:hAnsi="Arial" w:cs="Arial"/>
                <w:b/>
                <w:bCs/>
                <w:sz w:val="16"/>
                <w:szCs w:val="16"/>
                <w:lang w:eastAsia="en-AU"/>
              </w:rPr>
              <w:br/>
            </w:r>
            <w:r w:rsidRPr="004745C1">
              <w:rPr>
                <w:rFonts w:ascii="Arial" w:eastAsia="Times New Roman" w:hAnsi="Arial" w:cs="Arial"/>
                <w:sz w:val="16"/>
                <w:szCs w:val="16"/>
                <w:lang w:eastAsia="en-AU"/>
              </w:rPr>
              <w:t>$'000</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Preventive Health — National Preventive Health Strategy 2021-2030</w:t>
            </w:r>
            <w:r w:rsidRPr="004745C1">
              <w:rPr>
                <w:rFonts w:ascii="Arial" w:eastAsia="Times New Roman" w:hAnsi="Arial" w:cs="Arial"/>
                <w:b/>
                <w:bCs/>
                <w:sz w:val="16"/>
                <w:szCs w:val="16"/>
                <w:vertAlign w:val="superscript"/>
                <w:lang w:eastAsia="en-AU"/>
              </w:rPr>
              <w:t xml:space="preserve"> (b)</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1.5</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6,172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5,504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5,333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2,093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8,600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345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6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15,117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5,513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5,343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2,099 </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Prioritising Mental Health</w:t>
            </w:r>
            <w:r w:rsidRPr="004745C1">
              <w:rPr>
                <w:rFonts w:ascii="Arial" w:eastAsia="Times New Roman" w:hAnsi="Arial" w:cs="Arial"/>
                <w:b/>
                <w:bCs/>
                <w:sz w:val="16"/>
                <w:szCs w:val="16"/>
                <w:vertAlign w:val="superscript"/>
                <w:lang w:eastAsia="en-AU"/>
              </w:rPr>
              <w:t xml:space="preserve"> (c)</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8,262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1.2</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10,100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93,913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77,303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41,544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24,067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1.4</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9,562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9,714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9,337 </w:t>
            </w: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908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754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5,191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5,750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6,157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2,990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1,783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1,130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214 </w:t>
            </w:r>
          </w:p>
        </w:tc>
      </w:tr>
      <w:tr w:rsidR="004745C1" w:rsidRPr="004745C1" w:rsidTr="004745C1">
        <w:trPr>
          <w:trHeight w:val="4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Australian Public Service Commission</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4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Education, Skills and Employment</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Defence</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(8,262)</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4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Department of Veterans' Affairs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111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124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133 </w:t>
            </w:r>
          </w:p>
        </w:tc>
      </w:tr>
      <w:tr w:rsidR="004745C1" w:rsidRPr="004745C1" w:rsidTr="004745C1">
        <w:trPr>
          <w:trHeight w:val="4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National Indigenous Australians Agency</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440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442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446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64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1,013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19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21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22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11,072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99,110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94,411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58,729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39,930 </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Rugby World Cup 2027 (men's) and Rugby World Cup 2029 (women's) </w:t>
            </w:r>
            <w:r w:rsidRPr="004745C1">
              <w:rPr>
                <w:rFonts w:ascii="Arial" w:eastAsia="Times New Roman" w:hAnsi="Arial" w:cs="Arial"/>
                <w:b/>
                <w:bCs/>
                <w:sz w:val="16"/>
                <w:szCs w:val="16"/>
                <w:vertAlign w:val="superscript"/>
                <w:lang w:eastAsia="en-AU"/>
              </w:rPr>
              <w:t>(d)</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4.1</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nfp</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nfp</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Scholarships for Our Medical Workforce </w:t>
            </w:r>
            <w:r w:rsidRPr="004745C1">
              <w:rPr>
                <w:rFonts w:ascii="Arial" w:eastAsia="Times New Roman" w:hAnsi="Arial" w:cs="Arial"/>
                <w:b/>
                <w:bCs/>
                <w:sz w:val="16"/>
                <w:szCs w:val="16"/>
                <w:vertAlign w:val="superscript"/>
                <w:lang w:eastAsia="en-AU"/>
              </w:rPr>
              <w:t>(b)</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1.3</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6,900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7,010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6,900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7,010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r>
      <w:tr w:rsidR="004745C1" w:rsidRPr="004745C1" w:rsidTr="004745C1">
        <w:trPr>
          <w:trHeight w:val="283"/>
          <w:jc w:val="center"/>
        </w:trPr>
        <w:tc>
          <w:tcPr>
            <w:tcW w:w="7380" w:type="dxa"/>
            <w:gridSpan w:val="7"/>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Strengthening Primary Care — National Dust Disease Taskforce</w:t>
            </w:r>
            <w:r w:rsidRPr="004745C1">
              <w:rPr>
                <w:rFonts w:ascii="Arial" w:eastAsia="Times New Roman" w:hAnsi="Arial" w:cs="Arial"/>
                <w:b/>
                <w:bCs/>
                <w:sz w:val="16"/>
                <w:szCs w:val="16"/>
                <w:vertAlign w:val="superscript"/>
                <w:lang w:eastAsia="en-AU"/>
              </w:rPr>
              <w:t xml:space="preserve"> (e)</w:t>
            </w:r>
          </w:p>
        </w:tc>
      </w:tr>
      <w:tr w:rsidR="004745C1" w:rsidRPr="004745C1" w:rsidTr="004745C1">
        <w:trPr>
          <w:trHeight w:val="225"/>
          <w:jc w:val="center"/>
        </w:trPr>
        <w:tc>
          <w:tcPr>
            <w:tcW w:w="2320" w:type="dxa"/>
            <w:tcBorders>
              <w:top w:val="nil"/>
              <w:left w:val="nil"/>
              <w:bottom w:val="nil"/>
              <w:right w:val="nil"/>
            </w:tcBorders>
            <w:shd w:val="clear" w:color="auto" w:fill="auto"/>
            <w:vAlign w:val="bottom"/>
            <w:hideMark/>
          </w:tcPr>
          <w:p w:rsidR="004745C1" w:rsidRPr="004745C1" w:rsidRDefault="004745C1" w:rsidP="004745C1">
            <w:pPr>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eastAsia="Times New Roman"/>
                <w:lang w:eastAsia="en-AU"/>
              </w:rPr>
            </w:pPr>
          </w:p>
        </w:tc>
      </w:tr>
      <w:tr w:rsidR="004745C1" w:rsidRPr="004745C1" w:rsidTr="004745C1">
        <w:trPr>
          <w:trHeight w:val="225"/>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ind w:firstLineChars="100" w:firstLine="160"/>
              <w:rPr>
                <w:rFonts w:ascii="Arial" w:eastAsia="Times New Roman" w:hAnsi="Arial" w:cs="Arial"/>
                <w:sz w:val="16"/>
                <w:szCs w:val="16"/>
                <w:lang w:eastAsia="en-AU"/>
              </w:rPr>
            </w:pPr>
            <w:r w:rsidRPr="004745C1">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4745C1" w:rsidRPr="004745C1" w:rsidRDefault="004745C1" w:rsidP="004745C1">
            <w:pPr>
              <w:jc w:val="right"/>
              <w:rPr>
                <w:rFonts w:ascii="Arial" w:eastAsia="Times New Roman" w:hAnsi="Arial" w:cs="Arial"/>
                <w:sz w:val="16"/>
                <w:szCs w:val="16"/>
                <w:lang w:eastAsia="en-AU"/>
              </w:rPr>
            </w:pPr>
            <w:r w:rsidRPr="004745C1">
              <w:rPr>
                <w:rFonts w:ascii="Arial" w:eastAsia="Times New Roman" w:hAnsi="Arial" w:cs="Arial"/>
                <w:sz w:val="16"/>
                <w:szCs w:val="16"/>
                <w:lang w:eastAsia="en-AU"/>
              </w:rPr>
              <w:t xml:space="preserve">- </w:t>
            </w:r>
          </w:p>
        </w:tc>
      </w:tr>
      <w:tr w:rsidR="004745C1" w:rsidRPr="004745C1" w:rsidTr="004745C1">
        <w:trPr>
          <w:trHeight w:val="283"/>
          <w:jc w:val="center"/>
        </w:trPr>
        <w:tc>
          <w:tcPr>
            <w:tcW w:w="232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4745C1" w:rsidRPr="004745C1" w:rsidRDefault="004745C1" w:rsidP="004745C1">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745C1" w:rsidRPr="004745C1" w:rsidRDefault="004745C1" w:rsidP="004745C1">
            <w:pPr>
              <w:jc w:val="right"/>
              <w:rPr>
                <w:rFonts w:ascii="Arial" w:eastAsia="Times New Roman" w:hAnsi="Arial" w:cs="Arial"/>
                <w:b/>
                <w:bCs/>
                <w:sz w:val="16"/>
                <w:szCs w:val="16"/>
                <w:lang w:eastAsia="en-AU"/>
              </w:rPr>
            </w:pPr>
            <w:r w:rsidRPr="004745C1">
              <w:rPr>
                <w:rFonts w:ascii="Arial" w:eastAsia="Times New Roman" w:hAnsi="Arial" w:cs="Arial"/>
                <w:b/>
                <w:bCs/>
                <w:sz w:val="16"/>
                <w:szCs w:val="16"/>
                <w:lang w:eastAsia="en-AU"/>
              </w:rPr>
              <w:t xml:space="preserve">- </w:t>
            </w:r>
          </w:p>
        </w:tc>
      </w:tr>
    </w:tbl>
    <w:p w:rsidR="00A6223E" w:rsidRDefault="00A6223E" w:rsidP="00A6223E">
      <w:pPr>
        <w:rPr>
          <w:rFonts w:ascii="Arial" w:eastAsia="Times New Roman" w:hAnsi="Arial" w:cs="Arial"/>
          <w:szCs w:val="18"/>
        </w:rPr>
      </w:pPr>
      <w:r>
        <w:br w:type="page"/>
      </w:r>
    </w:p>
    <w:p w:rsidR="00232F9B" w:rsidRDefault="00232F9B" w:rsidP="0079143E">
      <w:pPr>
        <w:pStyle w:val="Tablenumberandreference"/>
        <w:spacing w:after="120"/>
      </w:pPr>
      <w:r w:rsidRPr="00232F9B">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t xml:space="preserve"> </w:t>
      </w:r>
      <w:r w:rsidRPr="00232F9B">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and whole of government measures since the 2021-22 MYEFO update"/>
      </w:tblPr>
      <w:tblGrid>
        <w:gridCol w:w="2320"/>
        <w:gridCol w:w="460"/>
        <w:gridCol w:w="920"/>
        <w:gridCol w:w="920"/>
        <w:gridCol w:w="920"/>
        <w:gridCol w:w="920"/>
        <w:gridCol w:w="920"/>
      </w:tblGrid>
      <w:tr w:rsidR="00D042CA" w:rsidRPr="00D042CA" w:rsidTr="00D042CA">
        <w:trPr>
          <w:trHeight w:val="340"/>
          <w:jc w:val="center"/>
        </w:trPr>
        <w:tc>
          <w:tcPr>
            <w:tcW w:w="2780" w:type="dxa"/>
            <w:gridSpan w:val="2"/>
            <w:tcBorders>
              <w:top w:val="single" w:sz="4" w:space="0" w:color="000000"/>
              <w:left w:val="nil"/>
              <w:bottom w:val="nil"/>
              <w:right w:val="nil"/>
            </w:tcBorders>
            <w:shd w:val="clear" w:color="auto" w:fill="auto"/>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Outcome/ </w:t>
            </w:r>
            <w:r w:rsidRPr="00D042CA">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2021–22</w:t>
            </w:r>
            <w:r w:rsidRPr="00D042CA">
              <w:rPr>
                <w:rFonts w:ascii="Arial" w:eastAsia="Times New Roman" w:hAnsi="Arial" w:cs="Arial"/>
                <w:b/>
                <w:bCs/>
                <w:sz w:val="16"/>
                <w:szCs w:val="16"/>
                <w:lang w:eastAsia="en-AU"/>
              </w:rPr>
              <w:br/>
            </w:r>
            <w:r w:rsidRPr="00D042C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2022–23</w:t>
            </w:r>
            <w:r w:rsidRPr="00D042CA">
              <w:rPr>
                <w:rFonts w:ascii="Arial" w:eastAsia="Times New Roman" w:hAnsi="Arial" w:cs="Arial"/>
                <w:b/>
                <w:bCs/>
                <w:sz w:val="16"/>
                <w:szCs w:val="16"/>
                <w:lang w:eastAsia="en-AU"/>
              </w:rPr>
              <w:br/>
            </w:r>
            <w:r w:rsidRPr="00D042C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2023–24</w:t>
            </w:r>
            <w:r w:rsidRPr="00D042CA">
              <w:rPr>
                <w:rFonts w:ascii="Arial" w:eastAsia="Times New Roman" w:hAnsi="Arial" w:cs="Arial"/>
                <w:b/>
                <w:bCs/>
                <w:sz w:val="16"/>
                <w:szCs w:val="16"/>
                <w:lang w:eastAsia="en-AU"/>
              </w:rPr>
              <w:br/>
            </w:r>
            <w:r w:rsidRPr="00D042C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2024–25</w:t>
            </w:r>
            <w:r w:rsidRPr="00D042CA">
              <w:rPr>
                <w:rFonts w:ascii="Arial" w:eastAsia="Times New Roman" w:hAnsi="Arial" w:cs="Arial"/>
                <w:b/>
                <w:bCs/>
                <w:sz w:val="16"/>
                <w:szCs w:val="16"/>
                <w:lang w:eastAsia="en-AU"/>
              </w:rPr>
              <w:br/>
            </w:r>
            <w:r w:rsidRPr="00D042CA">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D042CA" w:rsidRPr="00D042CA" w:rsidRDefault="00D042CA" w:rsidP="00D042CA">
            <w:pPr>
              <w:spacing w:before="40"/>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2025–26</w:t>
            </w:r>
            <w:r w:rsidRPr="00D042CA">
              <w:rPr>
                <w:rFonts w:ascii="Arial" w:eastAsia="Times New Roman" w:hAnsi="Arial" w:cs="Arial"/>
                <w:b/>
                <w:bCs/>
                <w:sz w:val="16"/>
                <w:szCs w:val="16"/>
                <w:lang w:eastAsia="en-AU"/>
              </w:rPr>
              <w:br/>
            </w:r>
            <w:r w:rsidRPr="00D042CA">
              <w:rPr>
                <w:rFonts w:ascii="Arial" w:eastAsia="Times New Roman" w:hAnsi="Arial" w:cs="Arial"/>
                <w:sz w:val="16"/>
                <w:szCs w:val="16"/>
                <w:lang w:eastAsia="en-AU"/>
              </w:rPr>
              <w:t>$'000</w:t>
            </w:r>
          </w:p>
        </w:tc>
      </w:tr>
      <w:tr w:rsidR="00D042CA" w:rsidRPr="00D042CA" w:rsidTr="00D042CA">
        <w:trPr>
          <w:trHeight w:val="283"/>
          <w:jc w:val="center"/>
        </w:trPr>
        <w:tc>
          <w:tcPr>
            <w:tcW w:w="7380" w:type="dxa"/>
            <w:gridSpan w:val="7"/>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Supporting our Hospitals — organ matching and clinical quality registries</w:t>
            </w:r>
            <w:r w:rsidRPr="00D042CA">
              <w:rPr>
                <w:rFonts w:ascii="Arial" w:eastAsia="Times New Roman" w:hAnsi="Arial" w:cs="Arial"/>
                <w:b/>
                <w:bCs/>
                <w:sz w:val="16"/>
                <w:szCs w:val="16"/>
                <w:vertAlign w:val="superscript"/>
                <w:lang w:eastAsia="en-AU"/>
              </w:rPr>
              <w:t xml:space="preserve"> (a)</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5,057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288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D042CA">
        <w:trPr>
          <w:trHeight w:val="4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Organ and Tissue Donation Authority</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D042CA">
        <w:trPr>
          <w:trHeight w:val="25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5,345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r>
      <w:tr w:rsidR="00D042CA" w:rsidRPr="00D042CA" w:rsidTr="00D042CA">
        <w:trPr>
          <w:trHeight w:val="283"/>
          <w:jc w:val="center"/>
        </w:trPr>
        <w:tc>
          <w:tcPr>
            <w:tcW w:w="7380" w:type="dxa"/>
            <w:gridSpan w:val="7"/>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Women's Health Package </w:t>
            </w:r>
            <w:r w:rsidRPr="00D042CA">
              <w:rPr>
                <w:rFonts w:ascii="Arial" w:eastAsia="Times New Roman" w:hAnsi="Arial" w:cs="Arial"/>
                <w:b/>
                <w:bCs/>
                <w:sz w:val="16"/>
                <w:szCs w:val="16"/>
                <w:vertAlign w:val="superscript"/>
                <w:lang w:eastAsia="en-AU"/>
              </w:rPr>
              <w:t>(b)</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1.4</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1.5</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13,963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13,026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11,030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8,123 </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4,220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3,490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2,438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2,476 </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6,508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10,570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11,041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11,500 </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8F3F2F">
        <w:trPr>
          <w:trHeight w:val="25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4,390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4,464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4,541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8F3F2F">
        <w:trPr>
          <w:trHeight w:val="4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Department of Veterans' Affairs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107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171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179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186 </w:t>
            </w:r>
          </w:p>
        </w:tc>
      </w:tr>
      <w:tr w:rsidR="00D042CA" w:rsidRPr="00D042CA" w:rsidTr="008F3F2F">
        <w:trPr>
          <w:trHeight w:val="25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Services Australia</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11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16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17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17 </w:t>
            </w:r>
          </w:p>
        </w:tc>
      </w:tr>
      <w:tr w:rsidR="00D042CA" w:rsidRPr="00D042CA" w:rsidTr="00D042CA">
        <w:trPr>
          <w:trHeight w:val="25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29,199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31,737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29,246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22,302 </w:t>
            </w:r>
          </w:p>
        </w:tc>
      </w:tr>
      <w:tr w:rsidR="00D042CA" w:rsidRPr="00D042CA" w:rsidTr="00D042CA">
        <w:trPr>
          <w:trHeight w:val="13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340"/>
          <w:jc w:val="center"/>
        </w:trPr>
        <w:tc>
          <w:tcPr>
            <w:tcW w:w="6460" w:type="dxa"/>
            <w:gridSpan w:val="6"/>
            <w:tcBorders>
              <w:top w:val="nil"/>
              <w:left w:val="nil"/>
              <w:bottom w:val="nil"/>
              <w:right w:val="nil"/>
            </w:tcBorders>
            <w:shd w:val="clear" w:color="000000" w:fill="D9D9D9"/>
            <w:noWrap/>
            <w:vAlign w:val="bottom"/>
            <w:hideMark/>
          </w:tcPr>
          <w:p w:rsidR="00D042CA" w:rsidRPr="00D042CA" w:rsidRDefault="00D042CA" w:rsidP="00D042CA">
            <w:pPr>
              <w:rPr>
                <w:rFonts w:ascii="Arial" w:eastAsia="Times New Roman" w:hAnsi="Arial" w:cs="Arial"/>
                <w:b/>
                <w:bCs/>
                <w:lang w:eastAsia="en-AU"/>
              </w:rPr>
            </w:pPr>
            <w:r w:rsidRPr="00D042CA">
              <w:rPr>
                <w:rFonts w:ascii="Arial" w:eastAsia="Times New Roman" w:hAnsi="Arial" w:cs="Arial"/>
                <w:b/>
                <w:bCs/>
                <w:lang w:eastAsia="en-AU"/>
              </w:rPr>
              <w:t xml:space="preserve">Other Portfolio Measures since the 2021-22 MYEFO update </w:t>
            </w:r>
            <w:r w:rsidRPr="00D042CA">
              <w:rPr>
                <w:rFonts w:ascii="Arial" w:eastAsia="Times New Roman" w:hAnsi="Arial" w:cs="Arial"/>
                <w:b/>
                <w:bCs/>
                <w:vertAlign w:val="superscript"/>
                <w:lang w:eastAsia="en-AU"/>
              </w:rPr>
              <w:t>(f)</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w:t>
            </w:r>
          </w:p>
        </w:tc>
      </w:tr>
      <w:tr w:rsidR="00D042CA" w:rsidRPr="00D042CA" w:rsidTr="00D042CA">
        <w:trPr>
          <w:trHeight w:val="283"/>
          <w:jc w:val="center"/>
        </w:trPr>
        <w:tc>
          <w:tcPr>
            <w:tcW w:w="7380" w:type="dxa"/>
            <w:gridSpan w:val="7"/>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Changes To Visa Rules – supplementing Australia's workforce during the recovery</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i/>
                <w:iCs/>
                <w:sz w:val="16"/>
                <w:szCs w:val="16"/>
                <w:lang w:eastAsia="en-AU"/>
              </w:rPr>
            </w:pPr>
            <w:r w:rsidRPr="00D042CA">
              <w:rPr>
                <w:rFonts w:ascii="Arial" w:eastAsia="Times New Roman" w:hAnsi="Arial" w:cs="Arial"/>
                <w:i/>
                <w:iCs/>
                <w:sz w:val="16"/>
                <w:szCs w:val="16"/>
                <w:lang w:eastAsia="en-AU"/>
              </w:rPr>
              <w:t>Department of Home Affairs</w:t>
            </w:r>
          </w:p>
        </w:tc>
        <w:tc>
          <w:tcPr>
            <w:tcW w:w="46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(3)</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(4)</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(6)</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(47)</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2.2</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(3)</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(3)</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(5)</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(6)</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(45)</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2.5</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35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182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180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181 </w:t>
            </w:r>
          </w:p>
        </w:tc>
      </w:tr>
      <w:tr w:rsidR="00D042CA" w:rsidRPr="00D042CA" w:rsidTr="00D042CA">
        <w:trPr>
          <w:trHeight w:val="25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28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172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166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86 </w:t>
            </w:r>
          </w:p>
        </w:tc>
      </w:tr>
      <w:tr w:rsidR="00D042CA" w:rsidRPr="00D042CA" w:rsidTr="00D042CA">
        <w:trPr>
          <w:trHeight w:val="283"/>
          <w:jc w:val="center"/>
        </w:trPr>
        <w:tc>
          <w:tcPr>
            <w:tcW w:w="7380" w:type="dxa"/>
            <w:gridSpan w:val="7"/>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Health Delivery Modernisation Program – phase three</w:t>
            </w:r>
          </w:p>
        </w:tc>
      </w:tr>
      <w:tr w:rsidR="00D042CA" w:rsidRPr="00D042CA" w:rsidTr="00D042CA">
        <w:trPr>
          <w:trHeight w:val="225"/>
          <w:jc w:val="center"/>
        </w:trPr>
        <w:tc>
          <w:tcPr>
            <w:tcW w:w="2780" w:type="dxa"/>
            <w:gridSpan w:val="2"/>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i/>
                <w:iCs/>
                <w:sz w:val="16"/>
                <w:szCs w:val="16"/>
                <w:lang w:eastAsia="en-AU"/>
              </w:rPr>
            </w:pPr>
            <w:r w:rsidRPr="00D042CA">
              <w:rPr>
                <w:rFonts w:ascii="Arial" w:eastAsia="Times New Roman" w:hAnsi="Arial" w:cs="Arial"/>
                <w:i/>
                <w:iCs/>
                <w:sz w:val="16"/>
                <w:szCs w:val="16"/>
                <w:lang w:eastAsia="en-AU"/>
              </w:rPr>
              <w:t>Department of Social Services</w:t>
            </w: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1,698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1,295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r>
      <w:tr w:rsidR="00D042CA" w:rsidRPr="00D042CA" w:rsidTr="008F3F2F">
        <w:trPr>
          <w:trHeight w:val="25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1,698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1,295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r>
      <w:tr w:rsidR="00D042CA" w:rsidRPr="00D042CA" w:rsidTr="00D042CA">
        <w:trPr>
          <w:trHeight w:val="283"/>
          <w:jc w:val="center"/>
        </w:trPr>
        <w:tc>
          <w:tcPr>
            <w:tcW w:w="7380" w:type="dxa"/>
            <w:gridSpan w:val="7"/>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Humanitarian Program 2022-23 and Update on Afghan Arrivals</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i/>
                <w:iCs/>
                <w:sz w:val="16"/>
                <w:szCs w:val="16"/>
                <w:lang w:eastAsia="en-AU"/>
              </w:rPr>
            </w:pPr>
            <w:r w:rsidRPr="00D042CA">
              <w:rPr>
                <w:rFonts w:ascii="Arial" w:eastAsia="Times New Roman" w:hAnsi="Arial" w:cs="Arial"/>
                <w:i/>
                <w:iCs/>
                <w:sz w:val="16"/>
                <w:szCs w:val="16"/>
                <w:lang w:eastAsia="en-AU"/>
              </w:rPr>
              <w:t>Department of Home Affairs</w:t>
            </w:r>
          </w:p>
        </w:tc>
        <w:tc>
          <w:tcPr>
            <w:tcW w:w="46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c>
          <w:tcPr>
            <w:tcW w:w="920" w:type="dxa"/>
            <w:tcBorders>
              <w:top w:val="nil"/>
              <w:left w:val="nil"/>
              <w:bottom w:val="nil"/>
              <w:right w:val="nil"/>
            </w:tcBorders>
            <w:shd w:val="clear" w:color="auto" w:fill="auto"/>
            <w:vAlign w:val="bottom"/>
            <w:hideMark/>
          </w:tcPr>
          <w:p w:rsidR="00D042CA" w:rsidRPr="00D042CA" w:rsidRDefault="00D042CA" w:rsidP="00D042CA">
            <w:pPr>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eastAsia="Times New Roman"/>
                <w:lang w:eastAsia="en-AU"/>
              </w:rPr>
            </w:pP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ind w:firstLineChars="100" w:firstLine="160"/>
              <w:rPr>
                <w:rFonts w:ascii="Arial" w:eastAsia="Times New Roman" w:hAnsi="Arial" w:cs="Arial"/>
                <w:sz w:val="16"/>
                <w:szCs w:val="16"/>
                <w:lang w:eastAsia="en-AU"/>
              </w:rPr>
            </w:pPr>
            <w:r w:rsidRPr="00D042CA">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1,709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4,550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7,948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12,087 </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2.2</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8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27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59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100 </w:t>
            </w:r>
          </w:p>
        </w:tc>
      </w:tr>
      <w:tr w:rsidR="00D042CA" w:rsidRPr="00D042CA" w:rsidTr="00D042CA">
        <w:trPr>
          <w:trHeight w:val="22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1,009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3,073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5,180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7,160 </w:t>
            </w:r>
          </w:p>
        </w:tc>
      </w:tr>
      <w:tr w:rsidR="00D042CA" w:rsidRPr="00D042CA" w:rsidTr="00D042CA">
        <w:trPr>
          <w:trHeight w:val="225"/>
          <w:jc w:val="center"/>
        </w:trPr>
        <w:tc>
          <w:tcPr>
            <w:tcW w:w="2320" w:type="dxa"/>
            <w:tcBorders>
              <w:top w:val="nil"/>
              <w:left w:val="nil"/>
              <w:bottom w:val="nil"/>
              <w:right w:val="nil"/>
            </w:tcBorders>
            <w:shd w:val="clear" w:color="auto" w:fill="auto"/>
            <w:vAlign w:val="bottom"/>
            <w:hideMark/>
          </w:tcPr>
          <w:p w:rsidR="00D042CA" w:rsidRPr="00D042CA" w:rsidRDefault="00D042CA" w:rsidP="00D042CA">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2.5</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77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303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491 </w:t>
            </w:r>
          </w:p>
        </w:tc>
        <w:tc>
          <w:tcPr>
            <w:tcW w:w="920" w:type="dxa"/>
            <w:tcBorders>
              <w:top w:val="nil"/>
              <w:left w:val="nil"/>
              <w:bottom w:val="nil"/>
              <w:right w:val="nil"/>
            </w:tcBorders>
            <w:shd w:val="clear" w:color="auto" w:fill="auto"/>
            <w:noWrap/>
            <w:vAlign w:val="bottom"/>
            <w:hideMark/>
          </w:tcPr>
          <w:p w:rsidR="00D042CA" w:rsidRPr="00D042CA" w:rsidRDefault="00D042CA" w:rsidP="00D042CA">
            <w:pPr>
              <w:jc w:val="right"/>
              <w:rPr>
                <w:rFonts w:ascii="Arial" w:eastAsia="Times New Roman" w:hAnsi="Arial" w:cs="Arial"/>
                <w:sz w:val="16"/>
                <w:szCs w:val="16"/>
                <w:lang w:eastAsia="en-AU"/>
              </w:rPr>
            </w:pPr>
            <w:r w:rsidRPr="00D042CA">
              <w:rPr>
                <w:rFonts w:ascii="Arial" w:eastAsia="Times New Roman" w:hAnsi="Arial" w:cs="Arial"/>
                <w:sz w:val="16"/>
                <w:szCs w:val="16"/>
                <w:lang w:eastAsia="en-AU"/>
              </w:rPr>
              <w:t xml:space="preserve">672 </w:t>
            </w:r>
          </w:p>
        </w:tc>
      </w:tr>
      <w:tr w:rsidR="00D042CA" w:rsidRPr="00D042CA" w:rsidTr="008F3F2F">
        <w:trPr>
          <w:trHeight w:val="255"/>
          <w:jc w:val="center"/>
        </w:trPr>
        <w:tc>
          <w:tcPr>
            <w:tcW w:w="232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D042CA" w:rsidRPr="00D042CA" w:rsidRDefault="00D042CA" w:rsidP="00D042CA">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2,803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7,953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13,678 </w:t>
            </w:r>
          </w:p>
        </w:tc>
        <w:tc>
          <w:tcPr>
            <w:tcW w:w="920" w:type="dxa"/>
            <w:tcBorders>
              <w:top w:val="single" w:sz="4" w:space="0" w:color="000000"/>
              <w:left w:val="nil"/>
              <w:bottom w:val="single" w:sz="4" w:space="0" w:color="000000"/>
              <w:right w:val="nil"/>
            </w:tcBorders>
            <w:shd w:val="clear" w:color="auto" w:fill="auto"/>
            <w:noWrap/>
            <w:vAlign w:val="bottom"/>
            <w:hideMark/>
          </w:tcPr>
          <w:p w:rsidR="00D042CA" w:rsidRPr="00D042CA" w:rsidRDefault="00D042CA" w:rsidP="00D042CA">
            <w:pPr>
              <w:jc w:val="right"/>
              <w:rPr>
                <w:rFonts w:ascii="Arial" w:eastAsia="Times New Roman" w:hAnsi="Arial" w:cs="Arial"/>
                <w:b/>
                <w:bCs/>
                <w:sz w:val="16"/>
                <w:szCs w:val="16"/>
                <w:lang w:eastAsia="en-AU"/>
              </w:rPr>
            </w:pPr>
            <w:r w:rsidRPr="00D042CA">
              <w:rPr>
                <w:rFonts w:ascii="Arial" w:eastAsia="Times New Roman" w:hAnsi="Arial" w:cs="Arial"/>
                <w:b/>
                <w:bCs/>
                <w:sz w:val="16"/>
                <w:szCs w:val="16"/>
                <w:lang w:eastAsia="en-AU"/>
              </w:rPr>
              <w:t xml:space="preserve">20,019 </w:t>
            </w:r>
          </w:p>
        </w:tc>
      </w:tr>
    </w:tbl>
    <w:p w:rsidR="00232F9B" w:rsidRDefault="00232F9B" w:rsidP="0079143E">
      <w:pPr>
        <w:pStyle w:val="Tablenumberandreference"/>
        <w:spacing w:after="120"/>
      </w:pPr>
      <w:r w:rsidRPr="00232F9B">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t xml:space="preserve"> </w:t>
      </w:r>
      <w:r w:rsidRPr="00232F9B">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Budget Measures since the 2021-22 MYEFO update, and other portfoli0 measures since the 2021-22 MYEFO update"/>
      </w:tblPr>
      <w:tblGrid>
        <w:gridCol w:w="2320"/>
        <w:gridCol w:w="460"/>
        <w:gridCol w:w="920"/>
        <w:gridCol w:w="920"/>
        <w:gridCol w:w="920"/>
        <w:gridCol w:w="920"/>
        <w:gridCol w:w="920"/>
      </w:tblGrid>
      <w:tr w:rsidR="007F0FA0" w:rsidRPr="007F0FA0" w:rsidTr="007F0FA0">
        <w:trPr>
          <w:trHeight w:val="340"/>
          <w:jc w:val="center"/>
        </w:trPr>
        <w:tc>
          <w:tcPr>
            <w:tcW w:w="2780" w:type="dxa"/>
            <w:gridSpan w:val="2"/>
            <w:tcBorders>
              <w:top w:val="single" w:sz="4" w:space="0" w:color="000000"/>
              <w:left w:val="nil"/>
              <w:bottom w:val="nil"/>
              <w:right w:val="nil"/>
            </w:tcBorders>
            <w:shd w:val="clear" w:color="auto" w:fill="auto"/>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Outcome/ </w:t>
            </w:r>
            <w:r w:rsidRPr="007F0FA0">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2021–22</w:t>
            </w:r>
            <w:r w:rsidRPr="007F0FA0">
              <w:rPr>
                <w:rFonts w:ascii="Arial" w:eastAsia="Times New Roman" w:hAnsi="Arial" w:cs="Arial"/>
                <w:b/>
                <w:bCs/>
                <w:sz w:val="16"/>
                <w:szCs w:val="16"/>
                <w:lang w:eastAsia="en-AU"/>
              </w:rPr>
              <w:br/>
            </w:r>
            <w:r w:rsidRPr="007F0FA0">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000000" w:fill="D9D9D9"/>
            <w:vAlign w:val="bottom"/>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2022–23</w:t>
            </w:r>
            <w:r w:rsidRPr="007F0FA0">
              <w:rPr>
                <w:rFonts w:ascii="Arial" w:eastAsia="Times New Roman" w:hAnsi="Arial" w:cs="Arial"/>
                <w:b/>
                <w:bCs/>
                <w:sz w:val="16"/>
                <w:szCs w:val="16"/>
                <w:lang w:eastAsia="en-AU"/>
              </w:rPr>
              <w:br/>
            </w:r>
            <w:r w:rsidRPr="007F0FA0">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2023–24</w:t>
            </w:r>
            <w:r w:rsidRPr="007F0FA0">
              <w:rPr>
                <w:rFonts w:ascii="Arial" w:eastAsia="Times New Roman" w:hAnsi="Arial" w:cs="Arial"/>
                <w:b/>
                <w:bCs/>
                <w:sz w:val="16"/>
                <w:szCs w:val="16"/>
                <w:lang w:eastAsia="en-AU"/>
              </w:rPr>
              <w:br/>
            </w:r>
            <w:r w:rsidRPr="007F0FA0">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2024–25</w:t>
            </w:r>
            <w:r w:rsidRPr="007F0FA0">
              <w:rPr>
                <w:rFonts w:ascii="Arial" w:eastAsia="Times New Roman" w:hAnsi="Arial" w:cs="Arial"/>
                <w:b/>
                <w:bCs/>
                <w:sz w:val="16"/>
                <w:szCs w:val="16"/>
                <w:lang w:eastAsia="en-AU"/>
              </w:rPr>
              <w:br/>
            </w:r>
            <w:r w:rsidRPr="007F0FA0">
              <w:rPr>
                <w:rFonts w:ascii="Arial" w:eastAsia="Times New Roman" w:hAnsi="Arial" w:cs="Arial"/>
                <w:sz w:val="16"/>
                <w:szCs w:val="16"/>
                <w:lang w:eastAsia="en-AU"/>
              </w:rPr>
              <w:t>$'000</w:t>
            </w:r>
          </w:p>
        </w:tc>
        <w:tc>
          <w:tcPr>
            <w:tcW w:w="920" w:type="dxa"/>
            <w:tcBorders>
              <w:top w:val="single" w:sz="4" w:space="0" w:color="000000"/>
              <w:left w:val="nil"/>
              <w:bottom w:val="single" w:sz="4" w:space="0" w:color="000000"/>
              <w:right w:val="nil"/>
            </w:tcBorders>
            <w:shd w:val="clear" w:color="auto" w:fill="auto"/>
            <w:vAlign w:val="bottom"/>
            <w:hideMark/>
          </w:tcPr>
          <w:p w:rsidR="007F0FA0" w:rsidRPr="007F0FA0" w:rsidRDefault="007F0FA0" w:rsidP="007F0FA0">
            <w:pPr>
              <w:spacing w:before="40"/>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2025–26</w:t>
            </w:r>
            <w:r w:rsidRPr="007F0FA0">
              <w:rPr>
                <w:rFonts w:ascii="Arial" w:eastAsia="Times New Roman" w:hAnsi="Arial" w:cs="Arial"/>
                <w:b/>
                <w:bCs/>
                <w:sz w:val="16"/>
                <w:szCs w:val="16"/>
                <w:lang w:eastAsia="en-AU"/>
              </w:rPr>
              <w:br/>
            </w:r>
            <w:r w:rsidRPr="007F0FA0">
              <w:rPr>
                <w:rFonts w:ascii="Arial" w:eastAsia="Times New Roman" w:hAnsi="Arial" w:cs="Arial"/>
                <w:sz w:val="16"/>
                <w:szCs w:val="16"/>
                <w:lang w:eastAsia="en-AU"/>
              </w:rPr>
              <w:t>$'000</w:t>
            </w:r>
          </w:p>
        </w:tc>
      </w:tr>
      <w:tr w:rsidR="007F0FA0" w:rsidRPr="007F0FA0" w:rsidTr="007F0FA0">
        <w:trPr>
          <w:trHeight w:val="283"/>
          <w:jc w:val="center"/>
        </w:trPr>
        <w:tc>
          <w:tcPr>
            <w:tcW w:w="7380" w:type="dxa"/>
            <w:gridSpan w:val="7"/>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Migration Program — 2022-23 planning levels</w:t>
            </w:r>
          </w:p>
        </w:tc>
      </w:tr>
      <w:tr w:rsidR="007F0FA0" w:rsidRPr="007F0FA0" w:rsidTr="007F0FA0">
        <w:trPr>
          <w:trHeight w:val="225"/>
          <w:jc w:val="center"/>
        </w:trPr>
        <w:tc>
          <w:tcPr>
            <w:tcW w:w="2320" w:type="dxa"/>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i/>
                <w:iCs/>
                <w:sz w:val="16"/>
                <w:szCs w:val="16"/>
                <w:lang w:eastAsia="en-AU"/>
              </w:rPr>
            </w:pPr>
            <w:r w:rsidRPr="007F0FA0">
              <w:rPr>
                <w:rFonts w:ascii="Arial" w:eastAsia="Times New Roman" w:hAnsi="Arial" w:cs="Arial"/>
                <w:i/>
                <w:iCs/>
                <w:sz w:val="16"/>
                <w:szCs w:val="16"/>
                <w:lang w:eastAsia="en-AU"/>
              </w:rPr>
              <w:t>Department of Home Affairs</w:t>
            </w:r>
          </w:p>
        </w:tc>
        <w:tc>
          <w:tcPr>
            <w:tcW w:w="460" w:type="dxa"/>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r>
      <w:tr w:rsidR="007F0FA0" w:rsidRPr="007F0FA0" w:rsidTr="007F0FA0">
        <w:trPr>
          <w:trHeight w:val="225"/>
          <w:jc w:val="center"/>
        </w:trPr>
        <w:tc>
          <w:tcPr>
            <w:tcW w:w="2320" w:type="dxa"/>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r>
      <w:tr w:rsidR="007F0FA0" w:rsidRPr="007F0FA0" w:rsidTr="007F0FA0">
        <w:trPr>
          <w:trHeight w:val="225"/>
          <w:jc w:val="center"/>
        </w:trPr>
        <w:tc>
          <w:tcPr>
            <w:tcW w:w="2320" w:type="dxa"/>
            <w:tcBorders>
              <w:top w:val="nil"/>
              <w:left w:val="nil"/>
              <w:bottom w:val="nil"/>
              <w:right w:val="nil"/>
            </w:tcBorders>
            <w:shd w:val="clear" w:color="auto" w:fill="auto"/>
            <w:noWrap/>
            <w:vAlign w:val="bottom"/>
            <w:hideMark/>
          </w:tcPr>
          <w:p w:rsidR="007F0FA0" w:rsidRPr="007F0FA0" w:rsidRDefault="007F0FA0" w:rsidP="007F0FA0">
            <w:pPr>
              <w:ind w:firstLineChars="100" w:firstLine="160"/>
              <w:rPr>
                <w:rFonts w:ascii="Arial" w:eastAsia="Times New Roman" w:hAnsi="Arial" w:cs="Arial"/>
                <w:sz w:val="16"/>
                <w:szCs w:val="16"/>
                <w:lang w:eastAsia="en-AU"/>
              </w:rPr>
            </w:pPr>
            <w:r w:rsidRPr="007F0FA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2.2</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1 </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1 </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1 </w:t>
            </w:r>
          </w:p>
        </w:tc>
      </w:tr>
      <w:tr w:rsidR="007F0FA0" w:rsidRPr="007F0FA0" w:rsidTr="007F0FA0">
        <w:trPr>
          <w:trHeight w:val="283"/>
          <w:jc w:val="center"/>
        </w:trPr>
        <w:tc>
          <w:tcPr>
            <w:tcW w:w="232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1 </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1 </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1 </w:t>
            </w:r>
          </w:p>
        </w:tc>
      </w:tr>
      <w:tr w:rsidR="007F0FA0" w:rsidRPr="007F0FA0" w:rsidTr="007F0FA0">
        <w:trPr>
          <w:trHeight w:val="283"/>
          <w:jc w:val="center"/>
        </w:trPr>
        <w:tc>
          <w:tcPr>
            <w:tcW w:w="7380" w:type="dxa"/>
            <w:gridSpan w:val="7"/>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Veterans' Health Care</w:t>
            </w:r>
          </w:p>
        </w:tc>
      </w:tr>
      <w:tr w:rsidR="007F0FA0" w:rsidRPr="007F0FA0" w:rsidTr="007F0FA0">
        <w:trPr>
          <w:trHeight w:val="225"/>
          <w:jc w:val="center"/>
        </w:trPr>
        <w:tc>
          <w:tcPr>
            <w:tcW w:w="2780" w:type="dxa"/>
            <w:gridSpan w:val="2"/>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i/>
                <w:iCs/>
                <w:sz w:val="16"/>
                <w:szCs w:val="16"/>
                <w:lang w:eastAsia="en-AU"/>
              </w:rPr>
            </w:pPr>
            <w:r w:rsidRPr="007F0FA0">
              <w:rPr>
                <w:rFonts w:ascii="Arial" w:eastAsia="Times New Roman" w:hAnsi="Arial" w:cs="Arial"/>
                <w:i/>
                <w:iCs/>
                <w:sz w:val="16"/>
                <w:szCs w:val="16"/>
                <w:lang w:eastAsia="en-AU"/>
              </w:rPr>
              <w:t>Department of Veterans' Affairs</w:t>
            </w: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c>
          <w:tcPr>
            <w:tcW w:w="920" w:type="dxa"/>
            <w:tcBorders>
              <w:top w:val="nil"/>
              <w:left w:val="nil"/>
              <w:bottom w:val="nil"/>
              <w:right w:val="nil"/>
            </w:tcBorders>
            <w:shd w:val="clear" w:color="auto" w:fill="auto"/>
            <w:vAlign w:val="bottom"/>
            <w:hideMark/>
          </w:tcPr>
          <w:p w:rsidR="007F0FA0" w:rsidRPr="007F0FA0" w:rsidRDefault="007F0FA0" w:rsidP="007F0FA0">
            <w:pPr>
              <w:rPr>
                <w:rFonts w:eastAsia="Times New Roman"/>
                <w:lang w:eastAsia="en-AU"/>
              </w:rPr>
            </w:pPr>
          </w:p>
        </w:tc>
      </w:tr>
      <w:tr w:rsidR="007F0FA0" w:rsidRPr="007F0FA0" w:rsidTr="007F0FA0">
        <w:trPr>
          <w:trHeight w:val="225"/>
          <w:jc w:val="center"/>
        </w:trPr>
        <w:tc>
          <w:tcPr>
            <w:tcW w:w="2320" w:type="dxa"/>
            <w:tcBorders>
              <w:top w:val="nil"/>
              <w:left w:val="nil"/>
              <w:bottom w:val="nil"/>
              <w:right w:val="nil"/>
            </w:tcBorders>
            <w:shd w:val="clear" w:color="auto" w:fill="auto"/>
            <w:vAlign w:val="bottom"/>
            <w:hideMark/>
          </w:tcPr>
          <w:p w:rsidR="007F0FA0" w:rsidRPr="007F0FA0" w:rsidRDefault="007F0FA0" w:rsidP="007F0FA0">
            <w:pPr>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eastAsia="Times New Roman"/>
                <w:lang w:eastAsia="en-AU"/>
              </w:rPr>
            </w:pPr>
          </w:p>
        </w:tc>
      </w:tr>
      <w:tr w:rsidR="007F0FA0" w:rsidRPr="007F0FA0" w:rsidTr="007F0FA0">
        <w:trPr>
          <w:trHeight w:val="225"/>
          <w:jc w:val="center"/>
        </w:trPr>
        <w:tc>
          <w:tcPr>
            <w:tcW w:w="2320" w:type="dxa"/>
            <w:tcBorders>
              <w:top w:val="nil"/>
              <w:left w:val="nil"/>
              <w:bottom w:val="nil"/>
              <w:right w:val="nil"/>
            </w:tcBorders>
            <w:shd w:val="clear" w:color="auto" w:fill="auto"/>
            <w:noWrap/>
            <w:vAlign w:val="bottom"/>
            <w:hideMark/>
          </w:tcPr>
          <w:p w:rsidR="007F0FA0" w:rsidRPr="007F0FA0" w:rsidRDefault="007F0FA0" w:rsidP="007F0FA0">
            <w:pPr>
              <w:ind w:firstLineChars="100" w:firstLine="160"/>
              <w:rPr>
                <w:rFonts w:ascii="Arial" w:eastAsia="Times New Roman" w:hAnsi="Arial" w:cs="Arial"/>
                <w:sz w:val="16"/>
                <w:szCs w:val="16"/>
                <w:lang w:eastAsia="en-AU"/>
              </w:rPr>
            </w:pPr>
            <w:r w:rsidRPr="007F0FA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2.1</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545 </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(3,839)</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(2,141)</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(78)</w:t>
            </w:r>
          </w:p>
        </w:tc>
      </w:tr>
      <w:tr w:rsidR="007F0FA0" w:rsidRPr="007F0FA0" w:rsidTr="007F0FA0">
        <w:trPr>
          <w:trHeight w:val="225"/>
          <w:jc w:val="center"/>
        </w:trPr>
        <w:tc>
          <w:tcPr>
            <w:tcW w:w="23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2.3</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 </w:t>
            </w:r>
          </w:p>
        </w:tc>
        <w:tc>
          <w:tcPr>
            <w:tcW w:w="920" w:type="dxa"/>
            <w:tcBorders>
              <w:top w:val="nil"/>
              <w:left w:val="nil"/>
              <w:bottom w:val="nil"/>
              <w:right w:val="nil"/>
            </w:tcBorders>
            <w:shd w:val="clear" w:color="000000" w:fill="D9D9D9"/>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(1,448)</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(1,673)</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(947)</w:t>
            </w:r>
          </w:p>
        </w:tc>
        <w:tc>
          <w:tcPr>
            <w:tcW w:w="920" w:type="dxa"/>
            <w:tcBorders>
              <w:top w:val="nil"/>
              <w:left w:val="nil"/>
              <w:bottom w:val="nil"/>
              <w:right w:val="nil"/>
            </w:tcBorders>
            <w:shd w:val="clear" w:color="auto" w:fill="auto"/>
            <w:noWrap/>
            <w:vAlign w:val="bottom"/>
            <w:hideMark/>
          </w:tcPr>
          <w:p w:rsidR="007F0FA0" w:rsidRPr="007F0FA0" w:rsidRDefault="007F0FA0" w:rsidP="007F0FA0">
            <w:pPr>
              <w:jc w:val="right"/>
              <w:rPr>
                <w:rFonts w:ascii="Arial" w:eastAsia="Times New Roman" w:hAnsi="Arial" w:cs="Arial"/>
                <w:sz w:val="16"/>
                <w:szCs w:val="16"/>
                <w:lang w:eastAsia="en-AU"/>
              </w:rPr>
            </w:pPr>
            <w:r w:rsidRPr="007F0FA0">
              <w:rPr>
                <w:rFonts w:ascii="Arial" w:eastAsia="Times New Roman" w:hAnsi="Arial" w:cs="Arial"/>
                <w:sz w:val="16"/>
                <w:szCs w:val="16"/>
                <w:lang w:eastAsia="en-AU"/>
              </w:rPr>
              <w:t xml:space="preserve">- </w:t>
            </w:r>
          </w:p>
        </w:tc>
      </w:tr>
      <w:tr w:rsidR="007F0FA0" w:rsidRPr="007F0FA0" w:rsidTr="007F0FA0">
        <w:trPr>
          <w:trHeight w:val="283"/>
          <w:jc w:val="center"/>
        </w:trPr>
        <w:tc>
          <w:tcPr>
            <w:tcW w:w="232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7F0FA0" w:rsidRPr="007F0FA0" w:rsidRDefault="007F0FA0" w:rsidP="007F0FA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(903)</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(5,512)</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(3,088)</w:t>
            </w:r>
          </w:p>
        </w:tc>
        <w:tc>
          <w:tcPr>
            <w:tcW w:w="920" w:type="dxa"/>
            <w:tcBorders>
              <w:top w:val="single" w:sz="4" w:space="0" w:color="000000"/>
              <w:left w:val="nil"/>
              <w:bottom w:val="single" w:sz="4" w:space="0" w:color="000000"/>
              <w:right w:val="nil"/>
            </w:tcBorders>
            <w:shd w:val="clear" w:color="auto" w:fill="auto"/>
            <w:noWrap/>
            <w:vAlign w:val="bottom"/>
            <w:hideMark/>
          </w:tcPr>
          <w:p w:rsidR="007F0FA0" w:rsidRPr="007F0FA0" w:rsidRDefault="007F0FA0" w:rsidP="007F0FA0">
            <w:pPr>
              <w:jc w:val="right"/>
              <w:rPr>
                <w:rFonts w:ascii="Arial" w:eastAsia="Times New Roman" w:hAnsi="Arial" w:cs="Arial"/>
                <w:b/>
                <w:bCs/>
                <w:sz w:val="16"/>
                <w:szCs w:val="16"/>
                <w:lang w:eastAsia="en-AU"/>
              </w:rPr>
            </w:pPr>
            <w:r w:rsidRPr="007F0FA0">
              <w:rPr>
                <w:rFonts w:ascii="Arial" w:eastAsia="Times New Roman" w:hAnsi="Arial" w:cs="Arial"/>
                <w:b/>
                <w:bCs/>
                <w:sz w:val="16"/>
                <w:szCs w:val="16"/>
                <w:lang w:eastAsia="en-AU"/>
              </w:rPr>
              <w:t>(78)</w:t>
            </w:r>
          </w:p>
        </w:tc>
      </w:tr>
    </w:tbl>
    <w:p w:rsidR="00A6223E" w:rsidRDefault="00A6223E" w:rsidP="00A6223E">
      <w:pPr>
        <w:rPr>
          <w:rFonts w:ascii="Arial" w:eastAsia="Times New Roman" w:hAnsi="Arial" w:cs="Arial"/>
          <w:szCs w:val="18"/>
        </w:rPr>
      </w:pPr>
      <w:r>
        <w:br w:type="page"/>
      </w:r>
    </w:p>
    <w:p w:rsidR="00232F9B" w:rsidRDefault="00232F9B" w:rsidP="0079143E">
      <w:pPr>
        <w:pStyle w:val="Tablenumberandreference"/>
        <w:spacing w:after="120"/>
      </w:pPr>
      <w:r w:rsidRPr="00232F9B">
        <w:lastRenderedPageBreak/>
        <w:t xml:space="preserve">Table 1.2: </w:t>
      </w:r>
      <w:r w:rsidR="00EF5C5E" w:rsidRPr="00232F9B">
        <w:rPr>
          <w:color w:val="000000"/>
        </w:rPr>
        <w:t>Department of Health 202</w:t>
      </w:r>
      <w:r w:rsidR="00EF5C5E">
        <w:rPr>
          <w:color w:val="000000"/>
        </w:rPr>
        <w:t>2–</w:t>
      </w:r>
      <w:r w:rsidR="00EF5C5E" w:rsidRPr="00232F9B">
        <w:rPr>
          <w:color w:val="000000"/>
        </w:rPr>
        <w:t>2</w:t>
      </w:r>
      <w:r w:rsidR="00EF5C5E">
        <w:rPr>
          <w:color w:val="000000"/>
        </w:rPr>
        <w:t>3 Budget Measures</w:t>
      </w:r>
      <w:r w:rsidR="00EF5C5E" w:rsidRPr="00232F9B">
        <w:t xml:space="preserve"> </w:t>
      </w:r>
      <w:r w:rsidRPr="00232F9B">
        <w:t>(continued)</w:t>
      </w:r>
    </w:p>
    <w:tbl>
      <w:tblPr>
        <w:tblW w:w="7380" w:type="dxa"/>
        <w:jc w:val="center"/>
        <w:tblLayout w:type="fixed"/>
        <w:tblLook w:val="04A0" w:firstRow="1" w:lastRow="0" w:firstColumn="1" w:lastColumn="0" w:noHBand="0" w:noVBand="1"/>
        <w:tblCaption w:val="Table 1.2: Department of Health 2022-23 Budget Measures (continued)"/>
        <w:tblDescription w:val="This table shows the total payments for 2022-23 and across the forward estimates for 2022-23 whole of government Budget Measures since the 2021-22 MYEFO update."/>
      </w:tblPr>
      <w:tblGrid>
        <w:gridCol w:w="2489"/>
        <w:gridCol w:w="460"/>
        <w:gridCol w:w="920"/>
        <w:gridCol w:w="919"/>
        <w:gridCol w:w="902"/>
        <w:gridCol w:w="889"/>
        <w:gridCol w:w="801"/>
      </w:tblGrid>
      <w:tr w:rsidR="000921B0" w:rsidRPr="000921B0" w:rsidTr="000921B0">
        <w:trPr>
          <w:trHeight w:val="340"/>
          <w:jc w:val="center"/>
        </w:trPr>
        <w:tc>
          <w:tcPr>
            <w:tcW w:w="2949" w:type="dxa"/>
            <w:gridSpan w:val="2"/>
            <w:tcBorders>
              <w:top w:val="single" w:sz="4" w:space="0" w:color="000000"/>
              <w:left w:val="nil"/>
              <w:bottom w:val="nil"/>
              <w:right w:val="nil"/>
            </w:tcBorders>
            <w:shd w:val="clear" w:color="auto" w:fill="auto"/>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Outcome/ </w:t>
            </w:r>
            <w:r w:rsidRPr="000921B0">
              <w:rPr>
                <w:rFonts w:ascii="Arial" w:eastAsia="Times New Roman" w:hAnsi="Arial" w:cs="Arial"/>
                <w:b/>
                <w:bCs/>
                <w:sz w:val="16"/>
                <w:szCs w:val="16"/>
                <w:lang w:eastAsia="en-AU"/>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2021–22</w:t>
            </w:r>
            <w:r w:rsidRPr="000921B0">
              <w:rPr>
                <w:rFonts w:ascii="Arial" w:eastAsia="Times New Roman" w:hAnsi="Arial" w:cs="Arial"/>
                <w:b/>
                <w:bCs/>
                <w:sz w:val="16"/>
                <w:szCs w:val="16"/>
                <w:lang w:eastAsia="en-AU"/>
              </w:rPr>
              <w:br/>
            </w:r>
            <w:r w:rsidRPr="000921B0">
              <w:rPr>
                <w:rFonts w:ascii="Arial" w:eastAsia="Times New Roman" w:hAnsi="Arial" w:cs="Arial"/>
                <w:sz w:val="16"/>
                <w:szCs w:val="16"/>
                <w:lang w:eastAsia="en-AU"/>
              </w:rPr>
              <w:t>$'000</w:t>
            </w:r>
          </w:p>
        </w:tc>
        <w:tc>
          <w:tcPr>
            <w:tcW w:w="919" w:type="dxa"/>
            <w:tcBorders>
              <w:top w:val="single" w:sz="4" w:space="0" w:color="000000"/>
              <w:left w:val="nil"/>
              <w:bottom w:val="single" w:sz="4" w:space="0" w:color="000000"/>
              <w:right w:val="nil"/>
            </w:tcBorders>
            <w:shd w:val="clear" w:color="000000" w:fill="D9D9D9"/>
            <w:vAlign w:val="bottom"/>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2022–23</w:t>
            </w:r>
            <w:r w:rsidRPr="000921B0">
              <w:rPr>
                <w:rFonts w:ascii="Arial" w:eastAsia="Times New Roman" w:hAnsi="Arial" w:cs="Arial"/>
                <w:b/>
                <w:bCs/>
                <w:sz w:val="16"/>
                <w:szCs w:val="16"/>
                <w:lang w:eastAsia="en-AU"/>
              </w:rPr>
              <w:br/>
            </w:r>
            <w:r w:rsidRPr="000921B0">
              <w:rPr>
                <w:rFonts w:ascii="Arial" w:eastAsia="Times New Roman" w:hAnsi="Arial" w:cs="Arial"/>
                <w:sz w:val="16"/>
                <w:szCs w:val="16"/>
                <w:lang w:eastAsia="en-AU"/>
              </w:rPr>
              <w:t>$'000</w:t>
            </w:r>
          </w:p>
        </w:tc>
        <w:tc>
          <w:tcPr>
            <w:tcW w:w="902" w:type="dxa"/>
            <w:tcBorders>
              <w:top w:val="single" w:sz="4" w:space="0" w:color="000000"/>
              <w:left w:val="nil"/>
              <w:bottom w:val="single" w:sz="4" w:space="0" w:color="000000"/>
              <w:right w:val="nil"/>
            </w:tcBorders>
            <w:shd w:val="clear" w:color="auto" w:fill="auto"/>
            <w:vAlign w:val="bottom"/>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2023–24</w:t>
            </w:r>
            <w:r w:rsidRPr="000921B0">
              <w:rPr>
                <w:rFonts w:ascii="Arial" w:eastAsia="Times New Roman" w:hAnsi="Arial" w:cs="Arial"/>
                <w:b/>
                <w:bCs/>
                <w:sz w:val="16"/>
                <w:szCs w:val="16"/>
                <w:lang w:eastAsia="en-AU"/>
              </w:rPr>
              <w:br/>
            </w:r>
            <w:r w:rsidRPr="000921B0">
              <w:rPr>
                <w:rFonts w:ascii="Arial" w:eastAsia="Times New Roman" w:hAnsi="Arial" w:cs="Arial"/>
                <w:sz w:val="16"/>
                <w:szCs w:val="16"/>
                <w:lang w:eastAsia="en-AU"/>
              </w:rPr>
              <w:t>$'000</w:t>
            </w:r>
          </w:p>
        </w:tc>
        <w:tc>
          <w:tcPr>
            <w:tcW w:w="889" w:type="dxa"/>
            <w:tcBorders>
              <w:top w:val="single" w:sz="4" w:space="0" w:color="000000"/>
              <w:left w:val="nil"/>
              <w:bottom w:val="single" w:sz="4" w:space="0" w:color="000000"/>
              <w:right w:val="nil"/>
            </w:tcBorders>
            <w:shd w:val="clear" w:color="auto" w:fill="auto"/>
            <w:vAlign w:val="bottom"/>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2024–25</w:t>
            </w:r>
            <w:r w:rsidRPr="000921B0">
              <w:rPr>
                <w:rFonts w:ascii="Arial" w:eastAsia="Times New Roman" w:hAnsi="Arial" w:cs="Arial"/>
                <w:b/>
                <w:bCs/>
                <w:sz w:val="16"/>
                <w:szCs w:val="16"/>
                <w:lang w:eastAsia="en-AU"/>
              </w:rPr>
              <w:br/>
            </w:r>
            <w:r w:rsidRPr="000921B0">
              <w:rPr>
                <w:rFonts w:ascii="Arial" w:eastAsia="Times New Roman" w:hAnsi="Arial" w:cs="Arial"/>
                <w:sz w:val="16"/>
                <w:szCs w:val="16"/>
                <w:lang w:eastAsia="en-AU"/>
              </w:rPr>
              <w:t>$'000</w:t>
            </w:r>
          </w:p>
        </w:tc>
        <w:tc>
          <w:tcPr>
            <w:tcW w:w="801" w:type="dxa"/>
            <w:tcBorders>
              <w:top w:val="single" w:sz="4" w:space="0" w:color="000000"/>
              <w:left w:val="nil"/>
              <w:bottom w:val="single" w:sz="4" w:space="0" w:color="000000"/>
              <w:right w:val="nil"/>
            </w:tcBorders>
            <w:shd w:val="clear" w:color="auto" w:fill="auto"/>
            <w:tcMar>
              <w:left w:w="57" w:type="dxa"/>
            </w:tcMar>
            <w:vAlign w:val="bottom"/>
            <w:hideMark/>
          </w:tcPr>
          <w:p w:rsidR="000921B0" w:rsidRPr="000921B0" w:rsidRDefault="000921B0" w:rsidP="000921B0">
            <w:pPr>
              <w:spacing w:before="40"/>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2025–26</w:t>
            </w:r>
            <w:r w:rsidRPr="000921B0">
              <w:rPr>
                <w:rFonts w:ascii="Arial" w:eastAsia="Times New Roman" w:hAnsi="Arial" w:cs="Arial"/>
                <w:b/>
                <w:bCs/>
                <w:sz w:val="16"/>
                <w:szCs w:val="16"/>
                <w:lang w:eastAsia="en-AU"/>
              </w:rPr>
              <w:br/>
            </w:r>
            <w:r w:rsidRPr="000921B0">
              <w:rPr>
                <w:rFonts w:ascii="Arial" w:eastAsia="Times New Roman" w:hAnsi="Arial" w:cs="Arial"/>
                <w:sz w:val="16"/>
                <w:szCs w:val="16"/>
                <w:lang w:eastAsia="en-AU"/>
              </w:rPr>
              <w:t>$'000</w:t>
            </w:r>
          </w:p>
        </w:tc>
      </w:tr>
      <w:tr w:rsidR="000921B0" w:rsidRPr="000921B0" w:rsidTr="000921B0">
        <w:trPr>
          <w:trHeight w:val="13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eastAsia="Times New Roman"/>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340"/>
          <w:jc w:val="center"/>
        </w:trPr>
        <w:tc>
          <w:tcPr>
            <w:tcW w:w="7380" w:type="dxa"/>
            <w:gridSpan w:val="7"/>
            <w:tcBorders>
              <w:top w:val="nil"/>
              <w:left w:val="nil"/>
              <w:bottom w:val="nil"/>
              <w:right w:val="nil"/>
            </w:tcBorders>
            <w:shd w:val="clear" w:color="000000" w:fill="D9D9D9"/>
            <w:noWrap/>
            <w:tcMar>
              <w:left w:w="57" w:type="dxa"/>
            </w:tcMar>
            <w:vAlign w:val="bottom"/>
            <w:hideMark/>
          </w:tcPr>
          <w:p w:rsidR="000921B0" w:rsidRPr="000921B0" w:rsidRDefault="000921B0" w:rsidP="000921B0">
            <w:pPr>
              <w:rPr>
                <w:rFonts w:ascii="Arial" w:eastAsia="Times New Roman" w:hAnsi="Arial" w:cs="Arial"/>
                <w:b/>
                <w:bCs/>
                <w:lang w:eastAsia="en-AU"/>
              </w:rPr>
            </w:pPr>
            <w:r w:rsidRPr="000921B0">
              <w:rPr>
                <w:rFonts w:ascii="Arial" w:eastAsia="Times New Roman" w:hAnsi="Arial" w:cs="Arial"/>
                <w:b/>
                <w:bCs/>
                <w:lang w:eastAsia="en-AU"/>
              </w:rPr>
              <w:t xml:space="preserve">Whole of Government Measures since the 2021-22 MYEFO update </w:t>
            </w:r>
            <w:r w:rsidRPr="000921B0">
              <w:rPr>
                <w:rFonts w:ascii="Arial" w:eastAsia="Times New Roman" w:hAnsi="Arial" w:cs="Arial"/>
                <w:b/>
                <w:bCs/>
                <w:vertAlign w:val="superscript"/>
                <w:lang w:eastAsia="en-AU"/>
              </w:rPr>
              <w:t>(f)</w:t>
            </w:r>
          </w:p>
        </w:tc>
      </w:tr>
      <w:tr w:rsidR="000921B0" w:rsidRPr="000921B0" w:rsidTr="000921B0">
        <w:trPr>
          <w:trHeight w:val="283"/>
          <w:jc w:val="center"/>
        </w:trPr>
        <w:tc>
          <w:tcPr>
            <w:tcW w:w="7380" w:type="dxa"/>
            <w:gridSpan w:val="7"/>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Flood Package</w:t>
            </w: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i/>
                <w:iCs/>
                <w:sz w:val="16"/>
                <w:szCs w:val="16"/>
                <w:lang w:eastAsia="en-AU"/>
              </w:rPr>
            </w:pPr>
            <w:r w:rsidRPr="000921B0">
              <w:rPr>
                <w:rFonts w:ascii="Arial" w:eastAsia="Times New Roman" w:hAnsi="Arial" w:cs="Arial"/>
                <w:i/>
                <w:iCs/>
                <w:sz w:val="16"/>
                <w:szCs w:val="16"/>
                <w:lang w:eastAsia="en-AU"/>
              </w:rPr>
              <w:t xml:space="preserve">Cross Portfolio </w:t>
            </w:r>
          </w:p>
        </w:tc>
        <w:tc>
          <w:tcPr>
            <w:tcW w:w="460"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1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02"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8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01"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1.2</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9,995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20,645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3,076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1,506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95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581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283"/>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13,166 </w:t>
            </w:r>
          </w:p>
        </w:tc>
        <w:tc>
          <w:tcPr>
            <w:tcW w:w="919" w:type="dxa"/>
            <w:tcBorders>
              <w:top w:val="single" w:sz="4" w:space="0" w:color="000000"/>
              <w:left w:val="nil"/>
              <w:bottom w:val="single" w:sz="4" w:space="0" w:color="000000"/>
              <w:right w:val="nil"/>
            </w:tcBorders>
            <w:shd w:val="clear" w:color="000000" w:fill="D9D9D9"/>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22,732 </w:t>
            </w:r>
          </w:p>
        </w:tc>
        <w:tc>
          <w:tcPr>
            <w:tcW w:w="902"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889"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801"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r>
      <w:tr w:rsidR="000921B0" w:rsidRPr="000921B0" w:rsidTr="000921B0">
        <w:trPr>
          <w:trHeight w:val="283"/>
          <w:jc w:val="center"/>
        </w:trPr>
        <w:tc>
          <w:tcPr>
            <w:tcW w:w="7380" w:type="dxa"/>
            <w:gridSpan w:val="7"/>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Japanese Encephalitis Virus National Plan</w:t>
            </w: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i/>
                <w:iCs/>
                <w:sz w:val="16"/>
                <w:szCs w:val="16"/>
                <w:lang w:eastAsia="en-AU"/>
              </w:rPr>
            </w:pPr>
            <w:r w:rsidRPr="000921B0">
              <w:rPr>
                <w:rFonts w:ascii="Arial" w:eastAsia="Times New Roman" w:hAnsi="Arial" w:cs="Arial"/>
                <w:i/>
                <w:iCs/>
                <w:sz w:val="16"/>
                <w:szCs w:val="16"/>
                <w:lang w:eastAsia="en-AU"/>
              </w:rPr>
              <w:t xml:space="preserve">Cross Portfolio </w:t>
            </w:r>
          </w:p>
        </w:tc>
        <w:tc>
          <w:tcPr>
            <w:tcW w:w="460"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1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02"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8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01"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12,500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397"/>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Administered capital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1.8</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28,180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222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549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3523F1">
        <w:trPr>
          <w:trHeight w:val="25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sz w:val="16"/>
                <w:szCs w:val="16"/>
                <w:lang w:eastAsia="en-AU"/>
              </w:rPr>
            </w:pPr>
            <w:r w:rsidRPr="000921B0">
              <w:rPr>
                <w:rFonts w:ascii="Arial" w:eastAsia="Times New Roman" w:hAnsi="Arial" w:cs="Arial"/>
                <w:sz w:val="16"/>
                <w:szCs w:val="16"/>
                <w:lang w:eastAsia="en-AU"/>
              </w:rPr>
              <w:t>Department of the Treasury</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17,500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r>
      <w:tr w:rsidR="000921B0" w:rsidRPr="000921B0" w:rsidTr="000921B0">
        <w:trPr>
          <w:trHeight w:val="283"/>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58,402 </w:t>
            </w:r>
          </w:p>
        </w:tc>
        <w:tc>
          <w:tcPr>
            <w:tcW w:w="919" w:type="dxa"/>
            <w:tcBorders>
              <w:top w:val="single" w:sz="4" w:space="0" w:color="000000"/>
              <w:left w:val="nil"/>
              <w:bottom w:val="single" w:sz="4" w:space="0" w:color="000000"/>
              <w:right w:val="nil"/>
            </w:tcBorders>
            <w:shd w:val="clear" w:color="000000" w:fill="D9D9D9"/>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549 </w:t>
            </w:r>
          </w:p>
        </w:tc>
        <w:tc>
          <w:tcPr>
            <w:tcW w:w="902"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889"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801"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r>
      <w:tr w:rsidR="000921B0" w:rsidRPr="000921B0" w:rsidTr="000921B0">
        <w:trPr>
          <w:trHeight w:val="283"/>
          <w:jc w:val="center"/>
        </w:trPr>
        <w:tc>
          <w:tcPr>
            <w:tcW w:w="7380" w:type="dxa"/>
            <w:gridSpan w:val="7"/>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Women's Leadership Package</w:t>
            </w: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i/>
                <w:iCs/>
                <w:sz w:val="16"/>
                <w:szCs w:val="16"/>
                <w:lang w:eastAsia="en-AU"/>
              </w:rPr>
            </w:pPr>
            <w:r w:rsidRPr="000921B0">
              <w:rPr>
                <w:rFonts w:ascii="Arial" w:eastAsia="Times New Roman" w:hAnsi="Arial" w:cs="Arial"/>
                <w:i/>
                <w:iCs/>
                <w:sz w:val="16"/>
                <w:szCs w:val="16"/>
                <w:lang w:eastAsia="en-AU"/>
              </w:rPr>
              <w:t xml:space="preserve">Cross Portfolio </w:t>
            </w:r>
          </w:p>
        </w:tc>
        <w:tc>
          <w:tcPr>
            <w:tcW w:w="460"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1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02"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8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01"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sz w:val="16"/>
                <w:szCs w:val="16"/>
                <w:lang w:eastAsia="en-AU"/>
              </w:rPr>
            </w:pPr>
            <w:r w:rsidRPr="000921B0">
              <w:rPr>
                <w:rFonts w:ascii="Arial" w:eastAsia="Times New Roman" w:hAnsi="Arial" w:cs="Arial"/>
                <w:sz w:val="16"/>
                <w:szCs w:val="16"/>
                <w:lang w:eastAsia="en-AU"/>
              </w:rPr>
              <w:t>Australian Sports Commission</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Departmental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ind w:firstLineChars="100" w:firstLine="160"/>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2,915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3,086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3,365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968 </w:t>
            </w:r>
          </w:p>
        </w:tc>
      </w:tr>
      <w:tr w:rsidR="000921B0" w:rsidRPr="000921B0" w:rsidTr="000921B0">
        <w:trPr>
          <w:trHeight w:val="283"/>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Total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919" w:type="dxa"/>
            <w:tcBorders>
              <w:top w:val="single" w:sz="4" w:space="0" w:color="000000"/>
              <w:left w:val="nil"/>
              <w:bottom w:val="single" w:sz="4" w:space="0" w:color="000000"/>
              <w:right w:val="nil"/>
            </w:tcBorders>
            <w:shd w:val="clear" w:color="000000" w:fill="D9D9D9"/>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2,915 </w:t>
            </w:r>
          </w:p>
        </w:tc>
        <w:tc>
          <w:tcPr>
            <w:tcW w:w="902"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3,086 </w:t>
            </w:r>
          </w:p>
        </w:tc>
        <w:tc>
          <w:tcPr>
            <w:tcW w:w="889"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3,365 </w:t>
            </w:r>
          </w:p>
        </w:tc>
        <w:tc>
          <w:tcPr>
            <w:tcW w:w="801"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968 </w:t>
            </w:r>
          </w:p>
        </w:tc>
      </w:tr>
      <w:tr w:rsidR="000921B0" w:rsidRPr="000921B0" w:rsidTr="000921B0">
        <w:trPr>
          <w:trHeight w:val="283"/>
          <w:jc w:val="center"/>
        </w:trPr>
        <w:tc>
          <w:tcPr>
            <w:tcW w:w="7380" w:type="dxa"/>
            <w:gridSpan w:val="7"/>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Women's Safety Package</w:t>
            </w: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i/>
                <w:iCs/>
                <w:sz w:val="16"/>
                <w:szCs w:val="16"/>
                <w:lang w:eastAsia="en-AU"/>
              </w:rPr>
            </w:pPr>
            <w:r w:rsidRPr="000921B0">
              <w:rPr>
                <w:rFonts w:ascii="Arial" w:eastAsia="Times New Roman" w:hAnsi="Arial" w:cs="Arial"/>
                <w:i/>
                <w:iCs/>
                <w:sz w:val="16"/>
                <w:szCs w:val="16"/>
                <w:lang w:eastAsia="en-AU"/>
              </w:rPr>
              <w:t xml:space="preserve">Cross Portfolio </w:t>
            </w:r>
          </w:p>
        </w:tc>
        <w:tc>
          <w:tcPr>
            <w:tcW w:w="460"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i/>
                <w:iCs/>
                <w:sz w:val="16"/>
                <w:szCs w:val="16"/>
                <w:lang w:eastAsia="en-AU"/>
              </w:rPr>
            </w:pPr>
          </w:p>
        </w:tc>
        <w:tc>
          <w:tcPr>
            <w:tcW w:w="920"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1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902"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89"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c>
          <w:tcPr>
            <w:tcW w:w="801" w:type="dxa"/>
            <w:tcBorders>
              <w:top w:val="nil"/>
              <w:left w:val="nil"/>
              <w:bottom w:val="nil"/>
              <w:right w:val="nil"/>
            </w:tcBorders>
            <w:shd w:val="clear" w:color="auto" w:fill="auto"/>
            <w:vAlign w:val="bottom"/>
            <w:hideMark/>
          </w:tcPr>
          <w:p w:rsidR="000921B0" w:rsidRPr="000921B0" w:rsidRDefault="000921B0" w:rsidP="000921B0">
            <w:pPr>
              <w:rPr>
                <w:rFonts w:eastAsia="Times New Roman"/>
                <w:lang w:eastAsia="en-AU"/>
              </w:rPr>
            </w:pPr>
          </w:p>
        </w:tc>
      </w:tr>
      <w:tr w:rsidR="000921B0" w:rsidRPr="000921B0" w:rsidTr="000921B0">
        <w:trPr>
          <w:trHeight w:val="240"/>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Department of Health </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rPr>
                <w:rFonts w:ascii="Arial" w:eastAsia="Times New Roman" w:hAnsi="Arial" w:cs="Arial"/>
                <w:sz w:val="16"/>
                <w:szCs w:val="16"/>
                <w:lang w:eastAsia="en-AU"/>
              </w:rPr>
            </w:pP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1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eastAsia="Times New Roman"/>
                <w:lang w:eastAsia="en-AU"/>
              </w:rPr>
            </w:pPr>
          </w:p>
        </w:tc>
      </w:tr>
      <w:tr w:rsidR="000921B0" w:rsidRPr="000921B0" w:rsidTr="000921B0">
        <w:trPr>
          <w:trHeight w:val="225"/>
          <w:jc w:val="center"/>
        </w:trPr>
        <w:tc>
          <w:tcPr>
            <w:tcW w:w="2489" w:type="dxa"/>
            <w:tcBorders>
              <w:top w:val="nil"/>
              <w:left w:val="nil"/>
              <w:bottom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Administered payments</w:t>
            </w: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1.2</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16,602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21,881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23,323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23,564 </w:t>
            </w:r>
          </w:p>
        </w:tc>
      </w:tr>
      <w:tr w:rsidR="000921B0" w:rsidRPr="000921B0" w:rsidTr="000921B0">
        <w:trPr>
          <w:trHeight w:val="225"/>
          <w:jc w:val="center"/>
        </w:trPr>
        <w:tc>
          <w:tcPr>
            <w:tcW w:w="2489" w:type="dxa"/>
            <w:tcBorders>
              <w:top w:val="nil"/>
              <w:left w:val="nil"/>
              <w:bottom w:val="nil"/>
              <w:right w:val="nil"/>
            </w:tcBorders>
            <w:shd w:val="clear" w:color="auto" w:fill="auto"/>
            <w:vAlign w:val="bottom"/>
            <w:hideMark/>
          </w:tcPr>
          <w:p w:rsidR="000921B0" w:rsidRPr="000921B0" w:rsidRDefault="000921B0" w:rsidP="000921B0">
            <w:pPr>
              <w:jc w:val="right"/>
              <w:rPr>
                <w:rFonts w:ascii="Arial" w:eastAsia="Times New Roman" w:hAnsi="Arial" w:cs="Arial"/>
                <w:sz w:val="16"/>
                <w:szCs w:val="16"/>
                <w:lang w:eastAsia="en-AU"/>
              </w:rPr>
            </w:pPr>
          </w:p>
        </w:tc>
        <w:tc>
          <w:tcPr>
            <w:tcW w:w="46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1.6</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12,266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11,496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11,496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11,496 </w:t>
            </w:r>
          </w:p>
        </w:tc>
      </w:tr>
      <w:tr w:rsidR="000921B0" w:rsidRPr="000921B0" w:rsidTr="001E1E28">
        <w:trPr>
          <w:trHeight w:val="225"/>
          <w:jc w:val="center"/>
        </w:trPr>
        <w:tc>
          <w:tcPr>
            <w:tcW w:w="2489" w:type="dxa"/>
            <w:tcBorders>
              <w:top w:val="nil"/>
              <w:left w:val="nil"/>
              <w:right w:val="nil"/>
            </w:tcBorders>
            <w:shd w:val="clear" w:color="auto" w:fill="auto"/>
            <w:noWrap/>
            <w:vAlign w:val="bottom"/>
            <w:hideMark/>
          </w:tcPr>
          <w:p w:rsidR="000921B0" w:rsidRPr="000921B0" w:rsidRDefault="000921B0" w:rsidP="000921B0">
            <w:pPr>
              <w:ind w:leftChars="75" w:left="150"/>
              <w:rPr>
                <w:rFonts w:ascii="Arial" w:eastAsia="Times New Roman" w:hAnsi="Arial" w:cs="Arial"/>
                <w:sz w:val="16"/>
                <w:szCs w:val="16"/>
                <w:lang w:eastAsia="en-AU"/>
              </w:rPr>
            </w:pPr>
            <w:r w:rsidRPr="000921B0">
              <w:rPr>
                <w:rFonts w:ascii="Arial" w:eastAsia="Times New Roman" w:hAnsi="Arial" w:cs="Arial"/>
                <w:sz w:val="16"/>
                <w:szCs w:val="16"/>
                <w:lang w:eastAsia="en-AU"/>
              </w:rPr>
              <w:t>Departmental payments</w:t>
            </w:r>
          </w:p>
        </w:tc>
        <w:tc>
          <w:tcPr>
            <w:tcW w:w="460" w:type="dxa"/>
            <w:tcBorders>
              <w:top w:val="nil"/>
              <w:left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1</w:t>
            </w:r>
          </w:p>
        </w:tc>
        <w:tc>
          <w:tcPr>
            <w:tcW w:w="920"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 </w:t>
            </w:r>
          </w:p>
        </w:tc>
        <w:tc>
          <w:tcPr>
            <w:tcW w:w="919" w:type="dxa"/>
            <w:tcBorders>
              <w:top w:val="nil"/>
              <w:left w:val="nil"/>
              <w:bottom w:val="nil"/>
              <w:right w:val="nil"/>
            </w:tcBorders>
            <w:shd w:val="clear" w:color="000000" w:fill="D9D9D9"/>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984 </w:t>
            </w:r>
          </w:p>
        </w:tc>
        <w:tc>
          <w:tcPr>
            <w:tcW w:w="902"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927 </w:t>
            </w:r>
          </w:p>
        </w:tc>
        <w:tc>
          <w:tcPr>
            <w:tcW w:w="889"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935 </w:t>
            </w:r>
          </w:p>
        </w:tc>
        <w:tc>
          <w:tcPr>
            <w:tcW w:w="801" w:type="dxa"/>
            <w:tcBorders>
              <w:top w:val="nil"/>
              <w:left w:val="nil"/>
              <w:bottom w:val="nil"/>
              <w:right w:val="nil"/>
            </w:tcBorders>
            <w:shd w:val="clear" w:color="auto" w:fill="auto"/>
            <w:noWrap/>
            <w:vAlign w:val="bottom"/>
            <w:hideMark/>
          </w:tcPr>
          <w:p w:rsidR="000921B0" w:rsidRPr="000921B0" w:rsidRDefault="000921B0" w:rsidP="000921B0">
            <w:pPr>
              <w:jc w:val="right"/>
              <w:rPr>
                <w:rFonts w:ascii="Arial" w:eastAsia="Times New Roman" w:hAnsi="Arial" w:cs="Arial"/>
                <w:sz w:val="16"/>
                <w:szCs w:val="16"/>
                <w:lang w:eastAsia="en-AU"/>
              </w:rPr>
            </w:pPr>
            <w:r w:rsidRPr="000921B0">
              <w:rPr>
                <w:rFonts w:ascii="Arial" w:eastAsia="Times New Roman" w:hAnsi="Arial" w:cs="Arial"/>
                <w:sz w:val="16"/>
                <w:szCs w:val="16"/>
                <w:lang w:eastAsia="en-AU"/>
              </w:rPr>
              <w:t xml:space="preserve">940 </w:t>
            </w:r>
          </w:p>
        </w:tc>
      </w:tr>
      <w:tr w:rsidR="000921B0" w:rsidRPr="000921B0" w:rsidTr="001E1E28">
        <w:trPr>
          <w:trHeight w:val="283"/>
          <w:jc w:val="center"/>
        </w:trPr>
        <w:tc>
          <w:tcPr>
            <w:tcW w:w="2489" w:type="dxa"/>
            <w:tcBorders>
              <w:top w:val="nil"/>
              <w:left w:val="nil"/>
              <w:bottom w:val="single" w:sz="4" w:space="0" w:color="auto"/>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Total payments</w:t>
            </w:r>
          </w:p>
        </w:tc>
        <w:tc>
          <w:tcPr>
            <w:tcW w:w="460" w:type="dxa"/>
            <w:tcBorders>
              <w:top w:val="nil"/>
              <w:left w:val="nil"/>
              <w:bottom w:val="single" w:sz="4" w:space="0" w:color="auto"/>
              <w:right w:val="nil"/>
            </w:tcBorders>
            <w:shd w:val="clear" w:color="auto" w:fill="auto"/>
            <w:noWrap/>
            <w:vAlign w:val="bottom"/>
            <w:hideMark/>
          </w:tcPr>
          <w:p w:rsidR="000921B0" w:rsidRPr="000921B0" w:rsidRDefault="000921B0" w:rsidP="000921B0">
            <w:pPr>
              <w:rPr>
                <w:rFonts w:ascii="Arial" w:eastAsia="Times New Roman" w:hAnsi="Arial" w:cs="Arial"/>
                <w:b/>
                <w:bCs/>
                <w:sz w:val="16"/>
                <w:szCs w:val="16"/>
                <w:lang w:eastAsia="en-AU"/>
              </w:rPr>
            </w:pPr>
          </w:p>
        </w:tc>
        <w:tc>
          <w:tcPr>
            <w:tcW w:w="920"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 </w:t>
            </w:r>
          </w:p>
        </w:tc>
        <w:tc>
          <w:tcPr>
            <w:tcW w:w="919" w:type="dxa"/>
            <w:tcBorders>
              <w:top w:val="single" w:sz="4" w:space="0" w:color="000000"/>
              <w:left w:val="nil"/>
              <w:bottom w:val="single" w:sz="4" w:space="0" w:color="000000"/>
              <w:right w:val="nil"/>
            </w:tcBorders>
            <w:shd w:val="clear" w:color="000000" w:fill="D9D9D9"/>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29,852 </w:t>
            </w:r>
          </w:p>
        </w:tc>
        <w:tc>
          <w:tcPr>
            <w:tcW w:w="902"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34,304 </w:t>
            </w:r>
          </w:p>
        </w:tc>
        <w:tc>
          <w:tcPr>
            <w:tcW w:w="889"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35,754 </w:t>
            </w:r>
          </w:p>
        </w:tc>
        <w:tc>
          <w:tcPr>
            <w:tcW w:w="801" w:type="dxa"/>
            <w:tcBorders>
              <w:top w:val="single" w:sz="4" w:space="0" w:color="000000"/>
              <w:left w:val="nil"/>
              <w:bottom w:val="single" w:sz="4" w:space="0" w:color="000000"/>
              <w:right w:val="nil"/>
            </w:tcBorders>
            <w:shd w:val="clear" w:color="auto" w:fill="auto"/>
            <w:noWrap/>
            <w:vAlign w:val="bottom"/>
            <w:hideMark/>
          </w:tcPr>
          <w:p w:rsidR="000921B0" w:rsidRPr="000921B0" w:rsidRDefault="000921B0" w:rsidP="000921B0">
            <w:pPr>
              <w:jc w:val="right"/>
              <w:rPr>
                <w:rFonts w:ascii="Arial" w:eastAsia="Times New Roman" w:hAnsi="Arial" w:cs="Arial"/>
                <w:b/>
                <w:bCs/>
                <w:sz w:val="16"/>
                <w:szCs w:val="16"/>
                <w:lang w:eastAsia="en-AU"/>
              </w:rPr>
            </w:pPr>
            <w:r w:rsidRPr="000921B0">
              <w:rPr>
                <w:rFonts w:ascii="Arial" w:eastAsia="Times New Roman" w:hAnsi="Arial" w:cs="Arial"/>
                <w:b/>
                <w:bCs/>
                <w:sz w:val="16"/>
                <w:szCs w:val="16"/>
                <w:lang w:eastAsia="en-AU"/>
              </w:rPr>
              <w:t xml:space="preserve">36,000 </w:t>
            </w:r>
          </w:p>
        </w:tc>
      </w:tr>
    </w:tbl>
    <w:p w:rsidR="00774F7F" w:rsidRPr="00774F7F" w:rsidRDefault="00BA05A4" w:rsidP="00BA05A4">
      <w:pPr>
        <w:pStyle w:val="FootnoteText"/>
        <w:spacing w:before="120"/>
        <w:rPr>
          <w:lang w:eastAsia="en-AU"/>
        </w:rPr>
      </w:pPr>
      <w:r w:rsidRPr="00BA05A4">
        <w:rPr>
          <w:vertAlign w:val="superscript"/>
          <w:lang w:eastAsia="en-AU"/>
        </w:rPr>
        <w:t>(a)</w:t>
      </w:r>
      <w:r>
        <w:rPr>
          <w:lang w:eastAsia="en-AU"/>
        </w:rPr>
        <w:tab/>
      </w:r>
      <w:r w:rsidR="00774F7F" w:rsidRPr="00774F7F">
        <w:rPr>
          <w:lang w:eastAsia="en-AU"/>
        </w:rPr>
        <w:t>Part of the funding for this measure has already been provi</w:t>
      </w:r>
      <w:r w:rsidR="00774F7F">
        <w:rPr>
          <w:lang w:eastAsia="en-AU"/>
        </w:rPr>
        <w:t>ded for by the Government.</w:t>
      </w:r>
    </w:p>
    <w:p w:rsidR="00774F7F" w:rsidRPr="00774F7F" w:rsidRDefault="00BA05A4" w:rsidP="00774F7F">
      <w:pPr>
        <w:pStyle w:val="FootnoteText"/>
        <w:rPr>
          <w:lang w:eastAsia="en-AU"/>
        </w:rPr>
      </w:pPr>
      <w:r w:rsidRPr="00BA05A4">
        <w:rPr>
          <w:vertAlign w:val="superscript"/>
          <w:lang w:eastAsia="en-AU"/>
        </w:rPr>
        <w:t>(b)</w:t>
      </w:r>
      <w:r>
        <w:rPr>
          <w:lang w:eastAsia="en-AU"/>
        </w:rPr>
        <w:tab/>
      </w:r>
      <w:r w:rsidR="00774F7F" w:rsidRPr="00774F7F">
        <w:rPr>
          <w:lang w:eastAsia="en-AU"/>
        </w:rPr>
        <w:t xml:space="preserve">Part of the costs of this measure will be met from </w:t>
      </w:r>
      <w:r w:rsidR="00774F7F">
        <w:rPr>
          <w:lang w:eastAsia="en-AU"/>
        </w:rPr>
        <w:t>within existing resources.</w:t>
      </w:r>
    </w:p>
    <w:p w:rsidR="00774F7F" w:rsidRPr="00774F7F" w:rsidRDefault="00BA05A4" w:rsidP="00BA05A4">
      <w:pPr>
        <w:pStyle w:val="FootnoteText"/>
        <w:rPr>
          <w:lang w:eastAsia="en-AU"/>
        </w:rPr>
      </w:pPr>
      <w:r w:rsidRPr="00BA05A4">
        <w:rPr>
          <w:vertAlign w:val="superscript"/>
          <w:lang w:eastAsia="en-AU"/>
        </w:rPr>
        <w:t>(c)</w:t>
      </w:r>
      <w:r>
        <w:rPr>
          <w:lang w:eastAsia="en-AU"/>
        </w:rPr>
        <w:tab/>
      </w:r>
      <w:r w:rsidR="00774F7F" w:rsidRPr="00774F7F">
        <w:rPr>
          <w:lang w:eastAsia="en-AU"/>
        </w:rPr>
        <w:t>Part of the funding for this measure has already been provided for by the Government and me</w:t>
      </w:r>
      <w:r>
        <w:rPr>
          <w:lang w:eastAsia="en-AU"/>
        </w:rPr>
        <w:t xml:space="preserve">t from </w:t>
      </w:r>
      <w:r w:rsidR="00774F7F">
        <w:rPr>
          <w:lang w:eastAsia="en-AU"/>
        </w:rPr>
        <w:t>existing resources.</w:t>
      </w:r>
    </w:p>
    <w:p w:rsidR="00774F7F" w:rsidRPr="00774F7F" w:rsidRDefault="00BA05A4" w:rsidP="00774F7F">
      <w:pPr>
        <w:pStyle w:val="FootnoteText"/>
        <w:rPr>
          <w:lang w:eastAsia="en-AU"/>
        </w:rPr>
      </w:pPr>
      <w:r w:rsidRPr="00BA05A4">
        <w:rPr>
          <w:vertAlign w:val="superscript"/>
          <w:lang w:eastAsia="en-AU"/>
        </w:rPr>
        <w:t>(d)</w:t>
      </w:r>
      <w:r>
        <w:rPr>
          <w:lang w:eastAsia="en-AU"/>
        </w:rPr>
        <w:tab/>
      </w:r>
      <w:r w:rsidR="00774F7F" w:rsidRPr="00774F7F">
        <w:rPr>
          <w:lang w:eastAsia="en-AU"/>
        </w:rPr>
        <w:t>Includes the impact of measures that are not for publication due to comme</w:t>
      </w:r>
      <w:r w:rsidR="00774F7F">
        <w:rPr>
          <w:lang w:eastAsia="en-AU"/>
        </w:rPr>
        <w:t>rcial sensitivities (nfp).</w:t>
      </w:r>
    </w:p>
    <w:p w:rsidR="00774F7F" w:rsidRPr="00774F7F" w:rsidRDefault="00BA05A4" w:rsidP="00774F7F">
      <w:pPr>
        <w:pStyle w:val="FootnoteText"/>
        <w:rPr>
          <w:lang w:eastAsia="en-AU"/>
        </w:rPr>
      </w:pPr>
      <w:r w:rsidRPr="00BA05A4">
        <w:rPr>
          <w:vertAlign w:val="superscript"/>
          <w:lang w:eastAsia="en-AU"/>
        </w:rPr>
        <w:t>(</w:t>
      </w:r>
      <w:proofErr w:type="gramStart"/>
      <w:r w:rsidRPr="00BA05A4">
        <w:rPr>
          <w:vertAlign w:val="superscript"/>
          <w:lang w:eastAsia="en-AU"/>
        </w:rPr>
        <w:t>e</w:t>
      </w:r>
      <w:proofErr w:type="gramEnd"/>
      <w:r w:rsidRPr="00BA05A4">
        <w:rPr>
          <w:vertAlign w:val="superscript"/>
          <w:lang w:eastAsia="en-AU"/>
        </w:rPr>
        <w:t>)</w:t>
      </w:r>
      <w:r>
        <w:rPr>
          <w:lang w:eastAsia="en-AU"/>
        </w:rPr>
        <w:tab/>
      </w:r>
      <w:r w:rsidR="00774F7F" w:rsidRPr="00774F7F">
        <w:rPr>
          <w:lang w:eastAsia="en-AU"/>
        </w:rPr>
        <w:t>Funding for this measure has already been provi</w:t>
      </w:r>
      <w:r w:rsidR="00774F7F">
        <w:rPr>
          <w:lang w:eastAsia="en-AU"/>
        </w:rPr>
        <w:t>ded for by the Government.</w:t>
      </w:r>
    </w:p>
    <w:p w:rsidR="00760E97" w:rsidRPr="00232F9B" w:rsidRDefault="00BA05A4" w:rsidP="00BA05A4">
      <w:pPr>
        <w:pStyle w:val="FootnoteText"/>
        <w:rPr>
          <w:lang w:eastAsia="en-AU"/>
        </w:rPr>
        <w:sectPr w:rsidR="00760E97" w:rsidRPr="00232F9B" w:rsidSect="008C0E3D">
          <w:headerReference w:type="even" r:id="rId8"/>
          <w:headerReference w:type="default" r:id="rId9"/>
          <w:footerReference w:type="even" r:id="rId10"/>
          <w:footerReference w:type="default" r:id="rId11"/>
          <w:pgSz w:w="11906" w:h="16838" w:code="9"/>
          <w:pgMar w:top="2466" w:right="2268" w:bottom="2126" w:left="2268" w:header="1899" w:footer="1899" w:gutter="0"/>
          <w:pgNumType w:start="39"/>
          <w:cols w:space="708"/>
          <w:docGrid w:linePitch="360"/>
        </w:sectPr>
      </w:pPr>
      <w:r w:rsidRPr="00BA05A4">
        <w:rPr>
          <w:vertAlign w:val="superscript"/>
          <w:lang w:eastAsia="en-AU"/>
        </w:rPr>
        <w:t>(f)</w:t>
      </w:r>
      <w:r>
        <w:rPr>
          <w:lang w:eastAsia="en-AU"/>
        </w:rPr>
        <w:tab/>
      </w:r>
      <w:r w:rsidR="00774F7F" w:rsidRPr="00774F7F">
        <w:rPr>
          <w:lang w:eastAsia="en-AU"/>
        </w:rPr>
        <w:t>The Department of Health is not the lead entity for these measures. Only the Health Portfolio impacts and associated Health policy flow-</w:t>
      </w:r>
      <w:proofErr w:type="spellStart"/>
      <w:r w:rsidR="00774F7F" w:rsidRPr="00774F7F">
        <w:rPr>
          <w:lang w:eastAsia="en-AU"/>
        </w:rPr>
        <w:t>ons</w:t>
      </w:r>
      <w:proofErr w:type="spellEnd"/>
      <w:r w:rsidR="00774F7F" w:rsidRPr="00774F7F">
        <w:rPr>
          <w:lang w:eastAsia="en-AU"/>
        </w:rPr>
        <w:t xml:space="preserve"> to other Portfolios are show</w:t>
      </w:r>
      <w:r w:rsidR="00774F7F">
        <w:rPr>
          <w:lang w:eastAsia="en-AU"/>
        </w:rPr>
        <w:t>n in this table.</w:t>
      </w:r>
      <w:r w:rsidR="00774F7F">
        <w:rPr>
          <w:lang w:eastAsia="en-AU"/>
        </w:rPr>
        <w:br/>
      </w:r>
    </w:p>
    <w:p w:rsidR="00BA05A4" w:rsidRDefault="00BA05A4" w:rsidP="00232F9B">
      <w:pPr>
        <w:pStyle w:val="Heading2"/>
        <w:rPr>
          <w:lang w:eastAsia="en-AU"/>
        </w:rPr>
        <w:sectPr w:rsidR="00BA05A4" w:rsidSect="0079143E">
          <w:headerReference w:type="even" r:id="rId12"/>
          <w:headerReference w:type="default" r:id="rId13"/>
          <w:pgSz w:w="11906" w:h="16838"/>
          <w:pgMar w:top="2665" w:right="2268" w:bottom="2126" w:left="2268" w:header="1899" w:footer="1899" w:gutter="0"/>
          <w:cols w:space="708"/>
          <w:docGrid w:linePitch="360"/>
        </w:sectPr>
      </w:pPr>
    </w:p>
    <w:p w:rsidR="00232F9B" w:rsidRPr="00232F9B" w:rsidRDefault="00232F9B" w:rsidP="00232F9B">
      <w:pPr>
        <w:pStyle w:val="Heading2"/>
        <w:rPr>
          <w:lang w:eastAsia="en-AU"/>
        </w:rPr>
      </w:pPr>
      <w:r w:rsidRPr="00232F9B">
        <w:rPr>
          <w:lang w:eastAsia="en-AU"/>
        </w:rPr>
        <w:lastRenderedPageBreak/>
        <w:t>Section 2: Outcomes and Planned Performance</w:t>
      </w:r>
      <w:bookmarkEnd w:id="6"/>
      <w:bookmarkEnd w:id="7"/>
    </w:p>
    <w:p w:rsidR="00232F9B" w:rsidRPr="00232F9B" w:rsidRDefault="00232F9B" w:rsidP="00232F9B">
      <w:pP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that contribute to government outcomes over the Budget and forward years.</w:t>
      </w:r>
    </w:p>
    <w:p w:rsidR="00232F9B" w:rsidRPr="00232F9B" w:rsidRDefault="00232F9B" w:rsidP="00232F9B">
      <w:pP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Each outcome is described within this section, together with its related programs. The following provides detailed information on expenses for each outcome and p</w:t>
      </w:r>
      <w:bookmarkStart w:id="8" w:name="_GoBack"/>
      <w:bookmarkEnd w:id="8"/>
      <w:r w:rsidRPr="00232F9B">
        <w:rPr>
          <w:rFonts w:ascii="Book Antiqua" w:eastAsia="Times New Roman" w:hAnsi="Book Antiqua"/>
          <w:color w:val="000000"/>
          <w:lang w:eastAsia="en-AU"/>
        </w:rPr>
        <w:t>rogram, further broken down by funding source.</w:t>
      </w:r>
    </w:p>
    <w:p w:rsidR="00232F9B" w:rsidRPr="00232F9B" w:rsidRDefault="00232F9B" w:rsidP="00AD5D75">
      <w:pPr>
        <w:pStyle w:val="Tablenumberandreference"/>
        <w:pBdr>
          <w:top w:val="single" w:sz="4" w:space="1" w:color="auto"/>
          <w:left w:val="single" w:sz="4" w:space="4" w:color="auto"/>
          <w:bottom w:val="single" w:sz="4" w:space="1" w:color="auto"/>
          <w:right w:val="single" w:sz="4" w:space="4" w:color="auto"/>
        </w:pBdr>
        <w:spacing w:after="120"/>
        <w:rPr>
          <w:color w:val="000000"/>
        </w:rPr>
      </w:pPr>
      <w:r w:rsidRPr="00232F9B">
        <w:rPr>
          <w:color w:val="000000"/>
        </w:rPr>
        <w:t>Note:</w:t>
      </w:r>
    </w:p>
    <w:p w:rsidR="00232F9B" w:rsidRPr="00232F9B" w:rsidRDefault="00232F9B" w:rsidP="00AD5D75">
      <w:pPr>
        <w:pBdr>
          <w:top w:val="single" w:sz="4" w:space="1" w:color="auto"/>
          <w:left w:val="single" w:sz="4" w:space="4" w:color="auto"/>
          <w:bottom w:val="single" w:sz="4" w:space="1" w:color="auto"/>
          <w:right w:val="single" w:sz="4" w:space="4" w:color="auto"/>
        </w:pBd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 xml:space="preserve">Performance reporting requirements in the Portfolio Budget Statements are part of the Commonwealth </w:t>
      </w:r>
      <w:r w:rsidR="000C724C">
        <w:rPr>
          <w:rFonts w:ascii="Book Antiqua" w:eastAsia="Times New Roman" w:hAnsi="Book Antiqua"/>
          <w:color w:val="000000"/>
          <w:lang w:eastAsia="en-AU"/>
        </w:rPr>
        <w:t>P</w:t>
      </w:r>
      <w:r w:rsidRPr="00232F9B">
        <w:rPr>
          <w:rFonts w:ascii="Book Antiqua" w:eastAsia="Times New Roman" w:hAnsi="Book Antiqua"/>
          <w:color w:val="000000"/>
          <w:lang w:eastAsia="en-AU"/>
        </w:rPr>
        <w:t xml:space="preserve">erformance </w:t>
      </w:r>
      <w:r w:rsidR="000C724C">
        <w:rPr>
          <w:rFonts w:ascii="Book Antiqua" w:eastAsia="Times New Roman" w:hAnsi="Book Antiqua"/>
          <w:color w:val="000000"/>
          <w:lang w:eastAsia="en-AU"/>
        </w:rPr>
        <w:t>F</w:t>
      </w:r>
      <w:r w:rsidRPr="00232F9B">
        <w:rPr>
          <w:rFonts w:ascii="Book Antiqua" w:eastAsia="Times New Roman" w:hAnsi="Book Antiqua"/>
          <w:color w:val="000000"/>
          <w:lang w:eastAsia="en-AU"/>
        </w:rPr>
        <w:t xml:space="preserve">ramework established by the </w:t>
      </w:r>
      <w:r w:rsidRPr="00232F9B">
        <w:rPr>
          <w:rFonts w:ascii="Book Antiqua" w:eastAsia="Times New Roman" w:hAnsi="Book Antiqua"/>
          <w:i/>
          <w:color w:val="000000"/>
          <w:lang w:eastAsia="en-AU"/>
        </w:rPr>
        <w:t>Public Governance, Performance and Accountability Act 2013</w:t>
      </w:r>
      <w:r w:rsidRPr="00232F9B">
        <w:rPr>
          <w:rFonts w:ascii="Book Antiqua" w:eastAsia="Times New Roman" w:hAnsi="Book Antiqua"/>
          <w:color w:val="000000"/>
          <w:lang w:eastAsia="en-AU"/>
        </w:rPr>
        <w:t>. It is anticipat</w:t>
      </w:r>
      <w:r w:rsidR="00AC4E35">
        <w:rPr>
          <w:rFonts w:ascii="Book Antiqua" w:eastAsia="Times New Roman" w:hAnsi="Book Antiqua"/>
          <w:color w:val="000000"/>
          <w:lang w:eastAsia="en-AU"/>
        </w:rPr>
        <w:t>ed that the performance measures</w:t>
      </w:r>
      <w:r w:rsidRPr="00232F9B">
        <w:rPr>
          <w:rFonts w:ascii="Book Antiqua" w:eastAsia="Times New Roman" w:hAnsi="Book Antiqua"/>
          <w:color w:val="000000"/>
          <w:lang w:eastAsia="en-AU"/>
        </w:rPr>
        <w:t xml:space="preserve"> described in Portfolio Budget Statements will be read with broader information provide</w:t>
      </w:r>
      <w:r w:rsidR="00847AD6">
        <w:rPr>
          <w:rFonts w:ascii="Book Antiqua" w:eastAsia="Times New Roman" w:hAnsi="Book Antiqua"/>
          <w:color w:val="000000"/>
          <w:lang w:eastAsia="en-AU"/>
        </w:rPr>
        <w:t>d in an entity’s Corporate Plan</w:t>
      </w:r>
      <w:r w:rsidRPr="00232F9B">
        <w:rPr>
          <w:rFonts w:ascii="Book Antiqua" w:eastAsia="Times New Roman" w:hAnsi="Book Antiqua"/>
          <w:color w:val="000000"/>
          <w:lang w:eastAsia="en-AU"/>
        </w:rPr>
        <w:t xml:space="preserve"> a</w:t>
      </w:r>
      <w:r w:rsidR="00847AD6">
        <w:rPr>
          <w:rFonts w:ascii="Book Antiqua" w:eastAsia="Times New Roman" w:hAnsi="Book Antiqua"/>
          <w:color w:val="000000"/>
          <w:lang w:eastAsia="en-AU"/>
        </w:rPr>
        <w:t>nd Annual Performance Statement</w:t>
      </w:r>
      <w:r w:rsidR="00B20448">
        <w:rPr>
          <w:rFonts w:ascii="Book Antiqua" w:eastAsia="Times New Roman" w:hAnsi="Book Antiqua"/>
          <w:color w:val="000000"/>
          <w:lang w:eastAsia="en-AU"/>
        </w:rPr>
        <w:t xml:space="preserve"> </w:t>
      </w:r>
      <w:r w:rsidRPr="00232F9B">
        <w:rPr>
          <w:rFonts w:ascii="Book Antiqua" w:eastAsia="Times New Roman" w:hAnsi="Book Antiqua"/>
          <w:color w:val="000000"/>
          <w:lang w:eastAsia="en-AU"/>
        </w:rPr>
        <w:t>– included in Annual Reports – to provide a complete picture of an entity’s planned and actual performance.</w:t>
      </w:r>
    </w:p>
    <w:p w:rsidR="00232F9B" w:rsidRPr="00232F9B" w:rsidRDefault="00232F9B" w:rsidP="00AD5D75">
      <w:pPr>
        <w:pBdr>
          <w:top w:val="single" w:sz="4" w:space="1" w:color="auto"/>
          <w:left w:val="single" w:sz="4" w:space="4" w:color="auto"/>
          <w:bottom w:val="single" w:sz="4" w:space="1" w:color="auto"/>
          <w:right w:val="single" w:sz="4" w:space="4" w:color="auto"/>
        </w:pBd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 xml:space="preserve">The most recent Corporate Plan for the Department of Health is available at: </w:t>
      </w:r>
      <w:r w:rsidR="00E8250E">
        <w:rPr>
          <w:rFonts w:ascii="Book Antiqua" w:eastAsia="Times New Roman" w:hAnsi="Book Antiqua"/>
          <w:color w:val="000000"/>
          <w:lang w:eastAsia="en-AU"/>
        </w:rPr>
        <w:t>w</w:t>
      </w:r>
      <w:r w:rsidR="00C06F9A" w:rsidRPr="00C06F9A">
        <w:rPr>
          <w:rFonts w:ascii="Book Antiqua" w:eastAsia="Times New Roman" w:hAnsi="Book Antiqua"/>
          <w:color w:val="000000"/>
          <w:lang w:eastAsia="en-AU"/>
        </w:rPr>
        <w:t>ww.health.gov.au/resources/</w:t>
      </w:r>
      <w:r w:rsidR="00EF5C5E">
        <w:rPr>
          <w:rFonts w:ascii="Book Antiqua" w:eastAsia="Times New Roman" w:hAnsi="Book Antiqua"/>
          <w:color w:val="000000"/>
          <w:lang w:eastAsia="en-AU"/>
        </w:rPr>
        <w:t>publications/corporate-plan-2021-22</w:t>
      </w:r>
    </w:p>
    <w:p w:rsidR="00232F9B" w:rsidRPr="00232F9B" w:rsidRDefault="00232F9B" w:rsidP="00AD5D75">
      <w:pPr>
        <w:pBdr>
          <w:top w:val="single" w:sz="4" w:space="1" w:color="auto"/>
          <w:left w:val="single" w:sz="4" w:space="4" w:color="auto"/>
          <w:bottom w:val="single" w:sz="4" w:space="1" w:color="auto"/>
          <w:right w:val="single" w:sz="4" w:space="4" w:color="auto"/>
        </w:pBdr>
        <w:spacing w:after="120"/>
        <w:rPr>
          <w:rFonts w:ascii="Book Antiqua" w:eastAsia="Times New Roman" w:hAnsi="Book Antiqua"/>
          <w:color w:val="000000"/>
          <w:lang w:eastAsia="en-AU"/>
        </w:rPr>
      </w:pPr>
      <w:r w:rsidRPr="00232F9B">
        <w:rPr>
          <w:rFonts w:ascii="Book Antiqua" w:eastAsia="Times New Roman" w:hAnsi="Book Antiqua"/>
          <w:color w:val="000000"/>
          <w:lang w:eastAsia="en-AU"/>
        </w:rPr>
        <w:t xml:space="preserve">The most recent Annual Performance Statement for the Department of Health is available at: </w:t>
      </w:r>
      <w:r w:rsidR="00C06F9A" w:rsidRPr="00C06F9A">
        <w:rPr>
          <w:rFonts w:ascii="Book Antiqua" w:eastAsia="Times New Roman" w:hAnsi="Book Antiqua"/>
          <w:color w:val="000000"/>
          <w:lang w:eastAsia="en-AU"/>
        </w:rPr>
        <w:t>www.health.gov.au/resources/publications/departm</w:t>
      </w:r>
      <w:r w:rsidR="00EF5C5E">
        <w:rPr>
          <w:rFonts w:ascii="Book Antiqua" w:eastAsia="Times New Roman" w:hAnsi="Book Antiqua"/>
          <w:color w:val="000000"/>
          <w:lang w:eastAsia="en-AU"/>
        </w:rPr>
        <w:t>ent-of-health-annual-report-2020-21</w:t>
      </w:r>
    </w:p>
    <w:p w:rsidR="00B20448" w:rsidRDefault="00B20448" w:rsidP="00232F9B"/>
    <w:p w:rsidR="00B20448" w:rsidRPr="007149BA" w:rsidRDefault="00E335E7" w:rsidP="007149BA">
      <w:pPr>
        <w:rPr>
          <w:rFonts w:ascii="Book Antiqua" w:hAnsi="Book Antiqua"/>
        </w:rPr>
      </w:pPr>
      <w:r w:rsidRPr="00E335E7">
        <w:rPr>
          <w:rFonts w:ascii="Book Antiqua" w:hAnsi="Book Antiqua"/>
        </w:rPr>
        <w:t>The Department of Health’s performance information is under continuous review.</w:t>
      </w:r>
      <w:r>
        <w:rPr>
          <w:rFonts w:ascii="Book Antiqua" w:hAnsi="Book Antiqua"/>
        </w:rPr>
        <w:t xml:space="preserve"> A</w:t>
      </w:r>
      <w:r w:rsidR="00362527">
        <w:rPr>
          <w:rFonts w:ascii="Book Antiqua" w:hAnsi="Book Antiqua"/>
        </w:rPr>
        <w:t>ny updates to</w:t>
      </w:r>
      <w:r>
        <w:rPr>
          <w:rFonts w:ascii="Book Antiqua" w:hAnsi="Book Antiqua"/>
        </w:rPr>
        <w:t xml:space="preserve"> current performance measures following publication of the </w:t>
      </w:r>
      <w:r w:rsidR="00362527">
        <w:rPr>
          <w:rFonts w:ascii="Book Antiqua" w:hAnsi="Book Antiqua"/>
        </w:rPr>
        <w:br/>
      </w:r>
      <w:r>
        <w:rPr>
          <w:rFonts w:ascii="Book Antiqua" w:hAnsi="Book Antiqua"/>
        </w:rPr>
        <w:t>2022–23 Portfolio Budget Statements will be reflected in the Department’s 2022–23 Corporate Plan, to b</w:t>
      </w:r>
      <w:r w:rsidR="00CD19AB">
        <w:rPr>
          <w:rFonts w:ascii="Book Antiqua" w:hAnsi="Book Antiqua"/>
        </w:rPr>
        <w:t>e published by 31 August 2022.</w:t>
      </w:r>
    </w:p>
    <w:p w:rsidR="00E42081" w:rsidRPr="00B20448" w:rsidRDefault="00E42081" w:rsidP="00B20448">
      <w:pPr>
        <w:tabs>
          <w:tab w:val="left" w:pos="4445"/>
        </w:tabs>
        <w:sectPr w:rsidR="00E42081" w:rsidRPr="00B20448" w:rsidSect="0079143E">
          <w:pgSz w:w="11906" w:h="16838"/>
          <w:pgMar w:top="2665" w:right="2268" w:bottom="2126" w:left="2268" w:header="1899" w:footer="1899" w:gutter="0"/>
          <w:cols w:space="708"/>
          <w:docGrid w:linePitch="360"/>
        </w:sectPr>
      </w:pPr>
    </w:p>
    <w:p w:rsidR="00280050" w:rsidRDefault="00280050" w:rsidP="00232F9B"/>
    <w:sectPr w:rsidR="00280050" w:rsidSect="0079143E">
      <w:headerReference w:type="even" r:id="rId14"/>
      <w:pgSz w:w="11906" w:h="16838"/>
      <w:pgMar w:top="2665"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F3" w:rsidRDefault="00314BF3" w:rsidP="00232F9B">
      <w:r>
        <w:separator/>
      </w:r>
    </w:p>
  </w:endnote>
  <w:endnote w:type="continuationSeparator" w:id="0">
    <w:p w:rsidR="00314BF3" w:rsidRDefault="00314BF3" w:rsidP="0023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10784"/>
      <w:docPartObj>
        <w:docPartGallery w:val="Page Numbers (Bottom of Page)"/>
        <w:docPartUnique/>
      </w:docPartObj>
    </w:sdtPr>
    <w:sdtEndPr>
      <w:rPr>
        <w:rFonts w:ascii="Arial" w:hAnsi="Arial" w:cs="Arial"/>
        <w:noProof/>
        <w:sz w:val="18"/>
        <w:szCs w:val="18"/>
      </w:rPr>
    </w:sdtEndPr>
    <w:sdtContent>
      <w:p w:rsidR="00314BF3" w:rsidRPr="00D952A0" w:rsidRDefault="00314BF3" w:rsidP="00D952A0">
        <w:pPr>
          <w:pStyle w:val="Footer"/>
          <w:pBdr>
            <w:top w:val="single" w:sz="4" w:space="1" w:color="auto"/>
          </w:pBdr>
          <w:jc w:val="center"/>
          <w:rPr>
            <w:rFonts w:ascii="Arial" w:hAnsi="Arial" w:cs="Arial"/>
            <w:noProof/>
            <w:sz w:val="18"/>
            <w:szCs w:val="18"/>
          </w:rPr>
        </w:pPr>
        <w:r w:rsidRPr="0063200E">
          <w:rPr>
            <w:rFonts w:ascii="Arial" w:hAnsi="Arial" w:cs="Arial"/>
            <w:noProof/>
            <w:sz w:val="18"/>
            <w:szCs w:val="18"/>
          </w:rPr>
          <w:fldChar w:fldCharType="begin"/>
        </w:r>
        <w:r w:rsidRPr="0063200E">
          <w:rPr>
            <w:rFonts w:ascii="Arial" w:hAnsi="Arial" w:cs="Arial"/>
            <w:noProof/>
            <w:sz w:val="18"/>
            <w:szCs w:val="18"/>
          </w:rPr>
          <w:instrText xml:space="preserve"> PAGE   \* MERGEFORMAT </w:instrText>
        </w:r>
        <w:r w:rsidRPr="0063200E">
          <w:rPr>
            <w:rFonts w:ascii="Arial" w:hAnsi="Arial" w:cs="Arial"/>
            <w:noProof/>
            <w:sz w:val="18"/>
            <w:szCs w:val="18"/>
          </w:rPr>
          <w:fldChar w:fldCharType="separate"/>
        </w:r>
        <w:r w:rsidR="00B0747C">
          <w:rPr>
            <w:rFonts w:ascii="Arial" w:hAnsi="Arial" w:cs="Arial"/>
            <w:noProof/>
            <w:sz w:val="18"/>
            <w:szCs w:val="18"/>
          </w:rPr>
          <w:t>52</w:t>
        </w:r>
        <w:r w:rsidRPr="0063200E">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71056"/>
      <w:docPartObj>
        <w:docPartGallery w:val="Page Numbers (Bottom of Page)"/>
        <w:docPartUnique/>
      </w:docPartObj>
    </w:sdtPr>
    <w:sdtEndPr>
      <w:rPr>
        <w:rFonts w:ascii="Arial" w:hAnsi="Arial" w:cs="Arial"/>
        <w:noProof/>
        <w:sz w:val="18"/>
        <w:szCs w:val="18"/>
      </w:rPr>
    </w:sdtEndPr>
    <w:sdtContent>
      <w:p w:rsidR="00314BF3" w:rsidRPr="00D952A0" w:rsidRDefault="00314BF3" w:rsidP="00D952A0">
        <w:pPr>
          <w:pStyle w:val="Footer"/>
          <w:pBdr>
            <w:top w:val="single" w:sz="4" w:space="1" w:color="auto"/>
          </w:pBdr>
          <w:spacing w:after="120"/>
          <w:jc w:val="center"/>
          <w:rPr>
            <w:rFonts w:ascii="Arial" w:hAnsi="Arial" w:cs="Arial"/>
            <w:sz w:val="18"/>
            <w:szCs w:val="18"/>
          </w:rPr>
        </w:pPr>
        <w:r w:rsidRPr="0079143E">
          <w:rPr>
            <w:rFonts w:ascii="Arial" w:hAnsi="Arial" w:cs="Arial"/>
            <w:sz w:val="18"/>
            <w:szCs w:val="18"/>
          </w:rPr>
          <w:fldChar w:fldCharType="begin"/>
        </w:r>
        <w:r w:rsidRPr="0079143E">
          <w:rPr>
            <w:rFonts w:ascii="Arial" w:hAnsi="Arial" w:cs="Arial"/>
            <w:sz w:val="18"/>
            <w:szCs w:val="18"/>
          </w:rPr>
          <w:instrText xml:space="preserve"> PAGE   \* MERGEFORMAT </w:instrText>
        </w:r>
        <w:r w:rsidRPr="0079143E">
          <w:rPr>
            <w:rFonts w:ascii="Arial" w:hAnsi="Arial" w:cs="Arial"/>
            <w:sz w:val="18"/>
            <w:szCs w:val="18"/>
          </w:rPr>
          <w:fldChar w:fldCharType="separate"/>
        </w:r>
        <w:r w:rsidR="00B0747C">
          <w:rPr>
            <w:rFonts w:ascii="Arial" w:hAnsi="Arial" w:cs="Arial"/>
            <w:noProof/>
            <w:sz w:val="18"/>
            <w:szCs w:val="18"/>
          </w:rPr>
          <w:t>51</w:t>
        </w:r>
        <w:r w:rsidRPr="0079143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F3" w:rsidRDefault="00314BF3" w:rsidP="00232F9B">
      <w:r>
        <w:separator/>
      </w:r>
    </w:p>
  </w:footnote>
  <w:footnote w:type="continuationSeparator" w:id="0">
    <w:p w:rsidR="00314BF3" w:rsidRDefault="00314BF3" w:rsidP="0023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3" w:rsidRPr="007936AF" w:rsidRDefault="00314BF3" w:rsidP="00FD28A8">
    <w:pPr>
      <w:pStyle w:val="Header"/>
      <w:pBdr>
        <w:bottom w:val="single" w:sz="4" w:space="1" w:color="auto"/>
      </w:pBdr>
      <w:rPr>
        <w:rFonts w:ascii="Arial" w:hAnsi="Arial" w:cs="Arial"/>
        <w:sz w:val="18"/>
        <w:szCs w:val="18"/>
      </w:rPr>
    </w:pPr>
    <w:r w:rsidRPr="00FC2BFB">
      <w:rPr>
        <w:rFonts w:ascii="Arial" w:hAnsi="Arial" w:cs="Arial"/>
        <w:sz w:val="18"/>
        <w:szCs w:val="18"/>
      </w:rPr>
      <w:t>202</w:t>
    </w:r>
    <w:r>
      <w:rPr>
        <w:rFonts w:ascii="Arial" w:hAnsi="Arial" w:cs="Arial"/>
        <w:sz w:val="18"/>
        <w:szCs w:val="18"/>
      </w:rPr>
      <w:t>2–</w:t>
    </w:r>
    <w:r w:rsidRPr="00FC2BFB">
      <w:rPr>
        <w:rFonts w:ascii="Arial" w:hAnsi="Arial" w:cs="Arial"/>
        <w:sz w:val="18"/>
        <w:szCs w:val="18"/>
      </w:rPr>
      <w:t>2</w:t>
    </w:r>
    <w:r>
      <w:rPr>
        <w:rFonts w:ascii="Arial" w:hAnsi="Arial" w:cs="Arial"/>
        <w:sz w:val="18"/>
        <w:szCs w:val="18"/>
      </w:rPr>
      <w:t>3</w:t>
    </w:r>
    <w:r w:rsidRPr="00FC2BFB">
      <w:rPr>
        <w:rFonts w:ascii="Arial" w:hAnsi="Arial" w:cs="Arial"/>
        <w:sz w:val="18"/>
        <w:szCs w:val="18"/>
      </w:rPr>
      <w:t xml:space="preserve">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3" w:rsidRPr="007936AF" w:rsidRDefault="00314BF3" w:rsidP="00FD28A8">
    <w:pPr>
      <w:pStyle w:val="Header"/>
      <w:pBdr>
        <w:bottom w:val="single" w:sz="4" w:space="1" w:color="auto"/>
      </w:pBdr>
      <w:jc w:val="right"/>
      <w:rPr>
        <w:rFonts w:ascii="Arial" w:hAnsi="Arial" w:cs="Arial"/>
        <w:color w:val="000000"/>
        <w:sz w:val="18"/>
        <w:szCs w:val="18"/>
        <w:lang w:eastAsia="en-AU"/>
      </w:rPr>
    </w:pPr>
    <w:r w:rsidRPr="00232F9B">
      <w:rPr>
        <w:rFonts w:ascii="Arial" w:hAnsi="Arial" w:cs="Arial"/>
        <w:color w:val="000000"/>
        <w:sz w:val="18"/>
        <w:szCs w:val="18"/>
        <w:lang w:eastAsia="en-AU"/>
      </w:rPr>
      <w:t>Section 1 – Entity Overview and Resources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3" w:rsidRPr="00BA05A4" w:rsidRDefault="00314BF3" w:rsidP="00BA0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3" w:rsidRPr="000C724C" w:rsidRDefault="00314BF3" w:rsidP="00FD28A8">
    <w:pPr>
      <w:pStyle w:val="Header"/>
      <w:pBdr>
        <w:bottom w:val="single" w:sz="4" w:space="1" w:color="auto"/>
      </w:pBdr>
      <w:jc w:val="right"/>
      <w:rPr>
        <w:rFonts w:ascii="Arial" w:hAnsi="Arial" w:cs="Arial"/>
        <w:color w:val="000000"/>
        <w:sz w:val="18"/>
        <w:szCs w:val="18"/>
        <w:lang w:eastAsia="en-AU"/>
      </w:rPr>
    </w:pPr>
    <w:r w:rsidRPr="00232F9B">
      <w:rPr>
        <w:rFonts w:ascii="Arial" w:hAnsi="Arial" w:cs="Arial"/>
        <w:color w:val="000000"/>
        <w:sz w:val="18"/>
        <w:szCs w:val="18"/>
        <w:lang w:eastAsia="en-AU"/>
      </w:rPr>
      <w:t xml:space="preserve">Section </w:t>
    </w:r>
    <w:r>
      <w:rPr>
        <w:rFonts w:ascii="Arial" w:hAnsi="Arial" w:cs="Arial"/>
        <w:color w:val="000000"/>
        <w:sz w:val="18"/>
        <w:szCs w:val="18"/>
        <w:lang w:eastAsia="en-AU"/>
      </w:rPr>
      <w:t>2</w:t>
    </w:r>
    <w:r w:rsidRPr="00232F9B">
      <w:rPr>
        <w:rFonts w:ascii="Arial" w:hAnsi="Arial" w:cs="Arial"/>
        <w:color w:val="000000"/>
        <w:sz w:val="18"/>
        <w:szCs w:val="18"/>
        <w:lang w:eastAsia="en-AU"/>
      </w:rPr>
      <w:t xml:space="preserve"> – </w:t>
    </w:r>
    <w:r>
      <w:rPr>
        <w:rFonts w:ascii="Arial" w:hAnsi="Arial" w:cs="Arial"/>
        <w:color w:val="000000"/>
        <w:sz w:val="18"/>
        <w:szCs w:val="18"/>
        <w:lang w:eastAsia="en-AU"/>
      </w:rPr>
      <w:t>Outcomes and Planned Performance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3" w:rsidRPr="00E42081" w:rsidRDefault="00314BF3" w:rsidP="00E4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EA"/>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93105"/>
    <w:multiLevelType w:val="hybridMultilevel"/>
    <w:tmpl w:val="8A44C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5B023D"/>
    <w:multiLevelType w:val="hybridMultilevel"/>
    <w:tmpl w:val="F87A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12FC7C8C"/>
    <w:multiLevelType w:val="multilevel"/>
    <w:tmpl w:val="4BA2174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25B0B"/>
    <w:multiLevelType w:val="hybridMultilevel"/>
    <w:tmpl w:val="F0D00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A4263"/>
    <w:multiLevelType w:val="multilevel"/>
    <w:tmpl w:val="0A70E22A"/>
    <w:lvl w:ilvl="0">
      <w:start w:val="1"/>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23D02480"/>
    <w:multiLevelType w:val="hybridMultilevel"/>
    <w:tmpl w:val="F74E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550A6B"/>
    <w:multiLevelType w:val="hybridMultilevel"/>
    <w:tmpl w:val="DC4AA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F96E9AA">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8F2F13"/>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59644E"/>
    <w:multiLevelType w:val="multilevel"/>
    <w:tmpl w:val="2D685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B1FC6"/>
    <w:multiLevelType w:val="hybridMultilevel"/>
    <w:tmpl w:val="52227366"/>
    <w:lvl w:ilvl="0" w:tplc="04090001">
      <w:start w:val="1"/>
      <w:numFmt w:val="bullet"/>
      <w:lvlText w:val=""/>
      <w:lvlJc w:val="left"/>
      <w:pPr>
        <w:tabs>
          <w:tab w:val="num" w:pos="360"/>
        </w:tabs>
        <w:ind w:left="360" w:hanging="360"/>
      </w:pPr>
      <w:rPr>
        <w:rFonts w:ascii="Symbol" w:hAnsi="Symbol" w:hint="default"/>
      </w:rPr>
    </w:lvl>
    <w:lvl w:ilvl="1" w:tplc="A856633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DF0001"/>
    <w:multiLevelType w:val="hybridMultilevel"/>
    <w:tmpl w:val="A818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223EC"/>
    <w:multiLevelType w:val="hybridMultilevel"/>
    <w:tmpl w:val="BF9E9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115ECE"/>
    <w:multiLevelType w:val="multilevel"/>
    <w:tmpl w:val="BB229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654925"/>
    <w:multiLevelType w:val="multilevel"/>
    <w:tmpl w:val="0B4CE6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701BC"/>
    <w:multiLevelType w:val="hybridMultilevel"/>
    <w:tmpl w:val="7D0A6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BF3971"/>
    <w:multiLevelType w:val="hybridMultilevel"/>
    <w:tmpl w:val="E51A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476828"/>
    <w:multiLevelType w:val="hybridMultilevel"/>
    <w:tmpl w:val="2870CF6A"/>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55137"/>
    <w:multiLevelType w:val="hybridMultilevel"/>
    <w:tmpl w:val="31D03E28"/>
    <w:lvl w:ilvl="0" w:tplc="0C090001">
      <w:start w:val="1"/>
      <w:numFmt w:val="bullet"/>
      <w:lvlText w:val=""/>
      <w:lvlJc w:val="left"/>
      <w:pPr>
        <w:ind w:left="770" w:hanging="360"/>
      </w:pPr>
      <w:rPr>
        <w:rFonts w:ascii="Symbol" w:hAnsi="Symbol" w:hint="default"/>
      </w:rPr>
    </w:lvl>
    <w:lvl w:ilvl="1" w:tplc="001EC094">
      <w:numFmt w:val="bullet"/>
      <w:lvlText w:val="·"/>
      <w:lvlJc w:val="left"/>
      <w:pPr>
        <w:ind w:left="1490" w:hanging="360"/>
      </w:pPr>
      <w:rPr>
        <w:rFonts w:ascii="Calibri" w:eastAsiaTheme="minorHAnsi" w:hAnsi="Calibri" w:cs="Calibri"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1" w15:restartNumberingAfterBreak="0">
    <w:nsid w:val="49CF5543"/>
    <w:multiLevelType w:val="hybridMultilevel"/>
    <w:tmpl w:val="25B639D2"/>
    <w:lvl w:ilvl="0" w:tplc="FB708D8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765ECF"/>
    <w:multiLevelType w:val="hybridMultilevel"/>
    <w:tmpl w:val="0DEC8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B7F6437"/>
    <w:multiLevelType w:val="hybridMultilevel"/>
    <w:tmpl w:val="CED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10302F"/>
    <w:multiLevelType w:val="hybridMultilevel"/>
    <w:tmpl w:val="8F82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D61FAB"/>
    <w:multiLevelType w:val="hybridMultilevel"/>
    <w:tmpl w:val="4CD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1BD2"/>
    <w:multiLevelType w:val="hybridMultilevel"/>
    <w:tmpl w:val="0994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DF0C0F"/>
    <w:multiLevelType w:val="hybridMultilevel"/>
    <w:tmpl w:val="A87E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70E67"/>
    <w:multiLevelType w:val="hybridMultilevel"/>
    <w:tmpl w:val="57FE1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EA20BAB"/>
    <w:multiLevelType w:val="multilevel"/>
    <w:tmpl w:val="4CCA64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DC06D1"/>
    <w:multiLevelType w:val="multilevel"/>
    <w:tmpl w:val="692A0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962C20"/>
    <w:multiLevelType w:val="hybridMultilevel"/>
    <w:tmpl w:val="F2101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2635A5"/>
    <w:multiLevelType w:val="hybridMultilevel"/>
    <w:tmpl w:val="7C4ABDD8"/>
    <w:lvl w:ilvl="0" w:tplc="A5EA97BC">
      <w:start w:val="1"/>
      <w:numFmt w:val="bullet"/>
      <w:lvlText w:val=""/>
      <w:lvlJc w:val="left"/>
      <w:pPr>
        <w:ind w:left="360" w:hanging="360"/>
      </w:pPr>
      <w:rPr>
        <w:rFonts w:ascii="Symbol" w:hAnsi="Symbol" w:hint="default"/>
      </w:rPr>
    </w:lvl>
    <w:lvl w:ilvl="1" w:tplc="A1C2291E">
      <w:start w:val="1"/>
      <w:numFmt w:val="bullet"/>
      <w:lvlText w:val="o"/>
      <w:lvlJc w:val="left"/>
      <w:pPr>
        <w:ind w:left="1440" w:hanging="360"/>
      </w:pPr>
      <w:rPr>
        <w:rFonts w:ascii="Courier New" w:hAnsi="Courier New" w:cs="Courier New" w:hint="default"/>
      </w:rPr>
    </w:lvl>
    <w:lvl w:ilvl="2" w:tplc="BF6A0114">
      <w:start w:val="1"/>
      <w:numFmt w:val="bullet"/>
      <w:lvlText w:val=""/>
      <w:lvlJc w:val="left"/>
      <w:pPr>
        <w:ind w:left="2160" w:hanging="360"/>
      </w:pPr>
      <w:rPr>
        <w:rFonts w:ascii="Wingdings" w:hAnsi="Wingdings" w:hint="default"/>
      </w:rPr>
    </w:lvl>
    <w:lvl w:ilvl="3" w:tplc="D12E4E74">
      <w:start w:val="1"/>
      <w:numFmt w:val="bullet"/>
      <w:lvlText w:val=""/>
      <w:lvlJc w:val="left"/>
      <w:pPr>
        <w:ind w:left="2880" w:hanging="360"/>
      </w:pPr>
      <w:rPr>
        <w:rFonts w:ascii="Symbol" w:hAnsi="Symbol" w:hint="default"/>
      </w:rPr>
    </w:lvl>
    <w:lvl w:ilvl="4" w:tplc="296C5DA4">
      <w:start w:val="1"/>
      <w:numFmt w:val="bullet"/>
      <w:lvlText w:val="o"/>
      <w:lvlJc w:val="left"/>
      <w:pPr>
        <w:ind w:left="3600" w:hanging="360"/>
      </w:pPr>
      <w:rPr>
        <w:rFonts w:ascii="Courier New" w:hAnsi="Courier New" w:cs="Courier New" w:hint="default"/>
      </w:rPr>
    </w:lvl>
    <w:lvl w:ilvl="5" w:tplc="EA0EAE3A">
      <w:start w:val="1"/>
      <w:numFmt w:val="bullet"/>
      <w:lvlText w:val=""/>
      <w:lvlJc w:val="left"/>
      <w:pPr>
        <w:ind w:left="4320" w:hanging="360"/>
      </w:pPr>
      <w:rPr>
        <w:rFonts w:ascii="Wingdings" w:hAnsi="Wingdings" w:hint="default"/>
      </w:rPr>
    </w:lvl>
    <w:lvl w:ilvl="6" w:tplc="7292D2BE">
      <w:start w:val="1"/>
      <w:numFmt w:val="bullet"/>
      <w:lvlText w:val=""/>
      <w:lvlJc w:val="left"/>
      <w:pPr>
        <w:ind w:left="5040" w:hanging="360"/>
      </w:pPr>
      <w:rPr>
        <w:rFonts w:ascii="Symbol" w:hAnsi="Symbol" w:hint="default"/>
      </w:rPr>
    </w:lvl>
    <w:lvl w:ilvl="7" w:tplc="796A6086">
      <w:start w:val="1"/>
      <w:numFmt w:val="bullet"/>
      <w:lvlText w:val="o"/>
      <w:lvlJc w:val="left"/>
      <w:pPr>
        <w:ind w:left="5760" w:hanging="360"/>
      </w:pPr>
      <w:rPr>
        <w:rFonts w:ascii="Courier New" w:hAnsi="Courier New" w:cs="Courier New" w:hint="default"/>
      </w:rPr>
    </w:lvl>
    <w:lvl w:ilvl="8" w:tplc="5ED69A38">
      <w:start w:val="1"/>
      <w:numFmt w:val="bullet"/>
      <w:lvlText w:val=""/>
      <w:lvlJc w:val="left"/>
      <w:pPr>
        <w:ind w:left="6480" w:hanging="360"/>
      </w:pPr>
      <w:rPr>
        <w:rFonts w:ascii="Wingdings" w:hAnsi="Wingdings" w:hint="default"/>
      </w:rPr>
    </w:lvl>
  </w:abstractNum>
  <w:abstractNum w:abstractNumId="33" w15:restartNumberingAfterBreak="0">
    <w:nsid w:val="77670981"/>
    <w:multiLevelType w:val="hybridMultilevel"/>
    <w:tmpl w:val="97F2B138"/>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502D1C"/>
    <w:multiLevelType w:val="hybridMultilevel"/>
    <w:tmpl w:val="A9468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9A34D8"/>
    <w:multiLevelType w:val="hybridMultilevel"/>
    <w:tmpl w:val="15D87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B4D04A4"/>
    <w:multiLevelType w:val="hybridMultilevel"/>
    <w:tmpl w:val="7166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12"/>
  </w:num>
  <w:num w:numId="5">
    <w:abstractNumId w:val="9"/>
  </w:num>
  <w:num w:numId="6">
    <w:abstractNumId w:val="23"/>
  </w:num>
  <w:num w:numId="7">
    <w:abstractNumId w:val="16"/>
  </w:num>
  <w:num w:numId="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22"/>
  </w:num>
  <w:num w:numId="12">
    <w:abstractNumId w:val="34"/>
  </w:num>
  <w:num w:numId="13">
    <w:abstractNumId w:val="24"/>
  </w:num>
  <w:num w:numId="14">
    <w:abstractNumId w:val="33"/>
  </w:num>
  <w:num w:numId="15">
    <w:abstractNumId w:val="19"/>
  </w:num>
  <w:num w:numId="16">
    <w:abstractNumId w:val="13"/>
  </w:num>
  <w:num w:numId="17">
    <w:abstractNumId w:val="36"/>
  </w:num>
  <w:num w:numId="18">
    <w:abstractNumId w:val="26"/>
  </w:num>
  <w:num w:numId="19">
    <w:abstractNumId w:val="7"/>
  </w:num>
  <w:num w:numId="20">
    <w:abstractNumId w:val="27"/>
  </w:num>
  <w:num w:numId="21">
    <w:abstractNumId w:val="25"/>
  </w:num>
  <w:num w:numId="22">
    <w:abstractNumId w:val="5"/>
  </w:num>
  <w:num w:numId="23">
    <w:abstractNumId w:val="31"/>
  </w:num>
  <w:num w:numId="24">
    <w:abstractNumId w:val="1"/>
  </w:num>
  <w:num w:numId="25">
    <w:abstractNumId w:val="17"/>
  </w:num>
  <w:num w:numId="26">
    <w:abstractNumId w:val="28"/>
  </w:num>
  <w:num w:numId="27">
    <w:abstractNumId w:val="35"/>
  </w:num>
  <w:num w:numId="28">
    <w:abstractNumId w:val="21"/>
  </w:num>
  <w:num w:numId="29">
    <w:abstractNumId w:val="32"/>
  </w:num>
  <w:num w:numId="30">
    <w:abstractNumId w:val="14"/>
  </w:num>
  <w:num w:numId="31">
    <w:abstractNumId w:val="20"/>
  </w:num>
  <w:num w:numId="32">
    <w:abstractNumId w:val="29"/>
  </w:num>
  <w:num w:numId="33">
    <w:abstractNumId w:val="4"/>
  </w:num>
  <w:num w:numId="34">
    <w:abstractNumId w:val="15"/>
  </w:num>
  <w:num w:numId="35">
    <w:abstractNumId w:val="30"/>
  </w:num>
  <w:num w:numId="36">
    <w:abstractNumId w:val="0"/>
  </w:num>
  <w:num w:numId="37">
    <w:abstractNumId w:val="6"/>
  </w:num>
  <w:num w:numId="38">
    <w:abstractNumId w:val="1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9B"/>
    <w:rsid w:val="00011AF6"/>
    <w:rsid w:val="00015FAC"/>
    <w:rsid w:val="000555FB"/>
    <w:rsid w:val="00055850"/>
    <w:rsid w:val="000921B0"/>
    <w:rsid w:val="000C724C"/>
    <w:rsid w:val="001644D5"/>
    <w:rsid w:val="00171DF4"/>
    <w:rsid w:val="001B2EF1"/>
    <w:rsid w:val="001E1E28"/>
    <w:rsid w:val="002277F9"/>
    <w:rsid w:val="00232F9B"/>
    <w:rsid w:val="00280050"/>
    <w:rsid w:val="00314BF3"/>
    <w:rsid w:val="003523F1"/>
    <w:rsid w:val="00362527"/>
    <w:rsid w:val="0037037F"/>
    <w:rsid w:val="003A45A0"/>
    <w:rsid w:val="003C4A03"/>
    <w:rsid w:val="003D40FC"/>
    <w:rsid w:val="003D6BEC"/>
    <w:rsid w:val="003F1847"/>
    <w:rsid w:val="004476E4"/>
    <w:rsid w:val="004745C1"/>
    <w:rsid w:val="004C3B30"/>
    <w:rsid w:val="004C7F94"/>
    <w:rsid w:val="005637B4"/>
    <w:rsid w:val="005B225B"/>
    <w:rsid w:val="005C2D60"/>
    <w:rsid w:val="005D52B5"/>
    <w:rsid w:val="0060513A"/>
    <w:rsid w:val="006D04B1"/>
    <w:rsid w:val="007149BA"/>
    <w:rsid w:val="007427E1"/>
    <w:rsid w:val="00760E97"/>
    <w:rsid w:val="00774F7F"/>
    <w:rsid w:val="007845B5"/>
    <w:rsid w:val="00784FEB"/>
    <w:rsid w:val="0079143E"/>
    <w:rsid w:val="007936AF"/>
    <w:rsid w:val="007938B3"/>
    <w:rsid w:val="00796498"/>
    <w:rsid w:val="007F0FA0"/>
    <w:rsid w:val="00803083"/>
    <w:rsid w:val="00847AD6"/>
    <w:rsid w:val="008C0E3D"/>
    <w:rsid w:val="008F3F2F"/>
    <w:rsid w:val="009215A6"/>
    <w:rsid w:val="00992F2C"/>
    <w:rsid w:val="00A14EB6"/>
    <w:rsid w:val="00A21E8B"/>
    <w:rsid w:val="00A6223E"/>
    <w:rsid w:val="00A668BF"/>
    <w:rsid w:val="00A77688"/>
    <w:rsid w:val="00A87D4F"/>
    <w:rsid w:val="00AC4E35"/>
    <w:rsid w:val="00AD5D75"/>
    <w:rsid w:val="00B0267D"/>
    <w:rsid w:val="00B0747C"/>
    <w:rsid w:val="00B20448"/>
    <w:rsid w:val="00B57B95"/>
    <w:rsid w:val="00B63A9E"/>
    <w:rsid w:val="00BA05A4"/>
    <w:rsid w:val="00BA4B89"/>
    <w:rsid w:val="00BC1A1D"/>
    <w:rsid w:val="00BD4F45"/>
    <w:rsid w:val="00BD703F"/>
    <w:rsid w:val="00BE0F59"/>
    <w:rsid w:val="00C069E9"/>
    <w:rsid w:val="00C06F9A"/>
    <w:rsid w:val="00C1601F"/>
    <w:rsid w:val="00C50908"/>
    <w:rsid w:val="00C8253B"/>
    <w:rsid w:val="00CD19AB"/>
    <w:rsid w:val="00CE2F67"/>
    <w:rsid w:val="00D042CA"/>
    <w:rsid w:val="00D64D1D"/>
    <w:rsid w:val="00D66C8E"/>
    <w:rsid w:val="00D7327A"/>
    <w:rsid w:val="00D952A0"/>
    <w:rsid w:val="00E05BB8"/>
    <w:rsid w:val="00E1721A"/>
    <w:rsid w:val="00E24E18"/>
    <w:rsid w:val="00E335E7"/>
    <w:rsid w:val="00E42081"/>
    <w:rsid w:val="00E8250E"/>
    <w:rsid w:val="00EB0222"/>
    <w:rsid w:val="00EF0171"/>
    <w:rsid w:val="00EF5C5E"/>
    <w:rsid w:val="00F14D6C"/>
    <w:rsid w:val="00FA06C5"/>
    <w:rsid w:val="00FC4239"/>
    <w:rsid w:val="00FC72B7"/>
    <w:rsid w:val="00FD2283"/>
    <w:rsid w:val="00FD28A8"/>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0E29E643-84AE-41BE-AB13-D6ADA19F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A6"/>
  </w:style>
  <w:style w:type="paragraph" w:styleId="Heading1">
    <w:name w:val="heading 1"/>
    <w:basedOn w:val="ContentsHeading"/>
    <w:next w:val="Normal"/>
    <w:link w:val="Heading1Char"/>
    <w:qFormat/>
    <w:rsid w:val="009215A6"/>
    <w:pPr>
      <w:spacing w:after="720"/>
      <w:outlineLvl w:val="0"/>
    </w:pPr>
    <w:rPr>
      <w:rFonts w:eastAsiaTheme="majorEastAsia"/>
      <w:sz w:val="52"/>
    </w:rPr>
  </w:style>
  <w:style w:type="paragraph" w:styleId="Heading2">
    <w:name w:val="heading 2"/>
    <w:basedOn w:val="Normal"/>
    <w:next w:val="Normal"/>
    <w:link w:val="Heading2Char"/>
    <w:qFormat/>
    <w:rsid w:val="009215A6"/>
    <w:pPr>
      <w:spacing w:after="240"/>
      <w:outlineLvl w:val="1"/>
    </w:pPr>
    <w:rPr>
      <w:rFonts w:ascii="Arial" w:eastAsia="Times New Roman" w:hAnsi="Arial" w:cs="Arial"/>
      <w:iCs/>
      <w:sz w:val="30"/>
      <w:szCs w:val="30"/>
    </w:rPr>
  </w:style>
  <w:style w:type="paragraph" w:styleId="Heading3">
    <w:name w:val="heading 3"/>
    <w:basedOn w:val="Normal"/>
    <w:next w:val="Normal"/>
    <w:link w:val="Heading3Char"/>
    <w:qFormat/>
    <w:rsid w:val="009215A6"/>
    <w:pPr>
      <w:keepNext/>
      <w:tabs>
        <w:tab w:val="left" w:pos="709"/>
      </w:tabs>
      <w:spacing w:after="240"/>
      <w:outlineLvl w:val="2"/>
    </w:pPr>
    <w:rPr>
      <w:rFonts w:ascii="Arial" w:eastAsia="Times New Roman" w:hAnsi="Arial"/>
      <w:b/>
      <w:smallCaps/>
      <w:sz w:val="26"/>
      <w:szCs w:val="26"/>
    </w:rPr>
  </w:style>
  <w:style w:type="paragraph" w:styleId="Heading4">
    <w:name w:val="heading 4"/>
    <w:basedOn w:val="Normal"/>
    <w:next w:val="Normal"/>
    <w:link w:val="Heading4Char"/>
    <w:qFormat/>
    <w:rsid w:val="009215A6"/>
    <w:pPr>
      <w:keepNext/>
      <w:tabs>
        <w:tab w:val="left" w:pos="709"/>
      </w:tabs>
      <w:spacing w:before="240"/>
      <w:outlineLvl w:val="3"/>
    </w:pPr>
    <w:rPr>
      <w:rFonts w:ascii="Arial" w:eastAsia="Times New Roman" w:hAnsi="Arial"/>
      <w:b/>
      <w:sz w:val="22"/>
    </w:rPr>
  </w:style>
  <w:style w:type="paragraph" w:styleId="Heading5">
    <w:name w:val="heading 5"/>
    <w:basedOn w:val="Normal"/>
    <w:next w:val="Normal"/>
    <w:link w:val="Heading5Char"/>
    <w:qFormat/>
    <w:rsid w:val="009215A6"/>
    <w:pPr>
      <w:spacing w:before="120"/>
      <w:outlineLvl w:val="4"/>
    </w:pPr>
    <w:rPr>
      <w:rFonts w:ascii="Arial" w:eastAsia="Times New Roman" w:hAnsi="Arial"/>
      <w:b/>
      <w:bCs/>
      <w:iCs/>
      <w:szCs w:val="26"/>
    </w:rPr>
  </w:style>
  <w:style w:type="paragraph" w:styleId="Heading6">
    <w:name w:val="heading 6"/>
    <w:basedOn w:val="Normal"/>
    <w:next w:val="Normal"/>
    <w:link w:val="Heading6Char"/>
    <w:rsid w:val="009215A6"/>
    <w:pPr>
      <w:spacing w:before="240" w:after="60"/>
      <w:outlineLvl w:val="5"/>
    </w:pPr>
    <w:rPr>
      <w:rFonts w:eastAsia="Times New Roman"/>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
    <w:name w:val="Contents Heading"/>
    <w:link w:val="ContentsHeadingChar"/>
    <w:qFormat/>
    <w:rsid w:val="009215A6"/>
    <w:pPr>
      <w:spacing w:after="360"/>
      <w:jc w:val="center"/>
    </w:pPr>
    <w:rPr>
      <w:rFonts w:ascii="Arial" w:eastAsia="Times New Roman" w:hAnsi="Arial" w:cs="Arial"/>
      <w:b/>
      <w:bCs/>
      <w:smallCaps/>
      <w:color w:val="000000"/>
      <w:kern w:val="32"/>
      <w:sz w:val="34"/>
      <w:szCs w:val="34"/>
      <w:lang w:eastAsia="en-AU"/>
    </w:rPr>
  </w:style>
  <w:style w:type="character" w:customStyle="1" w:styleId="ContentsHeadingChar">
    <w:name w:val="Contents Heading Char"/>
    <w:basedOn w:val="Heading1Char"/>
    <w:link w:val="ContentsHeading"/>
    <w:rsid w:val="009215A6"/>
    <w:rPr>
      <w:rFonts w:ascii="Arial" w:eastAsia="Times New Roman" w:hAnsi="Arial" w:cs="Arial"/>
      <w:b/>
      <w:bCs/>
      <w:smallCaps/>
      <w:color w:val="000000"/>
      <w:kern w:val="32"/>
      <w:sz w:val="34"/>
      <w:szCs w:val="34"/>
      <w:lang w:eastAsia="en-AU"/>
    </w:rPr>
  </w:style>
  <w:style w:type="paragraph" w:customStyle="1" w:styleId="PartHeading">
    <w:name w:val="Part Heading"/>
    <w:basedOn w:val="Heading1"/>
    <w:next w:val="Normal"/>
    <w:qFormat/>
    <w:rsid w:val="009215A6"/>
    <w:pPr>
      <w:spacing w:after="0"/>
    </w:pPr>
    <w:rPr>
      <w:rFonts w:eastAsia="Times New Roman"/>
      <w:smallCaps w:val="0"/>
      <w:kern w:val="28"/>
    </w:rPr>
  </w:style>
  <w:style w:type="character" w:customStyle="1" w:styleId="Heading1Char">
    <w:name w:val="Heading 1 Char"/>
    <w:basedOn w:val="DefaultParagraphFont"/>
    <w:link w:val="Heading1"/>
    <w:rsid w:val="009215A6"/>
    <w:rPr>
      <w:rFonts w:ascii="Arial" w:eastAsiaTheme="majorEastAsia"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215A6"/>
    <w:pPr>
      <w:keepNext/>
      <w:tabs>
        <w:tab w:val="left" w:pos="5830"/>
      </w:tabs>
      <w:spacing w:before="440"/>
      <w:ind w:right="-68"/>
      <w:jc w:val="center"/>
    </w:pPr>
    <w:rPr>
      <w:rFonts w:ascii="Arial Bold" w:eastAsia="Times New Roman" w:hAnsi="Arial Bold" w:cs="Arial"/>
      <w:b/>
      <w:bCs/>
      <w:sz w:val="44"/>
      <w:szCs w:val="56"/>
    </w:rPr>
  </w:style>
  <w:style w:type="character" w:customStyle="1" w:styleId="EntitySubtitleChar">
    <w:name w:val="Entity Subtitle Char"/>
    <w:basedOn w:val="DefaultParagraphFont"/>
    <w:link w:val="EntitySubtitle"/>
    <w:rsid w:val="009215A6"/>
    <w:rPr>
      <w:rFonts w:ascii="Arial Bold" w:eastAsia="Times New Roman" w:hAnsi="Arial Bold" w:cs="Arial"/>
      <w:b/>
      <w:bCs/>
      <w:color w:val="000000"/>
      <w:sz w:val="44"/>
      <w:szCs w:val="56"/>
      <w:lang w:eastAsia="en-AU"/>
    </w:rPr>
  </w:style>
  <w:style w:type="paragraph" w:customStyle="1" w:styleId="TOCHeading1">
    <w:name w:val="TOC Heading1"/>
    <w:basedOn w:val="Normal"/>
    <w:link w:val="ToCHeadingChar"/>
    <w:qFormat/>
    <w:rsid w:val="009215A6"/>
    <w:pPr>
      <w:tabs>
        <w:tab w:val="left" w:pos="1760"/>
        <w:tab w:val="right" w:leader="dot" w:pos="7371"/>
      </w:tabs>
      <w:spacing w:before="180"/>
    </w:pPr>
    <w:rPr>
      <w:rFonts w:ascii="Arial" w:eastAsia="Times New Roman" w:hAnsi="Arial" w:cs="Arial"/>
      <w:b/>
      <w:bCs/>
    </w:rPr>
  </w:style>
  <w:style w:type="character" w:customStyle="1" w:styleId="ToCHeadingChar">
    <w:name w:val="ToC Heading Char"/>
    <w:basedOn w:val="DefaultParagraphFont"/>
    <w:link w:val="TOCHeading1"/>
    <w:rsid w:val="009215A6"/>
    <w:rPr>
      <w:rFonts w:ascii="Arial" w:eastAsia="Times New Roman" w:hAnsi="Arial" w:cs="Arial"/>
      <w:b/>
      <w:bCs/>
      <w:color w:val="000000"/>
      <w:sz w:val="20"/>
      <w:szCs w:val="20"/>
      <w:lang w:eastAsia="en-AU"/>
    </w:rPr>
  </w:style>
  <w:style w:type="paragraph" w:customStyle="1" w:styleId="Bullet">
    <w:name w:val="Bullet"/>
    <w:basedOn w:val="Normal"/>
    <w:rsid w:val="009215A6"/>
    <w:pPr>
      <w:keepNext/>
      <w:keepLines/>
      <w:numPr>
        <w:numId w:val="2"/>
      </w:numPr>
      <w:spacing w:before="60" w:after="60" w:line="300" w:lineRule="auto"/>
      <w:outlineLvl w:val="2"/>
    </w:pPr>
    <w:rPr>
      <w:rFonts w:eastAsiaTheme="minorEastAsia" w:cstheme="minorBidi"/>
      <w:sz w:val="24"/>
      <w:szCs w:val="24"/>
    </w:rPr>
  </w:style>
  <w:style w:type="paragraph" w:customStyle="1" w:styleId="ToCHeading2">
    <w:name w:val="ToC Heading 2"/>
    <w:basedOn w:val="Normal"/>
    <w:link w:val="ToCHeading2Char"/>
    <w:qFormat/>
    <w:rsid w:val="009215A6"/>
    <w:pPr>
      <w:tabs>
        <w:tab w:val="left" w:pos="567"/>
        <w:tab w:val="right" w:leader="dot" w:pos="7371"/>
      </w:tabs>
      <w:spacing w:before="180"/>
    </w:pPr>
    <w:rPr>
      <w:rFonts w:ascii="Arial" w:eastAsia="Times New Roman" w:hAnsi="Arial" w:cs="Arial"/>
      <w:b/>
    </w:rPr>
  </w:style>
  <w:style w:type="character" w:customStyle="1" w:styleId="ToCHeading2Char">
    <w:name w:val="ToC Heading 2 Char"/>
    <w:basedOn w:val="DefaultParagraphFont"/>
    <w:link w:val="ToCHeading2"/>
    <w:rsid w:val="009215A6"/>
    <w:rPr>
      <w:rFonts w:ascii="Arial" w:eastAsia="Times New Roman" w:hAnsi="Arial" w:cs="Arial"/>
      <w:b/>
      <w:color w:val="000000"/>
      <w:sz w:val="20"/>
      <w:szCs w:val="20"/>
      <w:lang w:eastAsia="en-AU"/>
    </w:rPr>
  </w:style>
  <w:style w:type="paragraph" w:customStyle="1" w:styleId="Tablenumberandreference">
    <w:name w:val="Table number and reference"/>
    <w:basedOn w:val="Normal"/>
    <w:qFormat/>
    <w:rsid w:val="009215A6"/>
    <w:rPr>
      <w:rFonts w:ascii="Arial" w:eastAsia="Times New Roman" w:hAnsi="Arial" w:cs="Arial"/>
      <w:b/>
      <w:szCs w:val="18"/>
    </w:rPr>
  </w:style>
  <w:style w:type="paragraph" w:customStyle="1" w:styleId="StyleTableGraphicItalicRed">
    <w:name w:val="Style Table Graphic + Italic Red"/>
    <w:basedOn w:val="Normal"/>
    <w:rsid w:val="009215A6"/>
    <w:pPr>
      <w:spacing w:after="60" w:line="200" w:lineRule="exact"/>
    </w:pPr>
    <w:rPr>
      <w:rFonts w:eastAsia="Times New Roman"/>
      <w:i/>
      <w:iCs/>
      <w:color w:val="FF0000"/>
    </w:rPr>
  </w:style>
  <w:style w:type="character" w:customStyle="1" w:styleId="Heading2Char">
    <w:name w:val="Heading 2 Char"/>
    <w:basedOn w:val="DefaultParagraphFont"/>
    <w:link w:val="Heading2"/>
    <w:rsid w:val="009215A6"/>
    <w:rPr>
      <w:rFonts w:ascii="Arial" w:eastAsia="Times New Roman" w:hAnsi="Arial" w:cs="Arial"/>
      <w:iCs/>
      <w:color w:val="000000"/>
      <w:sz w:val="30"/>
      <w:szCs w:val="30"/>
      <w:lang w:eastAsia="en-AU"/>
    </w:rPr>
  </w:style>
  <w:style w:type="character" w:customStyle="1" w:styleId="Heading3Char">
    <w:name w:val="Heading 3 Char"/>
    <w:link w:val="Heading3"/>
    <w:rsid w:val="009215A6"/>
    <w:rPr>
      <w:rFonts w:ascii="Arial" w:eastAsia="Times New Roman" w:hAnsi="Arial"/>
      <w:b/>
      <w:smallCaps/>
      <w:color w:val="000000"/>
      <w:sz w:val="26"/>
      <w:szCs w:val="26"/>
      <w:lang w:eastAsia="en-AU"/>
    </w:rPr>
  </w:style>
  <w:style w:type="character" w:customStyle="1" w:styleId="Heading4Char">
    <w:name w:val="Heading 4 Char"/>
    <w:basedOn w:val="DefaultParagraphFont"/>
    <w:link w:val="Heading4"/>
    <w:rsid w:val="009215A6"/>
    <w:rPr>
      <w:rFonts w:ascii="Arial" w:eastAsia="Times New Roman" w:hAnsi="Arial"/>
      <w:b/>
      <w:color w:val="000000"/>
      <w:sz w:val="22"/>
      <w:szCs w:val="20"/>
      <w:lang w:eastAsia="en-AU"/>
    </w:rPr>
  </w:style>
  <w:style w:type="character" w:customStyle="1" w:styleId="Heading5Char">
    <w:name w:val="Heading 5 Char"/>
    <w:basedOn w:val="DefaultParagraphFont"/>
    <w:link w:val="Heading5"/>
    <w:rsid w:val="009215A6"/>
    <w:rPr>
      <w:rFonts w:ascii="Arial" w:eastAsia="Times New Roman" w:hAnsi="Arial"/>
      <w:b/>
      <w:bCs/>
      <w:iCs/>
      <w:color w:val="000000"/>
      <w:sz w:val="20"/>
      <w:szCs w:val="26"/>
      <w:lang w:eastAsia="en-AU"/>
    </w:rPr>
  </w:style>
  <w:style w:type="character" w:customStyle="1" w:styleId="Heading6Char">
    <w:name w:val="Heading 6 Char"/>
    <w:basedOn w:val="DefaultParagraphFont"/>
    <w:link w:val="Heading6"/>
    <w:rsid w:val="009215A6"/>
    <w:rPr>
      <w:rFonts w:ascii="Book Antiqua" w:eastAsia="Times New Roman" w:hAnsi="Book Antiqua"/>
      <w:b/>
      <w:bCs/>
      <w:i/>
      <w:color w:val="000000"/>
      <w:sz w:val="22"/>
      <w:szCs w:val="22"/>
      <w:lang w:eastAsia="en-AU"/>
    </w:rPr>
  </w:style>
  <w:style w:type="paragraph" w:styleId="TOC1">
    <w:name w:val="toc 1"/>
    <w:next w:val="Normal"/>
    <w:autoRedefine/>
    <w:uiPriority w:val="39"/>
    <w:qFormat/>
    <w:rsid w:val="009215A6"/>
    <w:pPr>
      <w:tabs>
        <w:tab w:val="right" w:leader="dot" w:pos="7371"/>
      </w:tabs>
      <w:spacing w:before="360" w:after="120"/>
    </w:pPr>
    <w:rPr>
      <w:rFonts w:ascii="Arial" w:eastAsia="Times New Roman" w:hAnsi="Arial" w:cs="Arial"/>
      <w:b/>
      <w:bCs/>
      <w:color w:val="000000"/>
    </w:rPr>
  </w:style>
  <w:style w:type="paragraph" w:styleId="TOC2">
    <w:name w:val="toc 2"/>
    <w:next w:val="Normal"/>
    <w:autoRedefine/>
    <w:uiPriority w:val="39"/>
    <w:rsid w:val="009215A6"/>
    <w:pPr>
      <w:tabs>
        <w:tab w:val="left" w:pos="658"/>
        <w:tab w:val="right" w:leader="dot" w:pos="7360"/>
      </w:tabs>
      <w:spacing w:before="60" w:after="120"/>
    </w:pPr>
    <w:rPr>
      <w:rFonts w:ascii="Arial" w:eastAsiaTheme="minorEastAsia" w:hAnsi="Arial" w:cstheme="minorBidi"/>
      <w:noProof/>
      <w:szCs w:val="22"/>
      <w:lang w:eastAsia="en-AU"/>
    </w:rPr>
  </w:style>
  <w:style w:type="paragraph" w:styleId="TOC3">
    <w:name w:val="toc 3"/>
    <w:basedOn w:val="Normal"/>
    <w:next w:val="Normal"/>
    <w:autoRedefine/>
    <w:uiPriority w:val="39"/>
    <w:rsid w:val="009215A6"/>
    <w:pPr>
      <w:tabs>
        <w:tab w:val="right" w:leader="dot" w:pos="7371"/>
      </w:tabs>
      <w:spacing w:before="10" w:after="10"/>
      <w:ind w:left="2694" w:hanging="1843"/>
    </w:pPr>
    <w:rPr>
      <w:rFonts w:ascii="Arial" w:eastAsia="Times New Roman" w:hAnsi="Arial" w:cs="Arial"/>
    </w:rPr>
  </w:style>
  <w:style w:type="paragraph" w:styleId="TOC4">
    <w:name w:val="toc 4"/>
    <w:basedOn w:val="Normal"/>
    <w:next w:val="Normal"/>
    <w:autoRedefine/>
    <w:rsid w:val="009215A6"/>
    <w:pPr>
      <w:spacing w:after="100"/>
      <w:ind w:left="600"/>
    </w:pPr>
    <w:rPr>
      <w:rFonts w:eastAsia="Times New Roman"/>
    </w:rPr>
  </w:style>
  <w:style w:type="paragraph" w:styleId="FootnoteText">
    <w:name w:val="footnote text"/>
    <w:basedOn w:val="Normal"/>
    <w:link w:val="FootnoteTextChar"/>
    <w:qFormat/>
    <w:rsid w:val="009215A6"/>
    <w:pPr>
      <w:tabs>
        <w:tab w:val="left" w:pos="284"/>
      </w:tabs>
      <w:ind w:left="284" w:hanging="284"/>
    </w:pPr>
    <w:rPr>
      <w:rFonts w:ascii="Arial" w:eastAsia="Times New Roman" w:hAnsi="Arial"/>
      <w:sz w:val="15"/>
    </w:rPr>
  </w:style>
  <w:style w:type="character" w:customStyle="1" w:styleId="FootnoteTextChar">
    <w:name w:val="Footnote Text Char"/>
    <w:basedOn w:val="DefaultParagraphFont"/>
    <w:link w:val="FootnoteText"/>
    <w:rsid w:val="009215A6"/>
    <w:rPr>
      <w:rFonts w:ascii="Arial" w:eastAsia="Times New Roman" w:hAnsi="Arial"/>
      <w:color w:val="000000"/>
      <w:sz w:val="15"/>
      <w:szCs w:val="20"/>
      <w:lang w:eastAsia="en-AU"/>
    </w:rPr>
  </w:style>
  <w:style w:type="paragraph" w:styleId="CommentText">
    <w:name w:val="annotation text"/>
    <w:basedOn w:val="Normal"/>
    <w:link w:val="CommentTextChar"/>
    <w:uiPriority w:val="99"/>
    <w:unhideWhenUsed/>
    <w:rsid w:val="009215A6"/>
    <w:rPr>
      <w:rFonts w:eastAsia="Times New Roman"/>
    </w:rPr>
  </w:style>
  <w:style w:type="character" w:customStyle="1" w:styleId="CommentTextChar">
    <w:name w:val="Comment Text Char"/>
    <w:basedOn w:val="DefaultParagraphFont"/>
    <w:link w:val="CommentText"/>
    <w:uiPriority w:val="99"/>
    <w:rsid w:val="009215A6"/>
    <w:rPr>
      <w:rFonts w:ascii="Book Antiqua" w:eastAsia="Times New Roman" w:hAnsi="Book Antiqua"/>
      <w:color w:val="000000"/>
      <w:sz w:val="20"/>
      <w:szCs w:val="20"/>
      <w:lang w:eastAsia="en-AU"/>
    </w:rPr>
  </w:style>
  <w:style w:type="paragraph" w:styleId="Header">
    <w:name w:val="header"/>
    <w:basedOn w:val="Normal"/>
    <w:link w:val="HeaderChar"/>
    <w:rsid w:val="009215A6"/>
    <w:pPr>
      <w:tabs>
        <w:tab w:val="center" w:pos="4513"/>
        <w:tab w:val="right" w:pos="9026"/>
      </w:tabs>
    </w:pPr>
    <w:rPr>
      <w:rFonts w:eastAsia="Times New Roman"/>
    </w:rPr>
  </w:style>
  <w:style w:type="character" w:customStyle="1" w:styleId="HeaderChar">
    <w:name w:val="Header Char"/>
    <w:basedOn w:val="DefaultParagraphFont"/>
    <w:link w:val="Header"/>
    <w:rsid w:val="009215A6"/>
    <w:rPr>
      <w:rFonts w:ascii="Book Antiqua" w:eastAsia="Times New Roman" w:hAnsi="Book Antiqua"/>
      <w:color w:val="000000"/>
      <w:sz w:val="20"/>
      <w:szCs w:val="20"/>
      <w:lang w:eastAsia="en-AU"/>
    </w:rPr>
  </w:style>
  <w:style w:type="paragraph" w:styleId="Footer">
    <w:name w:val="footer"/>
    <w:basedOn w:val="Normal"/>
    <w:link w:val="FooterChar"/>
    <w:uiPriority w:val="99"/>
    <w:rsid w:val="009215A6"/>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9215A6"/>
    <w:rPr>
      <w:rFonts w:ascii="Book Antiqua" w:eastAsia="Times New Roman" w:hAnsi="Book Antiqua"/>
      <w:color w:val="000000"/>
      <w:sz w:val="20"/>
      <w:szCs w:val="20"/>
      <w:lang w:eastAsia="en-AU"/>
    </w:rPr>
  </w:style>
  <w:style w:type="character" w:styleId="FootnoteReference">
    <w:name w:val="footnote reference"/>
    <w:aliases w:val="(NECG) Footnote Reference"/>
    <w:rsid w:val="009215A6"/>
    <w:rPr>
      <w:rFonts w:ascii="Arial" w:hAnsi="Arial"/>
      <w:sz w:val="15"/>
      <w:vertAlign w:val="superscript"/>
    </w:rPr>
  </w:style>
  <w:style w:type="character" w:styleId="CommentReference">
    <w:name w:val="annotation reference"/>
    <w:basedOn w:val="DefaultParagraphFont"/>
    <w:uiPriority w:val="99"/>
    <w:unhideWhenUsed/>
    <w:rsid w:val="009215A6"/>
    <w:rPr>
      <w:sz w:val="16"/>
      <w:szCs w:val="16"/>
    </w:rPr>
  </w:style>
  <w:style w:type="character" w:styleId="PageNumber">
    <w:name w:val="page number"/>
    <w:rsid w:val="009215A6"/>
    <w:rPr>
      <w:rFonts w:ascii="Arial" w:hAnsi="Arial" w:cs="Arial"/>
    </w:rPr>
  </w:style>
  <w:style w:type="character" w:styleId="Hyperlink">
    <w:name w:val="Hyperlink"/>
    <w:basedOn w:val="DefaultParagraphFont"/>
    <w:uiPriority w:val="99"/>
    <w:unhideWhenUsed/>
    <w:rsid w:val="009215A6"/>
    <w:rPr>
      <w:color w:val="0563C1" w:themeColor="hyperlink"/>
      <w:u w:val="single"/>
    </w:rPr>
  </w:style>
  <w:style w:type="paragraph" w:styleId="CommentSubject">
    <w:name w:val="annotation subject"/>
    <w:basedOn w:val="CommentText"/>
    <w:next w:val="CommentText"/>
    <w:link w:val="CommentSubjectChar"/>
    <w:rsid w:val="009215A6"/>
    <w:rPr>
      <w:b/>
      <w:bCs/>
    </w:rPr>
  </w:style>
  <w:style w:type="character" w:customStyle="1" w:styleId="CommentSubjectChar">
    <w:name w:val="Comment Subject Char"/>
    <w:basedOn w:val="CommentTextChar"/>
    <w:link w:val="CommentSubject"/>
    <w:rsid w:val="009215A6"/>
    <w:rPr>
      <w:rFonts w:ascii="Book Antiqua" w:eastAsia="Times New Roman" w:hAnsi="Book Antiqua"/>
      <w:b/>
      <w:bCs/>
      <w:color w:val="000000"/>
      <w:sz w:val="20"/>
      <w:szCs w:val="20"/>
      <w:lang w:eastAsia="en-AU"/>
    </w:rPr>
  </w:style>
  <w:style w:type="paragraph" w:styleId="BalloonText">
    <w:name w:val="Balloon Text"/>
    <w:basedOn w:val="Normal"/>
    <w:link w:val="BalloonTextChar"/>
    <w:rsid w:val="009215A6"/>
    <w:rPr>
      <w:rFonts w:ascii="Tahoma" w:eastAsia="Times New Roman" w:hAnsi="Tahoma" w:cs="Tahoma"/>
      <w:sz w:val="16"/>
      <w:szCs w:val="16"/>
    </w:rPr>
  </w:style>
  <w:style w:type="character" w:customStyle="1" w:styleId="BalloonTextChar">
    <w:name w:val="Balloon Text Char"/>
    <w:basedOn w:val="DefaultParagraphFont"/>
    <w:link w:val="BalloonText"/>
    <w:rsid w:val="009215A6"/>
    <w:rPr>
      <w:rFonts w:ascii="Tahoma" w:eastAsia="Times New Roman" w:hAnsi="Tahoma" w:cs="Tahoma"/>
      <w:color w:val="000000"/>
      <w:sz w:val="16"/>
      <w:szCs w:val="16"/>
      <w:lang w:eastAsia="en-AU"/>
    </w:rPr>
  </w:style>
  <w:style w:type="table" w:styleId="TableGrid">
    <w:name w:val="Table Grid"/>
    <w:basedOn w:val="TableNormal"/>
    <w:rsid w:val="009215A6"/>
    <w:pPr>
      <w:spacing w:before="120" w:after="120"/>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215A6"/>
    <w:pPr>
      <w:ind w:left="720"/>
      <w:contextualSpacing/>
    </w:pPr>
    <w:rPr>
      <w:rFonts w:eastAsia="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215A6"/>
    <w:rPr>
      <w:rFonts w:ascii="Book Antiqua" w:eastAsia="Times New Roman" w:hAnsi="Book Antiqua"/>
      <w:color w:val="000000"/>
      <w:sz w:val="20"/>
      <w:szCs w:val="20"/>
      <w:lang w:eastAsia="en-AU"/>
    </w:rPr>
  </w:style>
  <w:style w:type="paragraph" w:styleId="TOCHeading">
    <w:name w:val="TOC Heading"/>
    <w:basedOn w:val="Heading1"/>
    <w:next w:val="Normal"/>
    <w:uiPriority w:val="39"/>
    <w:semiHidden/>
    <w:unhideWhenUsed/>
    <w:qFormat/>
    <w:rsid w:val="009215A6"/>
    <w:pPr>
      <w:keepNext/>
      <w:keepLines/>
      <w:spacing w:before="480" w:after="0" w:line="276" w:lineRule="auto"/>
      <w:jc w:val="left"/>
      <w:outlineLvl w:val="9"/>
    </w:pPr>
    <w:rPr>
      <w:rFonts w:asciiTheme="majorHAnsi" w:hAnsiTheme="majorHAnsi" w:cstheme="majorBidi"/>
      <w:smallCaps w:val="0"/>
      <w:color w:val="2E74B5" w:themeColor="accent1" w:themeShade="BF"/>
      <w:kern w:val="0"/>
      <w:sz w:val="28"/>
      <w:szCs w:val="28"/>
      <w:lang w:val="en-US" w:eastAsia="ja-JP"/>
    </w:rPr>
  </w:style>
  <w:style w:type="numbering" w:customStyle="1" w:styleId="NoList1">
    <w:name w:val="No List1"/>
    <w:next w:val="NoList"/>
    <w:uiPriority w:val="99"/>
    <w:semiHidden/>
    <w:unhideWhenUsed/>
    <w:rsid w:val="00232F9B"/>
  </w:style>
  <w:style w:type="paragraph" w:styleId="Revision">
    <w:name w:val="Revision"/>
    <w:hidden/>
    <w:uiPriority w:val="99"/>
    <w:semiHidden/>
    <w:rsid w:val="00232F9B"/>
    <w:rPr>
      <w:rFonts w:ascii="Book Antiqua" w:eastAsia="Times New Roman" w:hAnsi="Book Antiqua"/>
      <w:color w:val="000000"/>
      <w:lang w:eastAsia="en-AU"/>
    </w:rPr>
  </w:style>
  <w:style w:type="paragraph" w:customStyle="1" w:styleId="NormalBookAntiqua">
    <w:name w:val="Normal Book Antiqua"/>
    <w:basedOn w:val="Normal"/>
    <w:qFormat/>
    <w:rsid w:val="001B2EF1"/>
    <w:pPr>
      <w:spacing w:before="40" w:after="120"/>
    </w:pPr>
    <w:rPr>
      <w:rFonts w:ascii="Book Antiqua" w:eastAsia="Times New Roman" w:hAnsi="Book Antiqua" w:cs="Arial"/>
      <w:color w:val="000000"/>
      <w:lang w:eastAsia="en-AU"/>
    </w:rPr>
  </w:style>
  <w:style w:type="paragraph" w:customStyle="1" w:styleId="TableParagraph">
    <w:name w:val="Table Paragraph"/>
    <w:basedOn w:val="Normal"/>
    <w:uiPriority w:val="1"/>
    <w:qFormat/>
    <w:rsid w:val="00760E97"/>
    <w:pPr>
      <w:widowControl w:val="0"/>
      <w:autoSpaceDE w:val="0"/>
      <w:autoSpaceDN w:val="0"/>
    </w:pPr>
    <w:rPr>
      <w:rFonts w:ascii="Book Antiqua" w:eastAsia="Book Antiqua" w:hAnsi="Book Antiqua" w:cs="Book Antiqua"/>
      <w:sz w:val="22"/>
      <w:szCs w:val="22"/>
      <w:lang w:val="en-US"/>
    </w:rPr>
  </w:style>
  <w:style w:type="table" w:customStyle="1" w:styleId="TableGrid1">
    <w:name w:val="Table Grid1"/>
    <w:basedOn w:val="TableNormal"/>
    <w:next w:val="TableGrid"/>
    <w:uiPriority w:val="39"/>
    <w:rsid w:val="005C2D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9720">
      <w:bodyDiv w:val="1"/>
      <w:marLeft w:val="0"/>
      <w:marRight w:val="0"/>
      <w:marTop w:val="0"/>
      <w:marBottom w:val="0"/>
      <w:divBdr>
        <w:top w:val="none" w:sz="0" w:space="0" w:color="auto"/>
        <w:left w:val="none" w:sz="0" w:space="0" w:color="auto"/>
        <w:bottom w:val="none" w:sz="0" w:space="0" w:color="auto"/>
        <w:right w:val="none" w:sz="0" w:space="0" w:color="auto"/>
      </w:divBdr>
    </w:div>
    <w:div w:id="410271575">
      <w:bodyDiv w:val="1"/>
      <w:marLeft w:val="0"/>
      <w:marRight w:val="0"/>
      <w:marTop w:val="0"/>
      <w:marBottom w:val="0"/>
      <w:divBdr>
        <w:top w:val="none" w:sz="0" w:space="0" w:color="auto"/>
        <w:left w:val="none" w:sz="0" w:space="0" w:color="auto"/>
        <w:bottom w:val="none" w:sz="0" w:space="0" w:color="auto"/>
        <w:right w:val="none" w:sz="0" w:space="0" w:color="auto"/>
      </w:divBdr>
    </w:div>
    <w:div w:id="431358749">
      <w:bodyDiv w:val="1"/>
      <w:marLeft w:val="0"/>
      <w:marRight w:val="0"/>
      <w:marTop w:val="0"/>
      <w:marBottom w:val="0"/>
      <w:divBdr>
        <w:top w:val="none" w:sz="0" w:space="0" w:color="auto"/>
        <w:left w:val="none" w:sz="0" w:space="0" w:color="auto"/>
        <w:bottom w:val="none" w:sz="0" w:space="0" w:color="auto"/>
        <w:right w:val="none" w:sz="0" w:space="0" w:color="auto"/>
      </w:divBdr>
    </w:div>
    <w:div w:id="457840929">
      <w:bodyDiv w:val="1"/>
      <w:marLeft w:val="0"/>
      <w:marRight w:val="0"/>
      <w:marTop w:val="0"/>
      <w:marBottom w:val="0"/>
      <w:divBdr>
        <w:top w:val="none" w:sz="0" w:space="0" w:color="auto"/>
        <w:left w:val="none" w:sz="0" w:space="0" w:color="auto"/>
        <w:bottom w:val="none" w:sz="0" w:space="0" w:color="auto"/>
        <w:right w:val="none" w:sz="0" w:space="0" w:color="auto"/>
      </w:divBdr>
    </w:div>
    <w:div w:id="703674221">
      <w:bodyDiv w:val="1"/>
      <w:marLeft w:val="0"/>
      <w:marRight w:val="0"/>
      <w:marTop w:val="0"/>
      <w:marBottom w:val="0"/>
      <w:divBdr>
        <w:top w:val="none" w:sz="0" w:space="0" w:color="auto"/>
        <w:left w:val="none" w:sz="0" w:space="0" w:color="auto"/>
        <w:bottom w:val="none" w:sz="0" w:space="0" w:color="auto"/>
        <w:right w:val="none" w:sz="0" w:space="0" w:color="auto"/>
      </w:divBdr>
    </w:div>
    <w:div w:id="755053196">
      <w:bodyDiv w:val="1"/>
      <w:marLeft w:val="0"/>
      <w:marRight w:val="0"/>
      <w:marTop w:val="0"/>
      <w:marBottom w:val="0"/>
      <w:divBdr>
        <w:top w:val="none" w:sz="0" w:space="0" w:color="auto"/>
        <w:left w:val="none" w:sz="0" w:space="0" w:color="auto"/>
        <w:bottom w:val="none" w:sz="0" w:space="0" w:color="auto"/>
        <w:right w:val="none" w:sz="0" w:space="0" w:color="auto"/>
      </w:divBdr>
    </w:div>
    <w:div w:id="774056288">
      <w:bodyDiv w:val="1"/>
      <w:marLeft w:val="0"/>
      <w:marRight w:val="0"/>
      <w:marTop w:val="0"/>
      <w:marBottom w:val="0"/>
      <w:divBdr>
        <w:top w:val="none" w:sz="0" w:space="0" w:color="auto"/>
        <w:left w:val="none" w:sz="0" w:space="0" w:color="auto"/>
        <w:bottom w:val="none" w:sz="0" w:space="0" w:color="auto"/>
        <w:right w:val="none" w:sz="0" w:space="0" w:color="auto"/>
      </w:divBdr>
    </w:div>
    <w:div w:id="1062363765">
      <w:bodyDiv w:val="1"/>
      <w:marLeft w:val="0"/>
      <w:marRight w:val="0"/>
      <w:marTop w:val="0"/>
      <w:marBottom w:val="0"/>
      <w:divBdr>
        <w:top w:val="none" w:sz="0" w:space="0" w:color="auto"/>
        <w:left w:val="none" w:sz="0" w:space="0" w:color="auto"/>
        <w:bottom w:val="none" w:sz="0" w:space="0" w:color="auto"/>
        <w:right w:val="none" w:sz="0" w:space="0" w:color="auto"/>
      </w:divBdr>
    </w:div>
    <w:div w:id="1274552892">
      <w:bodyDiv w:val="1"/>
      <w:marLeft w:val="0"/>
      <w:marRight w:val="0"/>
      <w:marTop w:val="0"/>
      <w:marBottom w:val="0"/>
      <w:divBdr>
        <w:top w:val="none" w:sz="0" w:space="0" w:color="auto"/>
        <w:left w:val="none" w:sz="0" w:space="0" w:color="auto"/>
        <w:bottom w:val="none" w:sz="0" w:space="0" w:color="auto"/>
        <w:right w:val="none" w:sz="0" w:space="0" w:color="auto"/>
      </w:divBdr>
    </w:div>
    <w:div w:id="1391229354">
      <w:bodyDiv w:val="1"/>
      <w:marLeft w:val="0"/>
      <w:marRight w:val="0"/>
      <w:marTop w:val="0"/>
      <w:marBottom w:val="0"/>
      <w:divBdr>
        <w:top w:val="none" w:sz="0" w:space="0" w:color="auto"/>
        <w:left w:val="none" w:sz="0" w:space="0" w:color="auto"/>
        <w:bottom w:val="none" w:sz="0" w:space="0" w:color="auto"/>
        <w:right w:val="none" w:sz="0" w:space="0" w:color="auto"/>
      </w:divBdr>
    </w:div>
    <w:div w:id="1475561683">
      <w:bodyDiv w:val="1"/>
      <w:marLeft w:val="0"/>
      <w:marRight w:val="0"/>
      <w:marTop w:val="0"/>
      <w:marBottom w:val="0"/>
      <w:divBdr>
        <w:top w:val="none" w:sz="0" w:space="0" w:color="auto"/>
        <w:left w:val="none" w:sz="0" w:space="0" w:color="auto"/>
        <w:bottom w:val="none" w:sz="0" w:space="0" w:color="auto"/>
        <w:right w:val="none" w:sz="0" w:space="0" w:color="auto"/>
      </w:divBdr>
    </w:div>
    <w:div w:id="1495410421">
      <w:bodyDiv w:val="1"/>
      <w:marLeft w:val="0"/>
      <w:marRight w:val="0"/>
      <w:marTop w:val="0"/>
      <w:marBottom w:val="0"/>
      <w:divBdr>
        <w:top w:val="none" w:sz="0" w:space="0" w:color="auto"/>
        <w:left w:val="none" w:sz="0" w:space="0" w:color="auto"/>
        <w:bottom w:val="none" w:sz="0" w:space="0" w:color="auto"/>
        <w:right w:val="none" w:sz="0" w:space="0" w:color="auto"/>
      </w:divBdr>
    </w:div>
    <w:div w:id="1558008010">
      <w:bodyDiv w:val="1"/>
      <w:marLeft w:val="0"/>
      <w:marRight w:val="0"/>
      <w:marTop w:val="0"/>
      <w:marBottom w:val="0"/>
      <w:divBdr>
        <w:top w:val="none" w:sz="0" w:space="0" w:color="auto"/>
        <w:left w:val="none" w:sz="0" w:space="0" w:color="auto"/>
        <w:bottom w:val="none" w:sz="0" w:space="0" w:color="auto"/>
        <w:right w:val="none" w:sz="0" w:space="0" w:color="auto"/>
      </w:divBdr>
    </w:div>
    <w:div w:id="1699816885">
      <w:bodyDiv w:val="1"/>
      <w:marLeft w:val="0"/>
      <w:marRight w:val="0"/>
      <w:marTop w:val="0"/>
      <w:marBottom w:val="0"/>
      <w:divBdr>
        <w:top w:val="none" w:sz="0" w:space="0" w:color="auto"/>
        <w:left w:val="none" w:sz="0" w:space="0" w:color="auto"/>
        <w:bottom w:val="none" w:sz="0" w:space="0" w:color="auto"/>
        <w:right w:val="none" w:sz="0" w:space="0" w:color="auto"/>
      </w:divBdr>
    </w:div>
    <w:div w:id="1717703884">
      <w:bodyDiv w:val="1"/>
      <w:marLeft w:val="0"/>
      <w:marRight w:val="0"/>
      <w:marTop w:val="0"/>
      <w:marBottom w:val="0"/>
      <w:divBdr>
        <w:top w:val="none" w:sz="0" w:space="0" w:color="auto"/>
        <w:left w:val="none" w:sz="0" w:space="0" w:color="auto"/>
        <w:bottom w:val="none" w:sz="0" w:space="0" w:color="auto"/>
        <w:right w:val="none" w:sz="0" w:space="0" w:color="auto"/>
      </w:divBdr>
    </w:div>
    <w:div w:id="1770810733">
      <w:bodyDiv w:val="1"/>
      <w:marLeft w:val="0"/>
      <w:marRight w:val="0"/>
      <w:marTop w:val="0"/>
      <w:marBottom w:val="0"/>
      <w:divBdr>
        <w:top w:val="none" w:sz="0" w:space="0" w:color="auto"/>
        <w:left w:val="none" w:sz="0" w:space="0" w:color="auto"/>
        <w:bottom w:val="none" w:sz="0" w:space="0" w:color="auto"/>
        <w:right w:val="none" w:sz="0" w:space="0" w:color="auto"/>
      </w:divBdr>
    </w:div>
    <w:div w:id="1799252851">
      <w:bodyDiv w:val="1"/>
      <w:marLeft w:val="0"/>
      <w:marRight w:val="0"/>
      <w:marTop w:val="0"/>
      <w:marBottom w:val="0"/>
      <w:divBdr>
        <w:top w:val="none" w:sz="0" w:space="0" w:color="auto"/>
        <w:left w:val="none" w:sz="0" w:space="0" w:color="auto"/>
        <w:bottom w:val="none" w:sz="0" w:space="0" w:color="auto"/>
        <w:right w:val="none" w:sz="0" w:space="0" w:color="auto"/>
      </w:divBdr>
    </w:div>
    <w:div w:id="1806121826">
      <w:bodyDiv w:val="1"/>
      <w:marLeft w:val="0"/>
      <w:marRight w:val="0"/>
      <w:marTop w:val="0"/>
      <w:marBottom w:val="0"/>
      <w:divBdr>
        <w:top w:val="none" w:sz="0" w:space="0" w:color="auto"/>
        <w:left w:val="none" w:sz="0" w:space="0" w:color="auto"/>
        <w:bottom w:val="none" w:sz="0" w:space="0" w:color="auto"/>
        <w:right w:val="none" w:sz="0" w:space="0" w:color="auto"/>
      </w:divBdr>
    </w:div>
    <w:div w:id="1903516930">
      <w:bodyDiv w:val="1"/>
      <w:marLeft w:val="0"/>
      <w:marRight w:val="0"/>
      <w:marTop w:val="0"/>
      <w:marBottom w:val="0"/>
      <w:divBdr>
        <w:top w:val="none" w:sz="0" w:space="0" w:color="auto"/>
        <w:left w:val="none" w:sz="0" w:space="0" w:color="auto"/>
        <w:bottom w:val="none" w:sz="0" w:space="0" w:color="auto"/>
        <w:right w:val="none" w:sz="0" w:space="0" w:color="auto"/>
      </w:divBdr>
    </w:div>
    <w:div w:id="2088766825">
      <w:bodyDiv w:val="1"/>
      <w:marLeft w:val="0"/>
      <w:marRight w:val="0"/>
      <w:marTop w:val="0"/>
      <w:marBottom w:val="0"/>
      <w:divBdr>
        <w:top w:val="none" w:sz="0" w:space="0" w:color="auto"/>
        <w:left w:val="none" w:sz="0" w:space="0" w:color="auto"/>
        <w:bottom w:val="none" w:sz="0" w:space="0" w:color="auto"/>
        <w:right w:val="none" w:sz="0" w:space="0" w:color="auto"/>
      </w:divBdr>
    </w:div>
    <w:div w:id="2123842109">
      <w:bodyDiv w:val="1"/>
      <w:marLeft w:val="0"/>
      <w:marRight w:val="0"/>
      <w:marTop w:val="0"/>
      <w:marBottom w:val="0"/>
      <w:divBdr>
        <w:top w:val="none" w:sz="0" w:space="0" w:color="auto"/>
        <w:left w:val="none" w:sz="0" w:space="0" w:color="auto"/>
        <w:bottom w:val="none" w:sz="0" w:space="0" w:color="auto"/>
        <w:right w:val="none" w:sz="0" w:space="0" w:color="auto"/>
      </w:divBdr>
    </w:div>
    <w:div w:id="2132434956">
      <w:bodyDiv w:val="1"/>
      <w:marLeft w:val="0"/>
      <w:marRight w:val="0"/>
      <w:marTop w:val="0"/>
      <w:marBottom w:val="0"/>
      <w:divBdr>
        <w:top w:val="none" w:sz="0" w:space="0" w:color="auto"/>
        <w:left w:val="none" w:sz="0" w:space="0" w:color="auto"/>
        <w:bottom w:val="none" w:sz="0" w:space="0" w:color="auto"/>
        <w:right w:val="none" w:sz="0" w:space="0" w:color="auto"/>
      </w:divBdr>
    </w:div>
    <w:div w:id="2133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2E7D-6DA3-43EB-AB46-D62EA035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16</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CHEMELLO, Paula</dc:creator>
  <cp:keywords/>
  <dc:description/>
  <cp:lastModifiedBy>HOLMES, Chloe</cp:lastModifiedBy>
  <cp:revision>70</cp:revision>
  <dcterms:created xsi:type="dcterms:W3CDTF">2021-02-16T23:32:00Z</dcterms:created>
  <dcterms:modified xsi:type="dcterms:W3CDTF">2022-03-29T02:48:00Z</dcterms:modified>
</cp:coreProperties>
</file>