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288EE" w14:textId="77777777" w:rsidR="008F2E23" w:rsidRPr="00B35D34" w:rsidRDefault="00734CCB" w:rsidP="00524B2A">
      <w:pPr>
        <w:pStyle w:val="Title"/>
      </w:pPr>
      <w:r w:rsidRPr="00B35D34">
        <w:t>Guaranteeing M</w:t>
      </w:r>
      <w:bookmarkStart w:id="0" w:name="_GoBack"/>
      <w:bookmarkEnd w:id="0"/>
      <w:r w:rsidRPr="00B35D34">
        <w:t xml:space="preserve">edicare </w:t>
      </w:r>
      <w:r w:rsidR="001017DE" w:rsidRPr="00B35D34">
        <w:t xml:space="preserve">and Access to Medicines </w:t>
      </w:r>
      <w:r w:rsidRPr="00B35D34">
        <w:t xml:space="preserve">– </w:t>
      </w:r>
      <w:r w:rsidR="00CD73E2" w:rsidRPr="00B35D34">
        <w:t xml:space="preserve">Improving Access to Medical Equipment, Treatment and </w:t>
      </w:r>
      <w:r w:rsidR="0085093E" w:rsidRPr="00B35D34">
        <w:t>Diagnostics</w:t>
      </w:r>
    </w:p>
    <w:p w14:paraId="315BC809" w14:textId="7A20D920" w:rsidR="00470DE7" w:rsidRPr="00B35D34" w:rsidRDefault="00470DE7" w:rsidP="00470DE7">
      <w:pPr>
        <w:pStyle w:val="IntroPara"/>
        <w:rPr>
          <w:rFonts w:eastAsia="MS Mincho"/>
          <w:lang w:val="en-US"/>
        </w:rPr>
      </w:pPr>
      <w:r w:rsidRPr="00B35D34">
        <w:rPr>
          <w:rFonts w:eastAsia="MS Mincho"/>
          <w:lang w:val="en-US"/>
        </w:rPr>
        <w:t xml:space="preserve">The Australian Government is </w:t>
      </w:r>
      <w:r w:rsidR="0029279B" w:rsidRPr="00B35D34">
        <w:rPr>
          <w:rFonts w:eastAsia="MS Mincho"/>
          <w:lang w:val="en-US"/>
        </w:rPr>
        <w:t>investing more than $</w:t>
      </w:r>
      <w:r w:rsidR="007B0527" w:rsidRPr="00B35D34">
        <w:rPr>
          <w:rFonts w:eastAsia="MS Mincho"/>
          <w:lang w:val="en-US"/>
        </w:rPr>
        <w:t>60.5</w:t>
      </w:r>
      <w:r w:rsidR="0029279B" w:rsidRPr="00B35D34">
        <w:rPr>
          <w:rFonts w:eastAsia="MS Mincho"/>
          <w:lang w:val="en-US"/>
        </w:rPr>
        <w:t xml:space="preserve"> million </w:t>
      </w:r>
      <w:r w:rsidR="00CD73E2" w:rsidRPr="00B35D34">
        <w:rPr>
          <w:rFonts w:eastAsia="MS Mincho"/>
          <w:lang w:val="en-US"/>
        </w:rPr>
        <w:t xml:space="preserve">over </w:t>
      </w:r>
      <w:r w:rsidR="00E41AAA" w:rsidRPr="00B35D34">
        <w:rPr>
          <w:rFonts w:eastAsia="MS Mincho"/>
          <w:lang w:val="en-US"/>
        </w:rPr>
        <w:t>five</w:t>
      </w:r>
      <w:r w:rsidR="00CD73E2" w:rsidRPr="00B35D34">
        <w:rPr>
          <w:rFonts w:eastAsia="MS Mincho"/>
          <w:lang w:val="en-US"/>
        </w:rPr>
        <w:t xml:space="preserve"> years from 202</w:t>
      </w:r>
      <w:r w:rsidR="00F15747" w:rsidRPr="00B35D34">
        <w:rPr>
          <w:rFonts w:eastAsia="MS Mincho"/>
          <w:lang w:val="en-US"/>
        </w:rPr>
        <w:t>1</w:t>
      </w:r>
      <w:r w:rsidR="00E41AAA" w:rsidRPr="00B35D34">
        <w:rPr>
          <w:rFonts w:eastAsia="MS Mincho"/>
          <w:lang w:val="en-US"/>
        </w:rPr>
        <w:t>–</w:t>
      </w:r>
      <w:r w:rsidR="00CD73E2" w:rsidRPr="00B35D34">
        <w:rPr>
          <w:rFonts w:eastAsia="MS Mincho"/>
          <w:lang w:val="en-US"/>
        </w:rPr>
        <w:t>2</w:t>
      </w:r>
      <w:r w:rsidR="00F15747" w:rsidRPr="00B35D34">
        <w:rPr>
          <w:rFonts w:eastAsia="MS Mincho"/>
          <w:lang w:val="en-US"/>
        </w:rPr>
        <w:t>2</w:t>
      </w:r>
      <w:r w:rsidR="00CD73E2" w:rsidRPr="00B35D34">
        <w:rPr>
          <w:rFonts w:eastAsia="MS Mincho"/>
          <w:lang w:val="en-US"/>
        </w:rPr>
        <w:t xml:space="preserve"> </w:t>
      </w:r>
      <w:r w:rsidR="0029279B" w:rsidRPr="00B35D34">
        <w:rPr>
          <w:rFonts w:eastAsia="MS Mincho"/>
          <w:lang w:val="en-US"/>
        </w:rPr>
        <w:t xml:space="preserve">to continue its work </w:t>
      </w:r>
      <w:r w:rsidRPr="00B35D34">
        <w:rPr>
          <w:rFonts w:eastAsia="MS Mincho"/>
          <w:lang w:val="en-US"/>
        </w:rPr>
        <w:t>improving and protecting the health of all Australians through</w:t>
      </w:r>
      <w:r w:rsidR="0029279B" w:rsidRPr="00B35D34">
        <w:rPr>
          <w:rFonts w:eastAsia="MS Mincho"/>
          <w:lang w:val="en-US"/>
        </w:rPr>
        <w:t xml:space="preserve"> its commitment to Medicare and improved access to medicines.</w:t>
      </w:r>
    </w:p>
    <w:p w14:paraId="2915D63D" w14:textId="7541D8A3" w:rsidR="00804F27" w:rsidRPr="00B35D34" w:rsidRDefault="00E41AAA" w:rsidP="00804F27">
      <w:pPr>
        <w:pStyle w:val="IntroPara"/>
        <w:rPr>
          <w:rFonts w:eastAsia="MS Mincho"/>
          <w:lang w:val="en-US"/>
        </w:rPr>
      </w:pPr>
      <w:r w:rsidRPr="00B35D34">
        <w:rPr>
          <w:rFonts w:eastAsia="MS Mincho"/>
          <w:lang w:val="en-US"/>
        </w:rPr>
        <w:t>Since 2012–</w:t>
      </w:r>
      <w:r w:rsidR="00804F27" w:rsidRPr="00B35D34">
        <w:rPr>
          <w:rFonts w:eastAsia="MS Mincho"/>
          <w:lang w:val="en-US"/>
        </w:rPr>
        <w:t xml:space="preserve">13, the Australian Government’s commitment to </w:t>
      </w:r>
      <w:r w:rsidR="00DC2C76" w:rsidRPr="00B35D34">
        <w:rPr>
          <w:rFonts w:eastAsia="MS Mincho"/>
          <w:lang w:val="en-US"/>
        </w:rPr>
        <w:t xml:space="preserve">Australia’s universal health care system, including the Medicare Benefits </w:t>
      </w:r>
      <w:r w:rsidRPr="00B35D34">
        <w:rPr>
          <w:rFonts w:eastAsia="MS Mincho"/>
          <w:lang w:val="en-US"/>
        </w:rPr>
        <w:t>Schedule</w:t>
      </w:r>
      <w:r w:rsidR="00DC2C76" w:rsidRPr="00B35D34">
        <w:rPr>
          <w:rFonts w:eastAsia="MS Mincho"/>
          <w:lang w:val="en-US"/>
        </w:rPr>
        <w:t xml:space="preserve"> </w:t>
      </w:r>
      <w:r w:rsidR="00D40F8D" w:rsidRPr="00B35D34">
        <w:rPr>
          <w:rFonts w:eastAsia="MS Mincho"/>
          <w:lang w:val="en-US"/>
        </w:rPr>
        <w:t xml:space="preserve">(MBS) </w:t>
      </w:r>
      <w:r w:rsidR="00DC2C76" w:rsidRPr="00B35D34">
        <w:rPr>
          <w:rFonts w:eastAsia="MS Mincho"/>
          <w:lang w:val="en-US"/>
        </w:rPr>
        <w:t>and Pharmaceutical Benefits Scheme</w:t>
      </w:r>
      <w:r w:rsidR="00804F27" w:rsidRPr="00B35D34">
        <w:rPr>
          <w:rFonts w:eastAsia="MS Mincho"/>
          <w:lang w:val="en-US"/>
        </w:rPr>
        <w:t xml:space="preserve"> </w:t>
      </w:r>
      <w:r w:rsidR="00D40F8D" w:rsidRPr="00B35D34">
        <w:rPr>
          <w:rFonts w:eastAsia="MS Mincho"/>
          <w:lang w:val="en-US"/>
        </w:rPr>
        <w:t>(PBS)</w:t>
      </w:r>
      <w:r w:rsidR="00D10FC2" w:rsidRPr="00B35D34">
        <w:rPr>
          <w:rFonts w:eastAsia="MS Mincho"/>
          <w:lang w:val="en-US"/>
        </w:rPr>
        <w:t>,</w:t>
      </w:r>
      <w:r w:rsidR="00D40F8D" w:rsidRPr="00B35D34">
        <w:rPr>
          <w:rFonts w:eastAsia="MS Mincho"/>
          <w:lang w:val="en-US"/>
        </w:rPr>
        <w:t xml:space="preserve"> </w:t>
      </w:r>
      <w:r w:rsidR="00804F27" w:rsidRPr="00B35D34">
        <w:rPr>
          <w:rFonts w:eastAsia="MS Mincho"/>
          <w:lang w:val="en-US"/>
        </w:rPr>
        <w:t xml:space="preserve">has increased by </w:t>
      </w:r>
      <w:r w:rsidRPr="00B35D34">
        <w:rPr>
          <w:rFonts w:eastAsia="MS Mincho"/>
          <w:lang w:val="en-US"/>
        </w:rPr>
        <w:t>65.6</w:t>
      </w:r>
      <w:r w:rsidR="00804F27" w:rsidRPr="00B35D34">
        <w:rPr>
          <w:rFonts w:eastAsia="MS Mincho"/>
          <w:lang w:val="en-US"/>
        </w:rPr>
        <w:t>%, growing to more than $</w:t>
      </w:r>
      <w:r w:rsidRPr="00B35D34">
        <w:rPr>
          <w:rFonts w:eastAsia="MS Mincho"/>
          <w:lang w:val="en-US"/>
        </w:rPr>
        <w:t>43</w:t>
      </w:r>
      <w:r w:rsidR="00804F27" w:rsidRPr="00B35D34">
        <w:rPr>
          <w:rFonts w:eastAsia="MS Mincho"/>
          <w:lang w:val="en-US"/>
        </w:rPr>
        <w:t xml:space="preserve"> </w:t>
      </w:r>
      <w:r w:rsidRPr="00B35D34">
        <w:rPr>
          <w:rFonts w:eastAsia="MS Mincho"/>
          <w:lang w:val="en-US"/>
        </w:rPr>
        <w:t>b</w:t>
      </w:r>
      <w:r w:rsidR="00804F27" w:rsidRPr="00B35D34">
        <w:rPr>
          <w:rFonts w:eastAsia="MS Mincho"/>
          <w:lang w:val="en-US"/>
        </w:rPr>
        <w:t>illion in the 202</w:t>
      </w:r>
      <w:r w:rsidR="003867F0" w:rsidRPr="00B35D34">
        <w:rPr>
          <w:rFonts w:eastAsia="MS Mincho"/>
          <w:lang w:val="en-US"/>
        </w:rPr>
        <w:t>2</w:t>
      </w:r>
      <w:r w:rsidR="00804F27" w:rsidRPr="00B35D34">
        <w:rPr>
          <w:rFonts w:eastAsia="MS Mincho"/>
          <w:lang w:val="en-US"/>
        </w:rPr>
        <w:t>–23 Budget</w:t>
      </w:r>
      <w:r w:rsidR="00CD73E2" w:rsidRPr="00B35D34">
        <w:rPr>
          <w:rFonts w:eastAsia="MS Mincho"/>
          <w:lang w:val="en-US"/>
        </w:rPr>
        <w:t>, and to $</w:t>
      </w:r>
      <w:r w:rsidRPr="00B35D34">
        <w:rPr>
          <w:rFonts w:eastAsia="MS Mincho"/>
          <w:lang w:val="en-US"/>
        </w:rPr>
        <w:t>46.8</w:t>
      </w:r>
      <w:r w:rsidR="00CD73E2" w:rsidRPr="00B35D34">
        <w:rPr>
          <w:rFonts w:eastAsia="MS Mincho"/>
          <w:lang w:val="en-US"/>
        </w:rPr>
        <w:t xml:space="preserve"> billion in </w:t>
      </w:r>
      <w:r w:rsidRPr="00B35D34">
        <w:rPr>
          <w:rFonts w:eastAsia="MS Mincho"/>
          <w:lang w:val="en-US"/>
        </w:rPr>
        <w:t>2025–</w:t>
      </w:r>
      <w:r w:rsidR="002A4B6F" w:rsidRPr="00B35D34">
        <w:rPr>
          <w:rFonts w:eastAsia="MS Mincho"/>
          <w:lang w:val="en-US"/>
        </w:rPr>
        <w:t>26</w:t>
      </w:r>
      <w:r w:rsidR="00804F27" w:rsidRPr="00B35D34">
        <w:rPr>
          <w:rFonts w:eastAsia="MS Mincho"/>
          <w:lang w:val="en-US"/>
        </w:rPr>
        <w:t xml:space="preserve">. </w:t>
      </w:r>
    </w:p>
    <w:p w14:paraId="2F42F9FD" w14:textId="61699404" w:rsidR="00D40F8D" w:rsidRPr="00B35D34" w:rsidRDefault="00E41AAA" w:rsidP="00804F27">
      <w:pPr>
        <w:pStyle w:val="IntroPara"/>
        <w:rPr>
          <w:rFonts w:eastAsia="MS Mincho"/>
          <w:lang w:val="en-US"/>
        </w:rPr>
      </w:pPr>
      <w:r w:rsidRPr="00B35D34">
        <w:rPr>
          <w:rFonts w:eastAsia="MS Mincho"/>
          <w:lang w:val="en-US"/>
        </w:rPr>
        <w:t>Since 2012–</w:t>
      </w:r>
      <w:r w:rsidR="00CD73E2" w:rsidRPr="00B35D34">
        <w:rPr>
          <w:rFonts w:eastAsia="MS Mincho"/>
          <w:lang w:val="en-US"/>
        </w:rPr>
        <w:t xml:space="preserve">13, </w:t>
      </w:r>
      <w:r w:rsidR="00804F27" w:rsidRPr="00B35D34">
        <w:rPr>
          <w:rFonts w:eastAsia="MS Mincho"/>
          <w:lang w:val="en-US"/>
        </w:rPr>
        <w:t xml:space="preserve">significant developments in delivering Medicare </w:t>
      </w:r>
      <w:r w:rsidR="00D40F8D" w:rsidRPr="00B35D34">
        <w:rPr>
          <w:rFonts w:eastAsia="MS Mincho"/>
          <w:lang w:val="en-US"/>
        </w:rPr>
        <w:t>include</w:t>
      </w:r>
      <w:r w:rsidR="00D40F8D" w:rsidRPr="00B35D34">
        <w:t xml:space="preserve"> removing barriers to accessing health care through telehealth, investment in genomic tests to support personalised medicine, MBS reviews leading to improvements across all clinical areas covered by the MBS, and </w:t>
      </w:r>
      <w:r w:rsidR="00D40F8D" w:rsidRPr="00B35D34">
        <w:rPr>
          <w:rFonts w:eastAsia="MS Mincho"/>
          <w:lang w:val="en-US"/>
        </w:rPr>
        <w:t>significant additional investments in public hospital services and the PBS.</w:t>
      </w:r>
    </w:p>
    <w:p w14:paraId="40C45EF7" w14:textId="77777777" w:rsidR="0029279B" w:rsidRPr="00B35D34" w:rsidRDefault="0029279B" w:rsidP="00804F27">
      <w:pPr>
        <w:pStyle w:val="IntroPara"/>
        <w:rPr>
          <w:rFonts w:eastAsia="MS Mincho"/>
          <w:lang w:val="en-US"/>
        </w:rPr>
      </w:pPr>
      <w:r w:rsidRPr="00B35D34">
        <w:rPr>
          <w:rFonts w:eastAsia="MS Mincho"/>
          <w:lang w:val="en-US"/>
        </w:rPr>
        <w:t xml:space="preserve">The 2022–23 Budget includes a range of important measures, such as: </w:t>
      </w:r>
    </w:p>
    <w:p w14:paraId="487C05F8" w14:textId="1E614CDE" w:rsidR="003F3ECB" w:rsidRPr="00B35D34" w:rsidRDefault="003F3ECB" w:rsidP="003F3ECB">
      <w:pPr>
        <w:pStyle w:val="IntroPara"/>
        <w:numPr>
          <w:ilvl w:val="0"/>
          <w:numId w:val="7"/>
        </w:numPr>
        <w:rPr>
          <w:rFonts w:eastAsia="MS Mincho"/>
          <w:lang w:val="en-US"/>
        </w:rPr>
      </w:pPr>
      <w:r w:rsidRPr="00B35D34">
        <w:rPr>
          <w:rFonts w:eastAsia="MS Mincho"/>
          <w:lang w:val="en-US"/>
        </w:rPr>
        <w:t>$3</w:t>
      </w:r>
      <w:r w:rsidR="004042B7" w:rsidRPr="00B35D34">
        <w:rPr>
          <w:rFonts w:eastAsia="MS Mincho"/>
          <w:lang w:val="en-US"/>
        </w:rPr>
        <w:t>8.2</w:t>
      </w:r>
      <w:r w:rsidRPr="00B35D34">
        <w:rPr>
          <w:rFonts w:eastAsia="MS Mincho"/>
          <w:lang w:val="en-US"/>
        </w:rPr>
        <w:t xml:space="preserve"> million investment to ensure </w:t>
      </w:r>
      <w:r w:rsidR="0029279B" w:rsidRPr="00B35D34">
        <w:rPr>
          <w:rFonts w:eastAsia="MS Mincho"/>
          <w:lang w:val="en-US"/>
        </w:rPr>
        <w:t>important medicines held within the</w:t>
      </w:r>
      <w:r w:rsidRPr="00B35D34">
        <w:rPr>
          <w:rFonts w:eastAsia="MS Mincho"/>
          <w:lang w:val="en-US"/>
        </w:rPr>
        <w:t xml:space="preserve"> National Medical Stockpile (NMS) </w:t>
      </w:r>
      <w:r w:rsidR="0029279B" w:rsidRPr="00B35D34">
        <w:rPr>
          <w:rFonts w:eastAsia="MS Mincho"/>
          <w:lang w:val="en-US"/>
        </w:rPr>
        <w:t>are re-</w:t>
      </w:r>
      <w:r w:rsidRPr="00B35D34">
        <w:rPr>
          <w:rFonts w:eastAsia="MS Mincho"/>
          <w:lang w:val="en-US"/>
        </w:rPr>
        <w:t>stock</w:t>
      </w:r>
      <w:r w:rsidR="0029279B" w:rsidRPr="00B35D34">
        <w:rPr>
          <w:rFonts w:eastAsia="MS Mincho"/>
          <w:lang w:val="en-US"/>
        </w:rPr>
        <w:t>ed, as the medication</w:t>
      </w:r>
      <w:r w:rsidRPr="00B35D34">
        <w:rPr>
          <w:rFonts w:eastAsia="MS Mincho"/>
          <w:lang w:val="en-US"/>
        </w:rPr>
        <w:t xml:space="preserve"> reaches its natural expiry.</w:t>
      </w:r>
    </w:p>
    <w:p w14:paraId="58FDC592" w14:textId="77777777" w:rsidR="003F3ECB" w:rsidRPr="00B35D34" w:rsidRDefault="00470DE7" w:rsidP="00E737C0">
      <w:pPr>
        <w:pStyle w:val="IntroPara"/>
        <w:ind w:left="720"/>
        <w:rPr>
          <w:rFonts w:eastAsia="MS Mincho"/>
          <w:lang w:val="en-US"/>
        </w:rPr>
      </w:pPr>
      <w:r w:rsidRPr="00B35D34">
        <w:rPr>
          <w:rFonts w:eastAsia="MS Mincho"/>
          <w:lang w:val="en-US"/>
        </w:rPr>
        <w:t xml:space="preserve">The </w:t>
      </w:r>
      <w:r w:rsidR="00B32345" w:rsidRPr="00B35D34">
        <w:rPr>
          <w:rFonts w:eastAsia="MS Mincho"/>
          <w:lang w:val="en-US"/>
        </w:rPr>
        <w:t xml:space="preserve">NMS </w:t>
      </w:r>
      <w:r w:rsidRPr="00B35D34">
        <w:rPr>
          <w:rFonts w:eastAsia="MS Mincho"/>
          <w:lang w:val="en-US"/>
        </w:rPr>
        <w:t>protect</w:t>
      </w:r>
      <w:r w:rsidR="003F3ECB" w:rsidRPr="00B35D34">
        <w:rPr>
          <w:rFonts w:eastAsia="MS Mincho"/>
          <w:lang w:val="en-US"/>
        </w:rPr>
        <w:t>s</w:t>
      </w:r>
      <w:r w:rsidRPr="00B35D34">
        <w:rPr>
          <w:rFonts w:eastAsia="MS Mincho"/>
          <w:lang w:val="en-US"/>
        </w:rPr>
        <w:t xml:space="preserve"> lives and livelihoods by ensuring </w:t>
      </w:r>
      <w:r w:rsidR="00B32345" w:rsidRPr="00B35D34">
        <w:rPr>
          <w:rFonts w:eastAsia="MS Mincho"/>
          <w:lang w:val="en-US"/>
        </w:rPr>
        <w:t xml:space="preserve">a </w:t>
      </w:r>
      <w:r w:rsidRPr="00B35D34">
        <w:rPr>
          <w:rFonts w:eastAsia="MS Mincho"/>
          <w:lang w:val="en-US"/>
        </w:rPr>
        <w:t xml:space="preserve">supply of key emergency treatments </w:t>
      </w:r>
      <w:r w:rsidR="002F501E" w:rsidRPr="00B35D34">
        <w:rPr>
          <w:rFonts w:eastAsia="MS Mincho"/>
          <w:lang w:val="en-US"/>
        </w:rPr>
        <w:t xml:space="preserve">such as pharmaceuticals </w:t>
      </w:r>
      <w:r w:rsidR="00B32345" w:rsidRPr="00B35D34">
        <w:rPr>
          <w:rFonts w:eastAsia="MS Mincho"/>
          <w:lang w:val="en-US"/>
        </w:rPr>
        <w:t xml:space="preserve">which </w:t>
      </w:r>
      <w:r w:rsidR="00E737C0" w:rsidRPr="00B35D34">
        <w:rPr>
          <w:rFonts w:eastAsia="MS Mincho"/>
          <w:lang w:val="en-US"/>
        </w:rPr>
        <w:t>can</w:t>
      </w:r>
      <w:r w:rsidR="003F3ECB" w:rsidRPr="00B35D34">
        <w:rPr>
          <w:rFonts w:eastAsia="MS Mincho"/>
          <w:lang w:val="en-US"/>
        </w:rPr>
        <w:t xml:space="preserve"> be deployed in a public health emergency</w:t>
      </w:r>
      <w:r w:rsidRPr="00B35D34">
        <w:rPr>
          <w:rFonts w:eastAsia="MS Mincho"/>
          <w:lang w:val="en-US"/>
        </w:rPr>
        <w:t>.</w:t>
      </w:r>
    </w:p>
    <w:p w14:paraId="1A916103" w14:textId="77777777" w:rsidR="00E737C0" w:rsidRPr="00B35D34" w:rsidRDefault="003F3ECB" w:rsidP="00E737C0">
      <w:pPr>
        <w:pStyle w:val="IntroPara"/>
        <w:ind w:left="720"/>
        <w:rPr>
          <w:rFonts w:eastAsia="MS Mincho"/>
          <w:lang w:val="en-US"/>
        </w:rPr>
      </w:pPr>
      <w:r w:rsidRPr="00B35D34">
        <w:rPr>
          <w:rFonts w:eastAsia="MS Mincho"/>
          <w:lang w:val="en-US"/>
        </w:rPr>
        <w:t xml:space="preserve">This </w:t>
      </w:r>
      <w:r w:rsidR="004B02BE" w:rsidRPr="00B35D34">
        <w:rPr>
          <w:rFonts w:eastAsia="MS Mincho"/>
          <w:lang w:val="en-US"/>
        </w:rPr>
        <w:t xml:space="preserve">investment will also </w:t>
      </w:r>
      <w:r w:rsidRPr="00B35D34">
        <w:rPr>
          <w:rFonts w:eastAsia="MS Mincho"/>
          <w:lang w:val="en-US"/>
        </w:rPr>
        <w:t>purchase stocks of influenza treatments to ens</w:t>
      </w:r>
      <w:r w:rsidR="0029279B" w:rsidRPr="00B35D34">
        <w:rPr>
          <w:rFonts w:eastAsia="MS Mincho"/>
          <w:lang w:val="en-US"/>
        </w:rPr>
        <w:t>ure continued preparedness for the coming</w:t>
      </w:r>
      <w:r w:rsidR="002F501E" w:rsidRPr="00B35D34">
        <w:rPr>
          <w:rFonts w:eastAsia="MS Mincho"/>
          <w:lang w:val="en-US"/>
        </w:rPr>
        <w:t xml:space="preserve"> </w:t>
      </w:r>
      <w:r w:rsidRPr="00B35D34">
        <w:rPr>
          <w:rFonts w:eastAsia="MS Mincho"/>
          <w:lang w:val="en-US"/>
        </w:rPr>
        <w:t>influenza season whilst the COVID-19 pandemic continues.</w:t>
      </w:r>
    </w:p>
    <w:p w14:paraId="564363F0" w14:textId="69555F59" w:rsidR="00AC3000" w:rsidRPr="00B35D34" w:rsidRDefault="00AC3000" w:rsidP="00533C28">
      <w:pPr>
        <w:pStyle w:val="IntroPara"/>
        <w:numPr>
          <w:ilvl w:val="0"/>
          <w:numId w:val="7"/>
        </w:numPr>
        <w:rPr>
          <w:rFonts w:eastAsia="MS Mincho"/>
          <w:lang w:val="en-US"/>
        </w:rPr>
      </w:pPr>
      <w:r w:rsidRPr="00B35D34">
        <w:rPr>
          <w:rFonts w:eastAsia="MS Mincho"/>
          <w:lang w:val="en-US"/>
        </w:rPr>
        <w:t xml:space="preserve">$11 million over </w:t>
      </w:r>
      <w:r w:rsidR="00E41AAA" w:rsidRPr="00B35D34">
        <w:rPr>
          <w:rFonts w:eastAsia="MS Mincho"/>
          <w:lang w:val="en-US"/>
        </w:rPr>
        <w:t>four</w:t>
      </w:r>
      <w:r w:rsidRPr="00B35D34">
        <w:rPr>
          <w:rFonts w:eastAsia="MS Mincho"/>
          <w:lang w:val="en-US"/>
        </w:rPr>
        <w:t xml:space="preserve"> years to improve the awareness, diagnosis, and treatment of dust diseases, such as silicosis, in response to the Final Report from the National Dust Disease Taskforce.</w:t>
      </w:r>
    </w:p>
    <w:p w14:paraId="725DE2B3" w14:textId="77777777" w:rsidR="00AC3000" w:rsidRPr="00B35D34" w:rsidRDefault="00AC3000" w:rsidP="00AC3000">
      <w:pPr>
        <w:pStyle w:val="IntroPara"/>
        <w:ind w:left="720"/>
        <w:rPr>
          <w:rFonts w:eastAsia="MS Mincho"/>
          <w:lang w:val="en-US"/>
        </w:rPr>
      </w:pPr>
      <w:r w:rsidRPr="00B35D34">
        <w:rPr>
          <w:rFonts w:eastAsia="MS Mincho"/>
          <w:lang w:val="en-US"/>
        </w:rPr>
        <w:t xml:space="preserve">The Australian Government is investing in awareness and education of the risks of working in dust generating industries, training for medical professionals </w:t>
      </w:r>
      <w:r w:rsidRPr="00B35D34">
        <w:rPr>
          <w:rFonts w:eastAsia="MS Mincho"/>
          <w:lang w:val="en-US"/>
        </w:rPr>
        <w:lastRenderedPageBreak/>
        <w:t>on the diagnosis and treatment of dust diseases, and the development of a silicosis care management plan for health professionals.</w:t>
      </w:r>
    </w:p>
    <w:p w14:paraId="16CED82D" w14:textId="77777777" w:rsidR="00AC3000" w:rsidRPr="00B35D34" w:rsidRDefault="00AC3000" w:rsidP="00AC3000">
      <w:pPr>
        <w:pStyle w:val="IntroPara"/>
        <w:ind w:left="720"/>
        <w:rPr>
          <w:rFonts w:eastAsia="MS Mincho"/>
          <w:lang w:val="en-US"/>
        </w:rPr>
      </w:pPr>
      <w:r w:rsidRPr="00B35D34">
        <w:rPr>
          <w:rFonts w:eastAsia="MS Mincho"/>
          <w:lang w:val="en-US"/>
        </w:rPr>
        <w:t xml:space="preserve">It also provides a single </w:t>
      </w:r>
      <w:proofErr w:type="spellStart"/>
      <w:r w:rsidRPr="00B35D34">
        <w:rPr>
          <w:rFonts w:eastAsia="MS Mincho"/>
          <w:lang w:val="en-US"/>
        </w:rPr>
        <w:t>centralised</w:t>
      </w:r>
      <w:proofErr w:type="spellEnd"/>
      <w:r w:rsidRPr="00B35D34">
        <w:rPr>
          <w:rFonts w:eastAsia="MS Mincho"/>
          <w:lang w:val="en-US"/>
        </w:rPr>
        <w:t xml:space="preserve"> hub to provide affected workers and their families with information, support and expert advice and supports the National Occupational Respiratory Disease Registry.</w:t>
      </w:r>
    </w:p>
    <w:p w14:paraId="18480699" w14:textId="77777777" w:rsidR="00E737C0" w:rsidRPr="00B35D34" w:rsidRDefault="00E737C0" w:rsidP="00FF0BB3">
      <w:pPr>
        <w:pStyle w:val="IntroPara"/>
        <w:numPr>
          <w:ilvl w:val="0"/>
          <w:numId w:val="7"/>
        </w:numPr>
        <w:rPr>
          <w:rFonts w:eastAsia="MS Mincho"/>
          <w:lang w:val="en-US"/>
        </w:rPr>
      </w:pPr>
      <w:r w:rsidRPr="00B35D34">
        <w:rPr>
          <w:rFonts w:eastAsia="MS Mincho"/>
          <w:lang w:val="en-US"/>
        </w:rPr>
        <w:t>$</w:t>
      </w:r>
      <w:r w:rsidR="003867F0" w:rsidRPr="00B35D34">
        <w:rPr>
          <w:rFonts w:eastAsia="MS Mincho"/>
          <w:lang w:val="en-US"/>
        </w:rPr>
        <w:t>5.3</w:t>
      </w:r>
      <w:r w:rsidRPr="00B35D34">
        <w:rPr>
          <w:rFonts w:eastAsia="MS Mincho"/>
          <w:lang w:val="en-US"/>
        </w:rPr>
        <w:t xml:space="preserve"> million to extend funding for Commonwealth clinical quality registries (CQRs), which support improved health outcomes for patients with implanted breast, cardiac, pelvic mesh, hip fracture or shunt device, and for treatment for diabetes or traumatic injury, for </w:t>
      </w:r>
      <w:r w:rsidR="003867F0" w:rsidRPr="00B35D34">
        <w:rPr>
          <w:rFonts w:eastAsia="MS Mincho"/>
          <w:lang w:val="en-US"/>
        </w:rPr>
        <w:t>one</w:t>
      </w:r>
      <w:r w:rsidRPr="00B35D34">
        <w:rPr>
          <w:rFonts w:eastAsia="MS Mincho"/>
          <w:lang w:val="en-US"/>
        </w:rPr>
        <w:t xml:space="preserve"> year from 2022</w:t>
      </w:r>
      <w:r w:rsidR="0029279B" w:rsidRPr="00B35D34">
        <w:rPr>
          <w:rFonts w:eastAsia="MS Mincho"/>
          <w:lang w:val="en-US"/>
        </w:rPr>
        <w:t>–</w:t>
      </w:r>
      <w:r w:rsidRPr="00B35D34">
        <w:rPr>
          <w:rFonts w:eastAsia="MS Mincho"/>
          <w:lang w:val="en-US"/>
        </w:rPr>
        <w:t xml:space="preserve">23. </w:t>
      </w:r>
    </w:p>
    <w:p w14:paraId="1E31E3AA" w14:textId="77777777" w:rsidR="002F501E" w:rsidRPr="00B35D34" w:rsidRDefault="0029279B" w:rsidP="00E737C0">
      <w:pPr>
        <w:pStyle w:val="IntroPara"/>
        <w:ind w:left="720"/>
        <w:rPr>
          <w:rFonts w:eastAsia="MS Mincho"/>
          <w:lang w:val="en-US"/>
        </w:rPr>
      </w:pPr>
      <w:r w:rsidRPr="00B35D34">
        <w:rPr>
          <w:rFonts w:eastAsia="MS Mincho"/>
          <w:lang w:val="en-US"/>
        </w:rPr>
        <w:t>This investment will replace the</w:t>
      </w:r>
      <w:r w:rsidR="003867F0" w:rsidRPr="00B35D34">
        <w:rPr>
          <w:rFonts w:eastAsia="MS Mincho"/>
          <w:lang w:val="en-US"/>
        </w:rPr>
        <w:t>se</w:t>
      </w:r>
      <w:r w:rsidR="002F501E" w:rsidRPr="00B35D34">
        <w:rPr>
          <w:rFonts w:eastAsia="MS Mincho"/>
          <w:lang w:val="en-US"/>
        </w:rPr>
        <w:t xml:space="preserve"> </w:t>
      </w:r>
      <w:r w:rsidRPr="00B35D34">
        <w:rPr>
          <w:rFonts w:eastAsia="MS Mincho"/>
          <w:lang w:val="en-US"/>
        </w:rPr>
        <w:t>CQRs</w:t>
      </w:r>
      <w:r w:rsidR="003867F0" w:rsidRPr="00B35D34">
        <w:rPr>
          <w:rFonts w:eastAsia="MS Mincho"/>
          <w:lang w:val="en-US"/>
        </w:rPr>
        <w:t>’</w:t>
      </w:r>
      <w:r w:rsidRPr="00B35D34">
        <w:rPr>
          <w:rFonts w:eastAsia="MS Mincho"/>
          <w:lang w:val="en-US"/>
        </w:rPr>
        <w:t xml:space="preserve"> </w:t>
      </w:r>
      <w:r w:rsidR="002F501E" w:rsidRPr="00B35D34">
        <w:rPr>
          <w:rFonts w:eastAsia="MS Mincho"/>
          <w:lang w:val="en-US"/>
        </w:rPr>
        <w:t xml:space="preserve">paper repositories </w:t>
      </w:r>
      <w:r w:rsidRPr="00B35D34">
        <w:rPr>
          <w:rFonts w:eastAsia="MS Mincho"/>
          <w:lang w:val="en-US"/>
        </w:rPr>
        <w:t>with</w:t>
      </w:r>
      <w:r w:rsidR="007D15F4" w:rsidRPr="00B35D34">
        <w:rPr>
          <w:rFonts w:eastAsia="MS Mincho"/>
          <w:lang w:val="en-US"/>
        </w:rPr>
        <w:t xml:space="preserve"> m</w:t>
      </w:r>
      <w:r w:rsidR="002F501E" w:rsidRPr="00B35D34">
        <w:rPr>
          <w:rFonts w:eastAsia="MS Mincho"/>
          <w:lang w:val="en-US"/>
        </w:rPr>
        <w:t>ore efficient</w:t>
      </w:r>
      <w:r w:rsidRPr="00B35D34">
        <w:rPr>
          <w:rFonts w:eastAsia="MS Mincho"/>
          <w:lang w:val="en-US"/>
        </w:rPr>
        <w:t>,</w:t>
      </w:r>
      <w:r w:rsidR="002F501E" w:rsidRPr="00B35D34">
        <w:rPr>
          <w:rFonts w:eastAsia="MS Mincho"/>
          <w:lang w:val="en-US"/>
        </w:rPr>
        <w:t xml:space="preserve"> </w:t>
      </w:r>
      <w:proofErr w:type="spellStart"/>
      <w:r w:rsidRPr="00B35D34">
        <w:rPr>
          <w:rFonts w:eastAsia="MS Mincho"/>
          <w:lang w:val="en-US"/>
        </w:rPr>
        <w:t>digiti</w:t>
      </w:r>
      <w:r w:rsidR="003867F0" w:rsidRPr="00B35D34">
        <w:rPr>
          <w:rFonts w:eastAsia="MS Mincho"/>
          <w:lang w:val="en-US"/>
        </w:rPr>
        <w:t>s</w:t>
      </w:r>
      <w:r w:rsidRPr="00B35D34">
        <w:rPr>
          <w:rFonts w:eastAsia="MS Mincho"/>
          <w:lang w:val="en-US"/>
        </w:rPr>
        <w:t>ed</w:t>
      </w:r>
      <w:proofErr w:type="spellEnd"/>
      <w:r w:rsidRPr="00B35D34">
        <w:rPr>
          <w:rFonts w:eastAsia="MS Mincho"/>
          <w:lang w:val="en-US"/>
        </w:rPr>
        <w:t>,</w:t>
      </w:r>
      <w:r w:rsidR="002F501E" w:rsidRPr="00B35D34">
        <w:rPr>
          <w:rFonts w:eastAsia="MS Mincho"/>
          <w:lang w:val="en-US"/>
        </w:rPr>
        <w:t xml:space="preserve"> and interoperable systems </w:t>
      </w:r>
      <w:r w:rsidR="007D15F4" w:rsidRPr="00B35D34">
        <w:rPr>
          <w:rFonts w:eastAsia="MS Mincho"/>
          <w:lang w:val="en-US"/>
        </w:rPr>
        <w:t>that will</w:t>
      </w:r>
      <w:r w:rsidR="002F501E" w:rsidRPr="00B35D34">
        <w:rPr>
          <w:rFonts w:eastAsia="MS Mincho"/>
          <w:lang w:val="en-US"/>
        </w:rPr>
        <w:t xml:space="preserve"> drive </w:t>
      </w:r>
      <w:r w:rsidR="00B32345" w:rsidRPr="00B35D34">
        <w:rPr>
          <w:rFonts w:eastAsia="MS Mincho"/>
          <w:lang w:val="en-US"/>
        </w:rPr>
        <w:t>improvements in healthcare</w:t>
      </w:r>
      <w:r w:rsidRPr="00B35D34">
        <w:rPr>
          <w:rFonts w:eastAsia="MS Mincho"/>
          <w:lang w:val="en-US"/>
        </w:rPr>
        <w:t xml:space="preserve"> and leverage future developments in digital health systems.</w:t>
      </w:r>
      <w:r w:rsidR="002F501E" w:rsidRPr="00B35D34">
        <w:rPr>
          <w:rFonts w:eastAsia="MS Mincho"/>
          <w:lang w:val="en-US"/>
        </w:rPr>
        <w:t xml:space="preserve"> </w:t>
      </w:r>
    </w:p>
    <w:p w14:paraId="7AF7C08E" w14:textId="77777777" w:rsidR="002F501E" w:rsidRPr="00B35D34" w:rsidRDefault="00B32345" w:rsidP="00E737C0">
      <w:pPr>
        <w:pStyle w:val="IntroPara"/>
        <w:ind w:left="720"/>
        <w:rPr>
          <w:rFonts w:eastAsia="MS Mincho"/>
          <w:lang w:val="en-US"/>
        </w:rPr>
      </w:pPr>
      <w:r w:rsidRPr="00B35D34">
        <w:rPr>
          <w:rFonts w:eastAsia="MS Mincho"/>
          <w:lang w:val="en-US"/>
        </w:rPr>
        <w:t>CQRs support</w:t>
      </w:r>
      <w:r w:rsidR="00A13F63" w:rsidRPr="00B35D34">
        <w:rPr>
          <w:rFonts w:eastAsia="MS Mincho"/>
          <w:lang w:val="en-US"/>
        </w:rPr>
        <w:t xml:space="preserve"> the</w:t>
      </w:r>
      <w:r w:rsidRPr="00B35D34">
        <w:rPr>
          <w:rFonts w:eastAsia="MS Mincho"/>
          <w:lang w:val="en-US"/>
        </w:rPr>
        <w:t xml:space="preserve"> use of the Therapeutic Goods Association’s unique device identifier, so </w:t>
      </w:r>
      <w:r w:rsidRPr="00B35D34">
        <w:t>that for the first time implanted medical devices</w:t>
      </w:r>
      <w:r w:rsidR="00A13F63" w:rsidRPr="00B35D34">
        <w:t xml:space="preserve"> such as breast implants</w:t>
      </w:r>
      <w:r w:rsidRPr="00B35D34">
        <w:t xml:space="preserve"> can be tracked and traced. </w:t>
      </w:r>
    </w:p>
    <w:p w14:paraId="0DA2F296" w14:textId="77777777" w:rsidR="005A0E41" w:rsidRPr="00B35D34" w:rsidRDefault="007D15F4" w:rsidP="007D15F4">
      <w:pPr>
        <w:pStyle w:val="IntroPara"/>
        <w:numPr>
          <w:ilvl w:val="0"/>
          <w:numId w:val="7"/>
        </w:numPr>
        <w:rPr>
          <w:rFonts w:eastAsia="MS Mincho"/>
          <w:lang w:val="en-US"/>
        </w:rPr>
      </w:pPr>
      <w:r w:rsidRPr="00B35D34">
        <w:rPr>
          <w:rFonts w:eastAsia="MS Mincho"/>
          <w:lang w:val="en-US"/>
        </w:rPr>
        <w:t xml:space="preserve">$2.1 million is being invested in activities aimed at early detection and better treatment of sepsis, </w:t>
      </w:r>
      <w:r w:rsidRPr="00B35D34">
        <w:t xml:space="preserve">a life-threatening and time-critical </w:t>
      </w:r>
      <w:r w:rsidR="0029279B" w:rsidRPr="00B35D34">
        <w:t>blood infection</w:t>
      </w:r>
      <w:r w:rsidR="005A0E41" w:rsidRPr="00B35D34">
        <w:t xml:space="preserve">. </w:t>
      </w:r>
    </w:p>
    <w:p w14:paraId="3F4126A7" w14:textId="77777777" w:rsidR="005A0E41" w:rsidRPr="00B35D34" w:rsidRDefault="005A0E41" w:rsidP="005A0E41">
      <w:pPr>
        <w:pStyle w:val="IntroPara"/>
        <w:ind w:left="720"/>
        <w:rPr>
          <w:rFonts w:eastAsia="MS Mincho"/>
          <w:lang w:val="en-US"/>
        </w:rPr>
      </w:pPr>
      <w:r w:rsidRPr="00B35D34">
        <w:rPr>
          <w:rFonts w:eastAsia="MS Mincho"/>
          <w:lang w:val="en-US"/>
        </w:rPr>
        <w:t>This investment addresses</w:t>
      </w:r>
      <w:r w:rsidR="0029279B" w:rsidRPr="00B35D34">
        <w:rPr>
          <w:rFonts w:eastAsia="MS Mincho"/>
          <w:lang w:val="en-US"/>
        </w:rPr>
        <w:t xml:space="preserve"> </w:t>
      </w:r>
      <w:r w:rsidRPr="00B35D34">
        <w:rPr>
          <w:rFonts w:eastAsia="MS Mincho"/>
          <w:lang w:val="en-US"/>
        </w:rPr>
        <w:t xml:space="preserve">recommendations under the </w:t>
      </w:r>
      <w:r w:rsidRPr="00B35D34">
        <w:rPr>
          <w:rFonts w:eastAsia="MS Mincho"/>
          <w:i/>
          <w:lang w:val="en-US"/>
        </w:rPr>
        <w:t>National Action Plan</w:t>
      </w:r>
      <w:r w:rsidR="0029279B" w:rsidRPr="00B35D34">
        <w:rPr>
          <w:rFonts w:eastAsia="MS Mincho"/>
          <w:i/>
          <w:lang w:val="en-US"/>
        </w:rPr>
        <w:t xml:space="preserve"> for S</w:t>
      </w:r>
      <w:r w:rsidRPr="00B35D34">
        <w:rPr>
          <w:rFonts w:eastAsia="MS Mincho"/>
          <w:i/>
          <w:lang w:val="en-US"/>
        </w:rPr>
        <w:t>epsis</w:t>
      </w:r>
      <w:r w:rsidRPr="00B35D34">
        <w:rPr>
          <w:rFonts w:eastAsia="MS Mincho"/>
          <w:lang w:val="en-US"/>
        </w:rPr>
        <w:t xml:space="preserve">, including building capacity and ensuring appropriate care for sepsis survivors, and </w:t>
      </w:r>
      <w:r w:rsidR="00254684" w:rsidRPr="00B35D34">
        <w:rPr>
          <w:rFonts w:eastAsia="MS Mincho"/>
          <w:lang w:val="en-US"/>
        </w:rPr>
        <w:t>will deliver</w:t>
      </w:r>
      <w:r w:rsidRPr="00B35D34">
        <w:rPr>
          <w:rFonts w:eastAsia="MS Mincho"/>
          <w:lang w:val="en-US"/>
        </w:rPr>
        <w:t xml:space="preserve"> </w:t>
      </w:r>
      <w:r w:rsidR="002362A1" w:rsidRPr="00B35D34">
        <w:rPr>
          <w:rFonts w:eastAsia="MS Mincho"/>
          <w:lang w:val="en-US"/>
        </w:rPr>
        <w:t xml:space="preserve">a </w:t>
      </w:r>
      <w:r w:rsidRPr="00B35D34">
        <w:rPr>
          <w:rFonts w:eastAsia="MS Mincho"/>
          <w:lang w:val="en-US"/>
        </w:rPr>
        <w:t xml:space="preserve">comprehensive national sepsis awareness campaign. </w:t>
      </w:r>
    </w:p>
    <w:p w14:paraId="4174BD6B" w14:textId="77777777" w:rsidR="005A0E41" w:rsidRPr="00B35D34" w:rsidRDefault="005A0E41" w:rsidP="002362A1">
      <w:pPr>
        <w:pStyle w:val="IntroPara"/>
        <w:ind w:left="720"/>
        <w:rPr>
          <w:rFonts w:eastAsia="MS Mincho"/>
          <w:lang w:val="en-US"/>
        </w:rPr>
      </w:pPr>
      <w:r w:rsidRPr="00B35D34">
        <w:rPr>
          <w:rFonts w:eastAsia="MS Mincho"/>
          <w:lang w:val="en-US"/>
        </w:rPr>
        <w:t xml:space="preserve">The initiative </w:t>
      </w:r>
      <w:r w:rsidR="001C5C98" w:rsidRPr="00B35D34">
        <w:rPr>
          <w:rFonts w:eastAsia="MS Mincho"/>
          <w:lang w:val="en-US"/>
        </w:rPr>
        <w:t xml:space="preserve">includes </w:t>
      </w:r>
      <w:r w:rsidRPr="00B35D34">
        <w:rPr>
          <w:rFonts w:eastAsia="MS Mincho"/>
          <w:lang w:val="en-US"/>
        </w:rPr>
        <w:t>targeted training for undergraduate health programs and health professionals</w:t>
      </w:r>
      <w:r w:rsidR="001C5C98" w:rsidRPr="00B35D34">
        <w:rPr>
          <w:rFonts w:eastAsia="MS Mincho"/>
          <w:lang w:val="en-US"/>
        </w:rPr>
        <w:t>, and t</w:t>
      </w:r>
      <w:r w:rsidR="001C5C98" w:rsidRPr="00B35D34">
        <w:t>he development and publication of data collection tools to drive improvements to sepsis care</w:t>
      </w:r>
      <w:r w:rsidRPr="00B35D34">
        <w:rPr>
          <w:rFonts w:eastAsia="MS Mincho"/>
          <w:lang w:val="en-US"/>
        </w:rPr>
        <w:t xml:space="preserve">.  </w:t>
      </w:r>
    </w:p>
    <w:p w14:paraId="3693892A" w14:textId="74C73ACC" w:rsidR="00A56C50" w:rsidRPr="00B35D34" w:rsidRDefault="002362A1" w:rsidP="00A56C50">
      <w:pPr>
        <w:pStyle w:val="IntroPara"/>
        <w:numPr>
          <w:ilvl w:val="0"/>
          <w:numId w:val="7"/>
        </w:numPr>
        <w:rPr>
          <w:rFonts w:eastAsia="MS Mincho"/>
          <w:lang w:val="en-US"/>
        </w:rPr>
      </w:pPr>
      <w:r w:rsidRPr="00B35D34">
        <w:rPr>
          <w:rFonts w:eastAsia="MS Mincho"/>
          <w:lang w:val="en-US"/>
        </w:rPr>
        <w:t>$</w:t>
      </w:r>
      <w:r w:rsidR="007B0527" w:rsidRPr="00B35D34">
        <w:rPr>
          <w:rFonts w:eastAsia="MS Mincho"/>
          <w:lang w:val="en-US"/>
        </w:rPr>
        <w:t>3.9</w:t>
      </w:r>
      <w:r w:rsidRPr="00B35D34">
        <w:rPr>
          <w:rFonts w:eastAsia="MS Mincho"/>
          <w:lang w:val="en-US"/>
        </w:rPr>
        <w:t xml:space="preserve"> million is being invested to redesign the existing Quality Use of Diagnostics, Therapeutics and Pathology (QUDTP) Program to deliver targeted, responsive and efficient activities that </w:t>
      </w:r>
      <w:r w:rsidR="00A56C50" w:rsidRPr="00B35D34">
        <w:rPr>
          <w:rFonts w:eastAsia="MS Mincho"/>
          <w:lang w:val="en-US"/>
        </w:rPr>
        <w:t xml:space="preserve">ensure public confidence and knowledge about using medicines and diagnostics tests safely and effectively. </w:t>
      </w:r>
    </w:p>
    <w:p w14:paraId="5501DB2F" w14:textId="77777777" w:rsidR="00105ACA" w:rsidRPr="00B35D34" w:rsidRDefault="00105ACA" w:rsidP="00105ACA">
      <w:pPr>
        <w:pStyle w:val="IntroPara"/>
        <w:spacing w:line="319" w:lineRule="auto"/>
        <w:ind w:left="720"/>
        <w:rPr>
          <w:rFonts w:eastAsia="MS Mincho"/>
          <w:lang w:val="en-US"/>
        </w:rPr>
      </w:pPr>
      <w:r w:rsidRPr="00B35D34">
        <w:rPr>
          <w:rFonts w:eastAsia="MS Mincho"/>
          <w:lang w:val="en-US"/>
        </w:rPr>
        <w:t>The QUDTP Program’s reach will be expanded to all healthcare settings by consolidating quality use of medicines</w:t>
      </w:r>
      <w:r w:rsidR="007034D6" w:rsidRPr="00B35D34">
        <w:rPr>
          <w:rFonts w:eastAsia="MS Mincho"/>
          <w:lang w:val="en-US"/>
        </w:rPr>
        <w:t xml:space="preserve"> and diagnostics</w:t>
      </w:r>
      <w:r w:rsidRPr="00B35D34">
        <w:rPr>
          <w:rFonts w:eastAsia="MS Mincho"/>
          <w:lang w:val="en-US"/>
        </w:rPr>
        <w:t xml:space="preserve"> (QUM) activities within the Australian Commission on Safety and Quality in Health Care (ACSQHC)</w:t>
      </w:r>
      <w:r w:rsidR="00654AB5" w:rsidRPr="00B35D34">
        <w:rPr>
          <w:rFonts w:eastAsia="MS Mincho"/>
          <w:lang w:val="en-US"/>
        </w:rPr>
        <w:t xml:space="preserve"> from 1 January 2023</w:t>
      </w:r>
      <w:r w:rsidR="00813931" w:rsidRPr="00B35D34">
        <w:rPr>
          <w:rFonts w:eastAsia="MS Mincho"/>
          <w:lang w:val="en-US"/>
        </w:rPr>
        <w:t>.</w:t>
      </w:r>
      <w:r w:rsidRPr="00B35D34">
        <w:rPr>
          <w:rFonts w:eastAsia="MS Mincho"/>
          <w:lang w:val="en-US"/>
        </w:rPr>
        <w:t xml:space="preserve"> </w:t>
      </w:r>
    </w:p>
    <w:p w14:paraId="6B147F42" w14:textId="0649E9CA" w:rsidR="008F2E23" w:rsidRPr="00B35D34" w:rsidRDefault="008F2E23" w:rsidP="00524B2A">
      <w:pPr>
        <w:pStyle w:val="Heading1"/>
      </w:pPr>
      <w:r w:rsidRPr="00B35D34">
        <w:t>Why is this important?</w:t>
      </w:r>
    </w:p>
    <w:p w14:paraId="0C62FDBE" w14:textId="77777777" w:rsidR="002C5965" w:rsidRPr="00B35D34" w:rsidRDefault="002C5965" w:rsidP="00A13F63">
      <w:pPr>
        <w:spacing w:after="120" w:line="240" w:lineRule="auto"/>
      </w:pPr>
      <w:r w:rsidRPr="00B35D34">
        <w:t>The Australian Government continues to guarantee Medicare</w:t>
      </w:r>
      <w:r w:rsidR="00AB0324" w:rsidRPr="00B35D34">
        <w:t xml:space="preserve"> and access to medicines</w:t>
      </w:r>
      <w:r w:rsidRPr="00B35D34">
        <w:t>, as a foundational part of our universal access health care system. Ongoing and record investment in Medicare is a key driver for Australia’s health systems to be one of the best in the world.</w:t>
      </w:r>
    </w:p>
    <w:p w14:paraId="4CAD11C1" w14:textId="77777777" w:rsidR="00A13F63" w:rsidRPr="00B35D34" w:rsidRDefault="00A13F63" w:rsidP="00A13F63">
      <w:pPr>
        <w:spacing w:after="120" w:line="240" w:lineRule="auto"/>
      </w:pPr>
      <w:r w:rsidRPr="00B35D34">
        <w:lastRenderedPageBreak/>
        <w:t xml:space="preserve">The NMS is an essential </w:t>
      </w:r>
      <w:r w:rsidR="007D15F4" w:rsidRPr="00B35D34">
        <w:t>part</w:t>
      </w:r>
      <w:r w:rsidRPr="00B35D34">
        <w:t xml:space="preserve"> of </w:t>
      </w:r>
      <w:r w:rsidR="002C5965" w:rsidRPr="00B35D34">
        <w:t xml:space="preserve">the critical infrastructure for </w:t>
      </w:r>
      <w:r w:rsidRPr="00B35D34">
        <w:t>national health protection</w:t>
      </w:r>
      <w:r w:rsidR="002C5965" w:rsidRPr="00B35D34">
        <w:t xml:space="preserve"> in Australia</w:t>
      </w:r>
      <w:r w:rsidRPr="00B35D34">
        <w:t>. It provides strategic reserves of pharmaceuticals including chemical, biological, radioactive and nuclear (CBRN) and antivirals ready to be deployed in response to a natural, accidental or terrorist related public health emergency</w:t>
      </w:r>
      <w:r w:rsidR="004A2921" w:rsidRPr="00B35D34">
        <w:t>, such as the COVID</w:t>
      </w:r>
      <w:r w:rsidR="002C5965" w:rsidRPr="00B35D34">
        <w:t>-19</w:t>
      </w:r>
      <w:r w:rsidR="004A2921" w:rsidRPr="00B35D34">
        <w:t xml:space="preserve"> pandemic.</w:t>
      </w:r>
      <w:r w:rsidR="00787466" w:rsidRPr="00B35D34">
        <w:t xml:space="preserve"> Stocks must </w:t>
      </w:r>
      <w:r w:rsidR="00D17985" w:rsidRPr="00B35D34">
        <w:t xml:space="preserve">continually </w:t>
      </w:r>
      <w:r w:rsidR="00787466" w:rsidRPr="00B35D34">
        <w:t xml:space="preserve">be maintained and replenished for </w:t>
      </w:r>
      <w:r w:rsidR="00D17985" w:rsidRPr="00B35D34">
        <w:t xml:space="preserve">maximum </w:t>
      </w:r>
      <w:r w:rsidR="00787466" w:rsidRPr="00B35D34">
        <w:t>preparedness.</w:t>
      </w:r>
    </w:p>
    <w:p w14:paraId="268EE7A4" w14:textId="77777777" w:rsidR="00BB6D6D" w:rsidRPr="00B35D34" w:rsidRDefault="00BB6D6D" w:rsidP="00A13F63">
      <w:pPr>
        <w:spacing w:after="120" w:line="240" w:lineRule="auto"/>
      </w:pPr>
      <w:r w:rsidRPr="00B35D34">
        <w:t xml:space="preserve">The rates of dust diseases like silicosis continue to rise, particularly among Australians who have worked in dust generating industries, like mining, quarrying, and </w:t>
      </w:r>
      <w:r w:rsidR="00217286" w:rsidRPr="00B35D34">
        <w:t xml:space="preserve">the </w:t>
      </w:r>
      <w:r w:rsidRPr="00B35D34">
        <w:t xml:space="preserve">engineered stone </w:t>
      </w:r>
      <w:r w:rsidR="00217286" w:rsidRPr="00B35D34">
        <w:t>industry</w:t>
      </w:r>
      <w:r w:rsidRPr="00B35D34">
        <w:t xml:space="preserve">. The National Dust Disease Taskforce has worked to develop a national approach to the prevention, early identification, control and management of these debilitating and potentially fatal occupational dust diseases in Australia.  </w:t>
      </w:r>
    </w:p>
    <w:p w14:paraId="53593FD7" w14:textId="77777777" w:rsidR="00A83B0F" w:rsidRPr="00B35D34" w:rsidRDefault="00A83B0F" w:rsidP="00A83B0F">
      <w:pPr>
        <w:spacing w:after="120" w:line="240" w:lineRule="auto"/>
      </w:pPr>
      <w:r w:rsidRPr="00B35D34">
        <w:t xml:space="preserve">CQRs continue to support improved health care and patient outcomes for people with: implanted breast, cardiac, pelvic mesh, hip fracture or shunt devices; and people undergoing treatment for diabetes or traumatic injury. Device registries ensure </w:t>
      </w:r>
      <w:r w:rsidR="00787466" w:rsidRPr="00B35D34">
        <w:t xml:space="preserve">all </w:t>
      </w:r>
      <w:r w:rsidRPr="00B35D34">
        <w:t xml:space="preserve">patients and surgeons can be contacted quickly in the event of a TGA recall or issue with a particular device. </w:t>
      </w:r>
    </w:p>
    <w:p w14:paraId="21F2FCF7" w14:textId="77777777" w:rsidR="007D15F4" w:rsidRPr="00B35D34" w:rsidRDefault="007D15F4" w:rsidP="00A13F63">
      <w:pPr>
        <w:spacing w:after="120" w:line="240" w:lineRule="auto"/>
      </w:pPr>
      <w:r w:rsidRPr="00B35D34">
        <w:t xml:space="preserve">Sepsis is a life-threatening, time-critical condition that arises when the body’s response to an infection damages its own tissues and organs, </w:t>
      </w:r>
      <w:r w:rsidR="002C5965" w:rsidRPr="00B35D34">
        <w:t>it can lead</w:t>
      </w:r>
      <w:r w:rsidRPr="00B35D34">
        <w:t xml:space="preserve"> to death if not recognised and treated promptly. </w:t>
      </w:r>
      <w:r w:rsidR="002C5965" w:rsidRPr="00B35D34">
        <w:t xml:space="preserve">Sepsis </w:t>
      </w:r>
      <w:r w:rsidR="005A0E41" w:rsidRPr="00B35D34">
        <w:t>is estimated to cost the Australian healthcare system up to $4.8</w:t>
      </w:r>
      <w:r w:rsidR="002C5965" w:rsidRPr="00B35D34">
        <w:t> billion annually.</w:t>
      </w:r>
      <w:r w:rsidR="005A0E41" w:rsidRPr="00B35D34">
        <w:t xml:space="preserve"> </w:t>
      </w:r>
      <w:r w:rsidR="002C5965" w:rsidRPr="00B35D34">
        <w:t>S</w:t>
      </w:r>
      <w:r w:rsidR="0022294F" w:rsidRPr="00B35D34">
        <w:t>epsis</w:t>
      </w:r>
      <w:r w:rsidR="002C5965" w:rsidRPr="00B35D34">
        <w:t xml:space="preserve"> also</w:t>
      </w:r>
      <w:r w:rsidR="005A0E41" w:rsidRPr="00B35D34">
        <w:t xml:space="preserve"> disproportionately affects Aboriginal and Torres Strait Islander people. </w:t>
      </w:r>
    </w:p>
    <w:p w14:paraId="01DF4BC1" w14:textId="746E7F31" w:rsidR="002C5965" w:rsidRPr="00B35D34" w:rsidRDefault="004A2921" w:rsidP="00A13F63">
      <w:pPr>
        <w:spacing w:after="120" w:line="240" w:lineRule="auto"/>
      </w:pPr>
      <w:r w:rsidRPr="00B35D34">
        <w:t xml:space="preserve">Medicines are the most common treatment used in health care, with more than </w:t>
      </w:r>
      <w:r w:rsidR="00E41AAA" w:rsidRPr="00B35D34">
        <w:t>nine</w:t>
      </w:r>
      <w:r w:rsidRPr="00B35D34">
        <w:t xml:space="preserve"> million Australians taking a prescribed medicine each day. </w:t>
      </w:r>
      <w:r w:rsidR="002C5965" w:rsidRPr="00B35D34">
        <w:t>M</w:t>
      </w:r>
      <w:r w:rsidRPr="00B35D34">
        <w:t>edicines can be harmful if prescribed inappropriately, a risk compounded by growth in the use of multiple medicines</w:t>
      </w:r>
      <w:r w:rsidR="0085093E" w:rsidRPr="00B35D34">
        <w:t>.</w:t>
      </w:r>
      <w:r w:rsidR="00B46C5E" w:rsidRPr="00B35D34">
        <w:t xml:space="preserve"> </w:t>
      </w:r>
    </w:p>
    <w:p w14:paraId="6E69CB2E" w14:textId="77777777" w:rsidR="00787466" w:rsidRPr="00B35D34" w:rsidRDefault="002C5965" w:rsidP="00A13F63">
      <w:pPr>
        <w:spacing w:after="120" w:line="240" w:lineRule="auto"/>
      </w:pPr>
      <w:r w:rsidRPr="00B35D34">
        <w:t>The QUDTP Program will deliver all healthcare settings access to consolidate</w:t>
      </w:r>
      <w:r w:rsidR="00AB0324" w:rsidRPr="00B35D34">
        <w:t>d</w:t>
      </w:r>
      <w:r w:rsidRPr="00B35D34">
        <w:t xml:space="preserve"> QUM activities</w:t>
      </w:r>
      <w:r w:rsidR="0085093E" w:rsidRPr="00B35D34">
        <w:t xml:space="preserve">. </w:t>
      </w:r>
    </w:p>
    <w:p w14:paraId="6BA49A06" w14:textId="77777777" w:rsidR="008F2E23" w:rsidRPr="00B35D34" w:rsidRDefault="008F2E23" w:rsidP="00524B2A">
      <w:pPr>
        <w:pStyle w:val="Heading1"/>
      </w:pPr>
      <w:r w:rsidRPr="00B35D34">
        <w:t>Who will benefit?</w:t>
      </w:r>
    </w:p>
    <w:p w14:paraId="24B5C1C1" w14:textId="77777777" w:rsidR="00BB6D6D" w:rsidRPr="00B35D34" w:rsidRDefault="00A83B0F" w:rsidP="007D15F4">
      <w:pPr>
        <w:spacing w:after="120" w:line="240" w:lineRule="auto"/>
      </w:pPr>
      <w:r w:rsidRPr="00B35D34">
        <w:t xml:space="preserve">The COVID-19 pandemic has shown that the NMS is a crucial tool for Government to support the health response during a crisis. All Australians, especially vulnerable and at risk groups, need access to essential medical supplies including medicines and antidotes.  </w:t>
      </w:r>
    </w:p>
    <w:p w14:paraId="6BD6E067" w14:textId="77777777" w:rsidR="00A83B0F" w:rsidRPr="00B35D34" w:rsidRDefault="00BB6D6D" w:rsidP="007D15F4">
      <w:pPr>
        <w:spacing w:after="120" w:line="240" w:lineRule="auto"/>
      </w:pPr>
      <w:r w:rsidRPr="00B35D34">
        <w:t>It is estimat</w:t>
      </w:r>
      <w:r w:rsidR="00217286" w:rsidRPr="00B35D34">
        <w:t>ed that around 25% of Australia’</w:t>
      </w:r>
      <w:r w:rsidRPr="00B35D34">
        <w:t xml:space="preserve">s </w:t>
      </w:r>
      <w:r w:rsidR="00217286" w:rsidRPr="00B35D34">
        <w:t>engineered stone workers who have been in the industry since before 2018 are suffering from silicosis or other silica dust related diseases. These measures will assist clinicians to better diagnose and treat dust diseases, as well as improving the support and information available to sufferers and their families.</w:t>
      </w:r>
      <w:r w:rsidRPr="00B35D34">
        <w:t xml:space="preserve"> </w:t>
      </w:r>
    </w:p>
    <w:p w14:paraId="2D6BC0B6" w14:textId="77777777" w:rsidR="00A83B0F" w:rsidRPr="00B35D34" w:rsidRDefault="00A83B0F" w:rsidP="00A83B0F">
      <w:pPr>
        <w:spacing w:after="120" w:line="240" w:lineRule="auto"/>
      </w:pPr>
      <w:r w:rsidRPr="00B35D34">
        <w:t xml:space="preserve">Clinicians, hospitals, health care system managers, industry, and the TGA would benefit from real world data in </w:t>
      </w:r>
      <w:r w:rsidRPr="00B35D34">
        <w:rPr>
          <w:rFonts w:eastAsia="MS Mincho"/>
          <w:lang w:val="en-US"/>
        </w:rPr>
        <w:t xml:space="preserve">clinical quality registries (CQRs) </w:t>
      </w:r>
      <w:r w:rsidRPr="00B35D34">
        <w:t xml:space="preserve">that support improvements in health care, including the ability to quickly contact </w:t>
      </w:r>
      <w:r w:rsidR="005A0E41" w:rsidRPr="00B35D34">
        <w:t xml:space="preserve">all </w:t>
      </w:r>
      <w:r w:rsidRPr="00B35D34">
        <w:t>people with implantable medical devices.</w:t>
      </w:r>
      <w:r w:rsidR="005A0E41" w:rsidRPr="00B35D34">
        <w:t xml:space="preserve"> In turn, people with such devices can respond more quickly.</w:t>
      </w:r>
    </w:p>
    <w:p w14:paraId="19CCD22C" w14:textId="77777777" w:rsidR="007D15F4" w:rsidRPr="00B35D34" w:rsidRDefault="007D15F4" w:rsidP="007D15F4">
      <w:pPr>
        <w:spacing w:after="120" w:line="240" w:lineRule="auto"/>
      </w:pPr>
      <w:r w:rsidRPr="00B35D34">
        <w:t xml:space="preserve">Around 55,000 Australians annually are diagnosed with sepsis and up to 8,700 die each year. </w:t>
      </w:r>
      <w:r w:rsidR="00A83B0F" w:rsidRPr="00B35D34">
        <w:t>Improv</w:t>
      </w:r>
      <w:r w:rsidR="00050927" w:rsidRPr="00B35D34">
        <w:t xml:space="preserve">ing </w:t>
      </w:r>
      <w:r w:rsidR="00A83B0F" w:rsidRPr="00B35D34">
        <w:t>the speed of diagnosis and treatment will reduce deaths and the impact on families.</w:t>
      </w:r>
    </w:p>
    <w:p w14:paraId="61A7A378" w14:textId="77777777" w:rsidR="00787466" w:rsidRPr="00B35D34" w:rsidRDefault="00787466" w:rsidP="00584253">
      <w:pPr>
        <w:spacing w:after="120" w:line="240" w:lineRule="auto"/>
      </w:pPr>
      <w:r w:rsidRPr="00B35D34">
        <w:t>Health professionals and consumers will continue to benefit from up</w:t>
      </w:r>
      <w:r w:rsidRPr="00B35D34">
        <w:noBreakHyphen/>
        <w:t xml:space="preserve">to-date education and information on the optimal </w:t>
      </w:r>
      <w:r w:rsidR="00D45E90" w:rsidRPr="00B35D34">
        <w:t xml:space="preserve">and </w:t>
      </w:r>
      <w:r w:rsidR="007216F8" w:rsidRPr="00B35D34">
        <w:t xml:space="preserve">safe </w:t>
      </w:r>
      <w:r w:rsidRPr="00B35D34">
        <w:t>use of medicines</w:t>
      </w:r>
      <w:r w:rsidR="007216F8" w:rsidRPr="00B35D34">
        <w:t xml:space="preserve"> </w:t>
      </w:r>
      <w:r w:rsidRPr="00B35D34">
        <w:t xml:space="preserve">from the ACSQHC. </w:t>
      </w:r>
      <w:r w:rsidR="00826D39" w:rsidRPr="00B35D34">
        <w:t xml:space="preserve">The consolidation of </w:t>
      </w:r>
      <w:r w:rsidR="007034D6" w:rsidRPr="00B35D34">
        <w:t>quality</w:t>
      </w:r>
      <w:r w:rsidR="00826D39" w:rsidRPr="00B35D34">
        <w:t xml:space="preserve"> activities within the ACSQHC leverages the Commission’s expertise and system-wide reach, including inter-jurisdictional clinical committees. Th</w:t>
      </w:r>
      <w:r w:rsidR="007034D6" w:rsidRPr="00B35D34">
        <w:t xml:space="preserve">is change </w:t>
      </w:r>
      <w:r w:rsidR="00826D39" w:rsidRPr="00B35D34">
        <w:t>re</w:t>
      </w:r>
      <w:r w:rsidR="007034D6" w:rsidRPr="00B35D34">
        <w:t>duce</w:t>
      </w:r>
      <w:r w:rsidR="00826D39" w:rsidRPr="00B35D34">
        <w:t xml:space="preserve"> the duplication of services </w:t>
      </w:r>
      <w:r w:rsidR="00B85111" w:rsidRPr="00B35D34">
        <w:t xml:space="preserve">provided by </w:t>
      </w:r>
      <w:r w:rsidR="00826D39" w:rsidRPr="00B35D34">
        <w:t>the N</w:t>
      </w:r>
      <w:r w:rsidR="0085093E" w:rsidRPr="00B35D34">
        <w:t xml:space="preserve">ational </w:t>
      </w:r>
      <w:r w:rsidR="00826D39" w:rsidRPr="00B35D34">
        <w:t>P</w:t>
      </w:r>
      <w:r w:rsidR="0085093E" w:rsidRPr="00B35D34">
        <w:t xml:space="preserve">rescribing </w:t>
      </w:r>
      <w:r w:rsidR="00826D39" w:rsidRPr="00B35D34">
        <w:t>S</w:t>
      </w:r>
      <w:r w:rsidR="0085093E" w:rsidRPr="00B35D34">
        <w:t>ervice</w:t>
      </w:r>
      <w:r w:rsidR="00826D39" w:rsidRPr="00B35D34">
        <w:t>.</w:t>
      </w:r>
    </w:p>
    <w:p w14:paraId="7737295A" w14:textId="77777777" w:rsidR="00F36FED" w:rsidRPr="00B35D34" w:rsidRDefault="00F36FED" w:rsidP="00584253">
      <w:pPr>
        <w:spacing w:after="120" w:line="240" w:lineRule="auto"/>
      </w:pPr>
      <w:r w:rsidRPr="00B35D34">
        <w:t>The health care campaign will positively impact the health of all Australians by enhancing access to routine health care for routine health matters, to help prevent, detect and manage chronic conditions. Priority populations, including Aboriginal and Torres Strait Islander people</w:t>
      </w:r>
      <w:r w:rsidR="00050927" w:rsidRPr="00B35D34">
        <w:t xml:space="preserve"> and </w:t>
      </w:r>
      <w:r w:rsidRPr="00B35D34">
        <w:t>people in rural and remote communities, will be key beneficiaries.</w:t>
      </w:r>
    </w:p>
    <w:p w14:paraId="1A3A5E14" w14:textId="77777777" w:rsidR="008F2E23" w:rsidRPr="00B35D34" w:rsidRDefault="006C2BB0" w:rsidP="00524B2A">
      <w:pPr>
        <w:pStyle w:val="Heading1"/>
      </w:pPr>
      <w:r w:rsidRPr="00B35D34">
        <w:t>How much will this cost?</w:t>
      </w:r>
    </w:p>
    <w:p w14:paraId="4C37ECD2" w14:textId="6889F04B" w:rsidR="0095032C" w:rsidRDefault="00575E7F" w:rsidP="00A41B55">
      <w:pPr>
        <w:rPr>
          <w:rFonts w:eastAsia="MS Mincho"/>
          <w:noProof/>
        </w:rPr>
      </w:pPr>
      <w:r w:rsidRPr="00B35D34">
        <w:rPr>
          <w:rFonts w:eastAsia="MS Mincho"/>
          <w:lang w:val="en-US"/>
        </w:rPr>
        <w:t>The Australian Government will invest $</w:t>
      </w:r>
      <w:r w:rsidR="007B0527" w:rsidRPr="00B35D34">
        <w:rPr>
          <w:rFonts w:eastAsia="MS Mincho"/>
          <w:lang w:val="en-US"/>
        </w:rPr>
        <w:t>60.5</w:t>
      </w:r>
      <w:r w:rsidRPr="00B35D34">
        <w:rPr>
          <w:rFonts w:eastAsia="MS Mincho"/>
          <w:lang w:val="en-US"/>
        </w:rPr>
        <w:t xml:space="preserve"> million over </w:t>
      </w:r>
      <w:r w:rsidR="00E41AAA" w:rsidRPr="00B35D34">
        <w:rPr>
          <w:rFonts w:eastAsia="MS Mincho"/>
          <w:lang w:val="en-US"/>
        </w:rPr>
        <w:t>five</w:t>
      </w:r>
      <w:r w:rsidRPr="00B35D34">
        <w:rPr>
          <w:rFonts w:eastAsia="MS Mincho"/>
          <w:lang w:val="en-US"/>
        </w:rPr>
        <w:t xml:space="preserve"> years</w:t>
      </w:r>
      <w:r w:rsidR="002C5965" w:rsidRPr="00B35D34">
        <w:rPr>
          <w:rFonts w:eastAsia="MS Mincho"/>
          <w:lang w:val="en-US"/>
        </w:rPr>
        <w:t>,</w:t>
      </w:r>
      <w:r w:rsidRPr="00B35D34">
        <w:rPr>
          <w:rFonts w:eastAsia="MS Mincho"/>
          <w:lang w:val="en-US"/>
        </w:rPr>
        <w:t xml:space="preserve"> from 202</w:t>
      </w:r>
      <w:r w:rsidR="00015C21" w:rsidRPr="00B35D34">
        <w:rPr>
          <w:rFonts w:eastAsia="MS Mincho"/>
          <w:lang w:val="en-US"/>
        </w:rPr>
        <w:t>1</w:t>
      </w:r>
      <w:r w:rsidR="00E41AAA" w:rsidRPr="00B35D34">
        <w:rPr>
          <w:rFonts w:eastAsia="MS Mincho"/>
          <w:lang w:val="en-US"/>
        </w:rPr>
        <w:t>–</w:t>
      </w:r>
      <w:r w:rsidRPr="00B35D34">
        <w:rPr>
          <w:rFonts w:eastAsia="MS Mincho"/>
          <w:lang w:val="en-US"/>
        </w:rPr>
        <w:t>2</w:t>
      </w:r>
      <w:r w:rsidR="00015C21" w:rsidRPr="00B35D34">
        <w:rPr>
          <w:rFonts w:eastAsia="MS Mincho"/>
          <w:lang w:val="en-US"/>
        </w:rPr>
        <w:t>2</w:t>
      </w:r>
      <w:r w:rsidR="002C5965" w:rsidRPr="00B35D34">
        <w:rPr>
          <w:rFonts w:eastAsia="MS Mincho"/>
          <w:lang w:val="en-US"/>
        </w:rPr>
        <w:t xml:space="preserve"> to 2025–26</w:t>
      </w:r>
      <w:r w:rsidRPr="00B35D34">
        <w:rPr>
          <w:rFonts w:eastAsia="MS Mincho"/>
          <w:lang w:val="en-US"/>
        </w:rPr>
        <w:t>.</w:t>
      </w:r>
    </w:p>
    <w:sectPr w:rsidR="0095032C" w:rsidSect="007D2FE6">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8E03A" w14:textId="77777777" w:rsidR="00E40DD7" w:rsidRDefault="00E40DD7" w:rsidP="00F77677">
      <w:pPr>
        <w:spacing w:before="0" w:line="240" w:lineRule="auto"/>
      </w:pPr>
      <w:r>
        <w:separator/>
      </w:r>
    </w:p>
  </w:endnote>
  <w:endnote w:type="continuationSeparator" w:id="0">
    <w:p w14:paraId="463C41FE" w14:textId="77777777" w:rsidR="00E40DD7" w:rsidRDefault="00E40DD7"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68A96" w14:textId="77777777" w:rsidR="00BC3FFB" w:rsidRPr="00630E2E" w:rsidRDefault="00630E2E" w:rsidP="00630E2E">
    <w:pPr>
      <w:pStyle w:val="Footer"/>
    </w:pPr>
    <w:r w:rsidRPr="00630E2E">
      <w:rPr>
        <w:color w:val="153A6E"/>
      </w:rPr>
      <w:t>Guaranteeing Medicare and Access to Medicines – Improving Access to Medical Equipment, Treatment and Diagnostics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BF97B" w14:textId="77777777" w:rsidR="00DD6EBA" w:rsidRPr="00630E2E" w:rsidRDefault="00630E2E" w:rsidP="00630E2E">
    <w:pPr>
      <w:pStyle w:val="Footer"/>
    </w:pPr>
    <w:r w:rsidRPr="00630E2E">
      <w:rPr>
        <w:color w:val="153A6E"/>
      </w:rPr>
      <w:t>Guaranteeing Medicare and Access to Medicines – Improving Access to Medical Equipment, Treatment and Diagnostics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779258608"/>
      <w:docPartObj>
        <w:docPartGallery w:val="Page Numbers (Bottom of Page)"/>
        <w:docPartUnique/>
      </w:docPartObj>
    </w:sdtPr>
    <w:sdtEndPr>
      <w:rPr>
        <w:noProof/>
      </w:rPr>
    </w:sdtEndPr>
    <w:sdtContent>
      <w:p w14:paraId="7676CB0D" w14:textId="77777777" w:rsidR="00BC3FFB" w:rsidRPr="00BC3FFB" w:rsidRDefault="00B32345" w:rsidP="00BC3FFB">
        <w:pPr>
          <w:tabs>
            <w:tab w:val="left" w:pos="0"/>
            <w:tab w:val="right" w:pos="8222"/>
          </w:tabs>
          <w:rPr>
            <w:color w:val="153A6E"/>
          </w:rPr>
        </w:pPr>
        <w:r w:rsidRPr="00B32345">
          <w:rPr>
            <w:color w:val="153A6E"/>
          </w:rPr>
          <w:t>Guaranteeing Medicare</w:t>
        </w:r>
        <w:r w:rsidR="00DC2C76">
          <w:rPr>
            <w:color w:val="153A6E"/>
          </w:rPr>
          <w:t xml:space="preserve"> and </w:t>
        </w:r>
        <w:r w:rsidR="00630E2E">
          <w:rPr>
            <w:color w:val="153A6E"/>
          </w:rPr>
          <w:t>A</w:t>
        </w:r>
        <w:r w:rsidR="00DC2C76">
          <w:rPr>
            <w:color w:val="153A6E"/>
          </w:rPr>
          <w:t xml:space="preserve">ccess to </w:t>
        </w:r>
        <w:r w:rsidR="00630E2E">
          <w:rPr>
            <w:color w:val="153A6E"/>
          </w:rPr>
          <w:t>M</w:t>
        </w:r>
        <w:r w:rsidR="00DC2C76">
          <w:rPr>
            <w:color w:val="153A6E"/>
          </w:rPr>
          <w:t>edicines</w:t>
        </w:r>
        <w:r w:rsidRPr="00B32345">
          <w:rPr>
            <w:color w:val="153A6E"/>
          </w:rPr>
          <w:t xml:space="preserve"> – </w:t>
        </w:r>
        <w:r w:rsidR="006137C3" w:rsidRPr="006137C3">
          <w:rPr>
            <w:color w:val="153A6E"/>
          </w:rPr>
          <w:t>Improving Access to Medical Equipment, Treatment and Diagnostics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D2FE7" w14:textId="77777777" w:rsidR="00E40DD7" w:rsidRDefault="00E40DD7" w:rsidP="00F77677">
      <w:pPr>
        <w:spacing w:before="0" w:line="240" w:lineRule="auto"/>
      </w:pPr>
      <w:r>
        <w:separator/>
      </w:r>
    </w:p>
  </w:footnote>
  <w:footnote w:type="continuationSeparator" w:id="0">
    <w:p w14:paraId="26170847" w14:textId="77777777" w:rsidR="00E40DD7" w:rsidRDefault="00E40DD7"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4566E"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373203F8" wp14:editId="14CF1E88">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BB5DF6F"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203F8"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14:paraId="7BB5DF6F"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68D30E49" wp14:editId="03D80048">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72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4BE99"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nnagIAAMoEAAAOAAAAZHJzL2Uyb0RvYy54bWysVN9P2zAQfp+0/8Hyw95G0q7A6EhRBWOa&#10;VAEaTDxfHTuJZPuM7TaFv35nJwXG9jTtxbnzne/Hd9/l9GxnNNtKHzq0FZ8clJxJK7DubFPxn3eX&#10;Hz9zFiLYGjRaWfFHGfjZ4v27097N5RRb1LX0jILYMO9dxdsY3bwogmilgXCATloyKvQGIqm+KWoP&#10;PUU3upiW5VHRo6+dRyFDoNuLwcgXOb5SUsRrpYKMTFecaov59Plcp7NYnMK88eDaToxlwD9UYaCz&#10;lPQ51AVEYBvf/RHKdMJjQBUPBJoCleqEzD1QN5PyTTe3LTiZeyFwgnuGKfy/sOJqe+NZV9PsDjmz&#10;YGhGPwg1sI2WLN3VMggC7MPDBuMXNnwSbL0Lc3p96278qAUSEwY75U36Undsl6F+fIZa7iITdPnp&#10;5KgsaSCCTJNympQ8jOLlufMhfpNoWBIq7qmqDDFsVyFSSnLdu6RsAXVXX3ZaZ8U363Pt2RbS3Mvj&#10;6fHXVDM9+c1NW9ZXfHo4y6UA8U9piFSVcYRIsA1noBsitog+57aYMlCkIfcFhHbIkcOOKbRNdpnZ&#10;N5aawBrgSdIa60dC3eNAx+DEZUc9riDEG/DEPwKGdipe06E0Uok4Spy16J/+dp/8iRZk5awnPlP5&#10;DxvwkjP93RJhTiazWVqArMwOj6ek+NeW9WuL3ZhzJOgmtL1OZDH5R70XlUdzT6u3TFnJBFZQ7gGo&#10;UTmPw57R8gq5XGY3Ir2DuLK3TqTgexzvdvfg3TjoSBy5wj33Yf5m3oNvemlxuYmoukyGF1xpzEmh&#10;hckDH5c7beRrPXu9/IIWvwAAAP//AwBQSwMEFAAGAAgAAAAhABf3YjPgAAAACwEAAA8AAABkcnMv&#10;ZG93bnJldi54bWxMj0FLxDAQhe+C/yGM4EXctFu3am26iOBBBMVVYY9pOrbFJimZdFv/vbMnvc3j&#10;Pd58r9wudhAHDNR7pyBdJSDQGd/0rlXw8f54eQOConaNHrxDBT9IsK1OT0pdNH52b3jYxVZwiaNC&#10;K+hiHAspyXRoNa38iI69Lx+sjixDK5ugZy63g1wnSS6t7h1/6PSIDx2a791kFZhn2me0r032Mofp&#10;U2bm4vWJlDo/W+7vQERc4l8YjviMDhUz1X5yDYmBdXJ7teasAp509NNNnoOo+crTzTXIqpT/N1S/&#10;AAAA//8DAFBLAQItABQABgAIAAAAIQC2gziS/gAAAOEBAAATAAAAAAAAAAAAAAAAAAAAAABbQ29u&#10;dGVudF9UeXBlc10ueG1sUEsBAi0AFAAGAAgAAAAhADj9If/WAAAAlAEAAAsAAAAAAAAAAAAAAAAA&#10;LwEAAF9yZWxzLy5yZWxzUEsBAi0AFAAGAAgAAAAhAMccCedqAgAAygQAAA4AAAAAAAAAAAAAAAAA&#10;LgIAAGRycy9lMm9Eb2MueG1sUEsBAi0AFAAGAAgAAAAhABf3YjPgAAAACwEAAA8AAAAAAAAAAAAA&#10;AAAAxAQAAGRycy9kb3ducmV2LnhtbFBLBQYAAAAABAAEAPMAAADRBQAAAAA=&#10;" fillcolor="#00727e"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108F8401" wp14:editId="6CC7D687">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00727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9EE1B"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3fbAIAAMoEAAAOAAAAZHJzL2Uyb0RvYy54bWysVEtv2zAMvg/YfxB02G21k6VNl9UpgnYd&#10;BgRtsXbomZEl24BepZQ47a8fJbuPdTsNu8ikSPHx8aNPTvdGs53E0Dlb8clByZm0wtWdbSr+8/bi&#10;4zFnIYKtQTsrK/4gAz9dvn930vuFnLrW6VoioyA2LHpf8TZGvyiKIFppIBw4Ly0ZlUMDkVRsihqh&#10;p+hGF9OyPCp6h7VHJ2QIdHs+GPkyx1dKinilVJCR6YpTbTGfmM9NOovlCSwaBN92YiwD/qEKA52l&#10;pM+hziEC22L3RyjTCXTBqXggnCmcUp2QuQfqZlK+6eamBS9zLwRO8M8whf8XVlzurpF1Nc1uxpkF&#10;QzP6QaiBbbRk6a6WQRBgH+63Ln5hwyfB1vuwoNc3/hpHLZCYMNgrNOlL3bF9hvrhGWq5j0zQ5Xwy&#10;PS5Lmogg26ScHpGSp1G8vPcY4jfpDEtCxZHKyhjDbh0i5STXJ5eUzrqLTus8UG1ZX/GjT4cpARCt&#10;lIZIovHUaLANZ6Ab4quImCMGp7s6vU5xAjabM41sB4kz5Xw6/5r6pWy/uaXU5xDawS+bRjdtUxiZ&#10;2TdWmsAa4EnSxtUPhDq6gY7Bi4uOoq0hxGtA4h+VTTsVr+hQ2lErbpQ4ax0+/u0++RMtyMpZT3ym&#10;Pu+3gJIz/d0SYT5PZrO0AFmZHc6npOBry+a1xW7NmaP2J7S9XmQx+Uf9JCp05o5Wb5WykgmsoNwD&#10;oqNyFoc9o+UVcrXKbkR6D3Ftb7xIwRNOCcfb/R2gH+cciSOX7on7sHgz7sF3GPhqG53qMhdecKVR&#10;JYUWJg9tXO60ka/17PXyC1r+AgAA//8DAFBLAwQUAAYACAAAACEAe+TF/+AAAAALAQAADwAAAGRy&#10;cy9kb3ducmV2LnhtbEyP0UrDQBBF3wX/YRnBF2k31TS2MZtSRYWiFKx+wCQ7JsHsbMhu0vj3bkHQ&#10;p5nhXu6cm20m04qRetdYVrCYRyCIS6sbrhR8vD/NViCcR9bYWiYF3+Rgk5+fZZhqe+Q3Gg++EiGE&#10;XYoKau+7VEpX1mTQzW1HHLRP2xv04ewrqXs8hnDTyusoSqTBhsOHGjt6qKn8OgxGwXi17Ufc3Q+7&#10;5vllvY9fi3j1WCh1eTFt70B4mvyfGU74AR3ywFTYgbUTrYKbOFTxv/OkL5bJEkQRtiRe34LMM/m/&#10;Q/4DAAD//wMAUEsBAi0AFAAGAAgAAAAhALaDOJL+AAAA4QEAABMAAAAAAAAAAAAAAAAAAAAAAFtD&#10;b250ZW50X1R5cGVzXS54bWxQSwECLQAUAAYACAAAACEAOP0h/9YAAACUAQAACwAAAAAAAAAAAAAA&#10;AAAvAQAAX3JlbHMvLnJlbHNQSwECLQAUAAYACAAAACEAZU2t32wCAADKBAAADgAAAAAAAAAAAAAA&#10;AAAuAgAAZHJzL2Uyb0RvYy54bWxQSwECLQAUAAYACAAAACEAe+TF/+AAAAALAQAADwAAAAAAAAAA&#10;AAAAAADGBAAAZHJzL2Rvd25yZXYueG1sUEsFBgAAAAAEAAQA8wAAANMFAAAAAA==&#10;" filled="f" strokecolor="#00727e"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4176D"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497DF3C6" wp14:editId="7FFDE125">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3A4FAB0"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DF3C6"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14:paraId="23A4FAB0"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49B35010" wp14:editId="7F1346F5">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D3DC0"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sFoQIAAJwFAAAOAAAAZHJzL2Uyb0RvYy54bWysVE1v2zAMvQ/YfxB02G21k/VjzeoUQbsO&#10;A4K2aDv0rMhSbEAWVUqJk/76UbLjZm2xw7CLLYrkI/lE8ux80xi2VuhrsAUfHeScKSuhrO2y4L8e&#10;rj5/5cwHYUthwKqCb5Xn59OPH85aN1FjqMCUChmBWD9pXcGrENwky7ysVCP8AThlSakBGxFIxGVW&#10;omgJvTHZOM+PsxawdAhSeU+3l52STxO+1kqGG629CswUnHIL6Yvpu4jfbHomJksUrqpln4b4hywa&#10;UVsKOkBdiiDYCus3UE0tETzocCChyUDrWqpUA1Uzyl9Vc18Jp1ItRI53A03+/8HK6/Utsros+BFn&#10;VjT0RHdEmrBLoxhdlcpLouvT0wrCN9b9Immt8xPyvXe32EuejpGBjcYm/qk2tklEbwei1SYwSZdf&#10;To/znJ5DkmqUj6OQniJ7cXfoww8FDYuHgiMllQgW67kPFJJMdyYxmgdTl1e1MUnA5eLCIFuL+Or5&#10;yfjke8yZXP4wMzYaW4hunTreZLG0rph0Clujop2xd0oTU5T+OGWSelQNcYSUyoZRp6pEqbrwR3u1&#10;DR4plwQYkTXFH7B7gNj/b7G7LHv76KpSiw/O+d8S65wHjxQZbBicm9oCvgdgqKo+cme/I6mjJrK0&#10;gHJLfYTQDZh38qqmd5sLH24F0kTRY9OWCDf00QbagkN/4qwCfH7vPtpTo5OWs5YmtOD+aSVQcWZ+&#10;WhqB09HhYRzpJBwenYxJwH3NYl9jV80FUDuMaB85mY7RPpjdUSM0j7RMZjEqqYSVFLvgMuBOuAjd&#10;5qB1JNVslsxojJ0Ic3vvZASPrMa+fNg8CnR98wbq+2vYTbOYvOrhzjZ6WpitAug6NfgLrz3ftAJS&#10;4/TrKu6YfTlZvSzV6W8AAAD//wMAUEsDBBQABgAIAAAAIQB/BvPz4AAAAAsBAAAPAAAAZHJzL2Rv&#10;d25yZXYueG1sTI9BS8QwEIXvgv8hjOBF3LTW7WptuojgQQTFVWGPaRrbYjMpmXRb/72zJ73N4z3e&#10;fK/cLm4QBxuo96ggXSUgLBrf9Ngq+Hh/vLwBQVFjowePVsGPJdhWpyelLho/45s97GIruASp0Aq6&#10;GMdCSjKddZpWfrTI3pcPTkeWoZVN0DOXu0FeJUkune6RP3R6tA+dNd+7ySkwz7TPaF+b7GUO06fM&#10;zMXrEyl1frbc34GIdol/YTjiMzpUzFT7CRsSA+vk9jrjrAKedPTTdb4BUfOVp+sNyKqU/zdUvwAA&#10;AP//AwBQSwECLQAUAAYACAAAACEAtoM4kv4AAADhAQAAEwAAAAAAAAAAAAAAAAAAAAAAW0NvbnRl&#10;bnRfVHlwZXNdLnhtbFBLAQItABQABgAIAAAAIQA4/SH/1gAAAJQBAAALAAAAAAAAAAAAAAAAAC8B&#10;AABfcmVscy8ucmVsc1BLAQItABQABgAIAAAAIQAlKGsFoQIAAJwFAAAOAAAAAAAAAAAAAAAAAC4C&#10;AABkcnMvZTJvRG9jLnhtbFBLAQItABQABgAIAAAAIQB/BvPz4AAAAAsBAAAPAAAAAAAAAAAAAAAA&#10;APsEAABkcnMvZG93bnJldi54bWxQSwUGAAAAAAQABADzAAAACAYAAAAA&#10;" fillcolor="#00727e"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21961A58" wp14:editId="167D66D5">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727E"/>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39B76"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klrQIAALQFAAAOAAAAZHJzL2Uyb0RvYy54bWysVEtPGzEQvlfqf7B86K3sg0doygZFUKpK&#10;CBBQcXa8dnYl22NsJ5v013fs3Wwiinqoetn1eJ7f55m5uNxoRdbC+RZMRYujnBJhONStWVb05/PN&#10;53NKfGCmZgqMqOhWeHo5+/jhorNTUUIDqhaOYBDjp52taBOCnWaZ543QzB+BFQaVEpxmAUW3zGrH&#10;OoyuVVbm+VnWgautAy68x9vrXklnKb6Ugod7Kb0IRFUUawvp69J3Eb/Z7IJNl47ZpuVDGewfqtCs&#10;NZh0DHXNAiMr1/4RSrfcgQcZjjjoDKRsuUgYEE2Rv0Hz1DArEhYkx9uRJv//wvK79YMjbV3RY0oM&#10;0/hEj0gaM0slCF7VwnOk69PrCsJX0v8iaZ31U/R9sg9ukDweIwMb6XT8IzaySURvR6LFJhCOl5Oi&#10;PM9zfA+OuiIvz1BIb5Ht/a3z4bsATeKhog6rSgyz9a0PmBNNdyYxnYGbVqn0nMqQrqJnx6d5cvCg&#10;2joqo5l3y8WVcmTNYkPkk3LyLcLBYAdmKCkTrUXqoCFfhNyDTKewVSLaKPMoJDKIsMo+X+xdMSZh&#10;nAsTil7VsFr0uU8PIKdujx6pkBQwRpZY8xh7CPB+7B7BYL8vfHQeiPibcw8VPVJmMGF01q0B9x4y&#10;haiGzL09ln9ATTwuoN5ifznoB89bftPic94yHx6Yw0nDHsDtEe7xIxXgs8FwoqQB9+u9+2iPA4Ba&#10;Sjqc3Ir61xVzghL1w+BofClOTuKoJ+HkdFKi4A41i0ONWekrwF4ocE9Zno7RPqjdUTrQL7hk5jEr&#10;qpjhmLuiPLidcBX6jYJriov5PJnheFsWbs2T5TF4ZDW26/PmhTk79HTAebiD3ZSz6ZvW7m2jp4H5&#10;KoBsU9/veR34xtWQGmdYY3H3HMrJar9sZ78BAAD//wMAUEsDBBQABgAIAAAAIQBXYmtP4gAAAAsB&#10;AAAPAAAAZHJzL2Rvd25yZXYueG1sTI/RSsNAEEXfBf9hGcEXsZvWNKQxm1JFhaIIVj9gkh2TYHY2&#10;ZDdp/Hu3T/ZpZriXO+fm29l0YqLBtZYVLBcRCOLK6pZrBV+fz7cpCOeRNXaWScEvOdgWlxc5Ztoe&#10;+YOmg69FCGGXoYLG+z6T0lUNGXQL2xMH7dsOBn04h1rqAY8h3HRyFUWJNNhy+NBgT48NVT+H0SiY&#10;bnbDhPuHcd++vG7e47cyTp9Kpa6v5t09CE+z/zfDCT+gQxGYSjuydqJTcBeHKj7M1QbESV+ukzWI&#10;MmxJnCYgi1yedyj+AAAA//8DAFBLAQItABQABgAIAAAAIQC2gziS/gAAAOEBAAATAAAAAAAAAAAA&#10;AAAAAAAAAABbQ29udGVudF9UeXBlc10ueG1sUEsBAi0AFAAGAAgAAAAhADj9If/WAAAAlAEAAAsA&#10;AAAAAAAAAAAAAAAALwEAAF9yZWxzLy5yZWxzUEsBAi0AFAAGAAgAAAAhAKw9ySWtAgAAtAUAAA4A&#10;AAAAAAAAAAAAAAAALgIAAGRycy9lMm9Eb2MueG1sUEsBAi0AFAAGAAgAAAAhAFdia0/iAAAACwEA&#10;AA8AAAAAAAAAAAAAAAAABwUAAGRycy9kb3ducmV2LnhtbFBLBQYAAAAABAAEAPMAAAAWBgAAAAA=&#10;" filled="f" strokecolor="#00727e"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C9EFC" w14:textId="77777777" w:rsidR="00BC78C8" w:rsidRDefault="004F79BE">
    <w:pPr>
      <w:pStyle w:val="Header"/>
    </w:pPr>
    <w:r w:rsidRPr="00BC78C8">
      <w:rPr>
        <w:noProof/>
      </w:rPr>
      <w:drawing>
        <wp:anchor distT="0" distB="0" distL="114300" distR="114300" simplePos="0" relativeHeight="251654140" behindDoc="0" locked="0" layoutInCell="1" allowOverlap="1" wp14:anchorId="63DEAA15" wp14:editId="126C0990">
          <wp:simplePos x="0" y="0"/>
          <wp:positionH relativeFrom="page">
            <wp:posOffset>723900</wp:posOffset>
          </wp:positionH>
          <wp:positionV relativeFrom="paragraph">
            <wp:posOffset>347980</wp:posOffset>
          </wp:positionV>
          <wp:extent cx="5616000" cy="750020"/>
          <wp:effectExtent l="0" t="0" r="3810" b="0"/>
          <wp:wrapSquare wrapText="bothSides"/>
          <wp:docPr id="20" name="Picture 20" descr="Australian Government Department of Health Coat of Arms and Budget 2022-23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737FA5DE" wp14:editId="030B1C61">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Guaranteeing Medicare and Access to Medicines"/>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A1DDFF" w14:textId="77777777" w:rsidR="00BC78C8" w:rsidRPr="003667E5" w:rsidRDefault="00145F5D" w:rsidP="00145F5D">
                          <w:pPr>
                            <w:spacing w:before="0" w:line="160" w:lineRule="exact"/>
                            <w:jc w:val="right"/>
                            <w:rPr>
                              <w:color w:val="FFFFFF" w:themeColor="background1"/>
                              <w:sz w:val="32"/>
                              <w:szCs w:val="32"/>
                            </w:rPr>
                          </w:pPr>
                          <w:r>
                            <w:rPr>
                              <w:color w:val="FFFFFF" w:themeColor="background1"/>
                              <w:sz w:val="32"/>
                              <w:szCs w:val="32"/>
                            </w:rPr>
                            <w:t>GUARANTEEING MEDICARE AND ACCESS TO MEDICINES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FA5DE" id="_x0000_t202" coordsize="21600,21600" o:spt="202" path="m,l,21600r21600,l21600,xe">
              <v:stroke joinstyle="miter"/>
              <v:path gradientshapeok="t" o:connecttype="rect"/>
            </v:shapetype>
            <v:shape id="Text Box 19" o:spid="_x0000_s1028" type="#_x0000_t202" alt="Banner of category Guaranteeing Medicare and Access to Medicines"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3tlQIAAAMFAAAOAAAAZHJzL2Uyb0RvYy54bWysVFtP2zAYfZ+0/2D5veRCKTQiRaGoaBID&#10;JNh4dh2njZTYnu2SdGj/fcdOwxjb07Q8ON8t3+Ucfzm/6NuGPAtjayVzmhzFlAjJVVnLTU6/PK4m&#10;Z5RYx2TJGiVFTvfC0ovFxw/nnc5EqraqKYUhSCJt1umcbp3TWRRZvhUts0dKCwlnpUzLHFSziUrD&#10;OmRvmyiN41nUKVNqo7iwFtarwUkXIX9VCe7uqsoKR5qcojcXThPOtT+jxTnLNobpbc0PbbB/6KJl&#10;tUTR11RXzDGyM/UfqdqaG2VV5Y64aiNVVTUXYQZMk8TvpnnYMi3CLADH6leY7P9Ly2+f7w2pS3A3&#10;p0SyFhw9it6RS9UTbyqF5cDrkkkJolRFOHNio8yeXO+YYdIJAdzJZ1HWnBlBQDUpuKeDODWYawnS&#10;AXSnbYZ6DxoVXY8CKDraLYwev74yLTEKPCXxWeyfACuAIggHg/tX1nyXHMbj2XGawsPhOk3m89lx&#10;oDUakvmk2lh3LVRLvJBTg1sRsrLnG+vQGELHEB8u1apumnAzGvmbAYGDRYSrNXzNMnQC0Uf6ngLt&#10;L8uT07Q4PZlPZsVJMplimklRxOnkalXERTxdLefTyx9+euQcv488QgMSXnL9ug/UpCNKa1XuAV7A&#10;BxNbzVc1Rrph1t2DjAAQltHd4aga1eVUHSRKtsp8/5vdx+dUsK94U9JhFXJqv4FbQUnzSeKuzZPp&#10;1O9OUKaYC4p561m/9chdu1TYtiT0F0Qf75pRrIxqn7C1ha8LF5McveUU1Qdx6YYFxdZzURQhCNui&#10;mbuRD5r71COrj/0TM/rAqwOOt2pcGpa9o3eIHfgsdk5VdeDeIz3gCi68gk0LrBz+Cn6V3+oh6te/&#10;a/ETAAD//wMAUEsDBBQABgAIAAAAIQC02BiZ4wAAAA0BAAAPAAAAZHJzL2Rvd25yZXYueG1sTI/B&#10;TsMwEETvSPyDtUjcqE2gkKRxqgipAiGESlqpVzc2cYS9DrHThr/HOcFtd2c0+6ZYT9aQkxp855DD&#10;7YIBUdg42WHLYb/b3KRAfBAohXGoOPwoD+vy8qIQuXRn/FCnOrQkhqDPBQcdQp9T6hutrPAL1yuM&#10;2qcbrAhxHVoqB3GO4dbQhLEHakWH8YMWvXrSqvmqR8th+3741lWyGZ9N8vrGXpqq3h22nF9fTdUK&#10;SFBT+DPDjB/RoYxMRzei9MRwyNLkMVqjkNzHYXawuywDcpxPy3QJtCzo/xblLwAAAP//AwBQSwEC&#10;LQAUAAYACAAAACEAtoM4kv4AAADhAQAAEwAAAAAAAAAAAAAAAAAAAAAAW0NvbnRlbnRfVHlwZXNd&#10;LnhtbFBLAQItABQABgAIAAAAIQA4/SH/1gAAAJQBAAALAAAAAAAAAAAAAAAAAC8BAABfcmVscy8u&#10;cmVsc1BLAQItABQABgAIAAAAIQBPP93tlQIAAAMFAAAOAAAAAAAAAAAAAAAAAC4CAABkcnMvZTJv&#10;RG9jLnhtbFBLAQItABQABgAIAAAAIQC02BiZ4wAAAA0BAAAPAAAAAAAAAAAAAAAAAO8EAABkcnMv&#10;ZG93bnJldi54bWxQSwUGAAAAAAQABADzAAAA/wUAAAAA&#10;" filled="f" stroked="f">
              <v:textbox style="layout-flow:vertical-ideographic">
                <w:txbxContent>
                  <w:p w14:paraId="17A1DDFF" w14:textId="77777777" w:rsidR="00BC78C8" w:rsidRPr="003667E5" w:rsidRDefault="00145F5D" w:rsidP="00145F5D">
                    <w:pPr>
                      <w:spacing w:before="0" w:line="160" w:lineRule="exact"/>
                      <w:jc w:val="right"/>
                      <w:rPr>
                        <w:color w:val="FFFFFF" w:themeColor="background1"/>
                        <w:sz w:val="32"/>
                        <w:szCs w:val="32"/>
                      </w:rPr>
                    </w:pPr>
                    <w:r>
                      <w:rPr>
                        <w:color w:val="FFFFFF" w:themeColor="background1"/>
                        <w:sz w:val="32"/>
                        <w:szCs w:val="32"/>
                      </w:rPr>
                      <w:t>GUARANTEEING MEDICARE AND ACCESS TO MEDICINES</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5C4C69E9" wp14:editId="7A880415">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16A3B"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zknwIAAJ4FAAAOAAAAZHJzL2Uyb0RvYy54bWysVEtPGzEQvlfqf7B86K3sJuVRUjYoglJV&#10;igABFWfHa2dX8nqM7WQTfn1nvJslBdRD1Yvt8by/eZydbxrD1sqHGmzBRwc5Z8pKKGu7LPivh6vP&#10;XzkLUdhSGLCq4FsV+Pn044ez1k3UGCowpfIMjdgwaV3BqxjdJMuCrFQjwgE4ZZGpwTciIumXWelF&#10;i9Ybk43z/DhrwZfOg1Qh4O9lx+TTZF9rJeON1kFFZgqOscV0+nQu6MymZ2Ky9MJVtezDEP8QRSNq&#10;i04HU5ciCrby9RtTTS09BNDxQEKTgda1VCkHzGaUv8rmvhJOpVwQnOAGmML/Myuv17ee1SXWDitl&#10;RYM1ukPUhF0axeivVEEiYJ+eVhC/se4i2FoXJqh97259TwV8EgYb7Ru6MTu2SVBvB6jVJjKJn19O&#10;j/McCyKRNcrHRKRiZC/qzof4Q0HD6FFwj1EliMV6HiK6RNGdCHkLYOryqjYmEX65uDCerQXVPT8Z&#10;n3ynmFHlDzFjSdgCqXVs+skotS6Z9Ipbo0jO2DulESsMf5wiSV2qBj9CSmXjqGNVolSd+6O93AaN&#10;FEsySJY1+h9s9wZoAt7a7qLs5UlVpSYflPO/BdYpDxrJM9g4KDe1Bf+eAYNZ9Z47+R1IHTSE0gLK&#10;LXaSh27EgpNXNdZtLkK8FR5nCouNeyLe4KENtAWH/sVZBf75vX+Sx1ZHLmctzmjBw9NKeMWZ+Wlx&#10;CE5Hh4c01Ik4PDoZI+H3OYt9jl01F4DtMMKN5GR6knw0u6f20DziOpmRV2QJK9F3wWX0O+IidrsD&#10;F5JUs1kSw0F2Is7tvZNknFClvnzYPArv+uaN2PfXsJtnMXnVw50saVqYrSLoOjX4C6493rgEUuP0&#10;C4u2zD6dpF7W6vQ3AAAA//8DAFBLAwQUAAYACAAAACEAKAAd0+IAAAANAQAADwAAAGRycy9kb3du&#10;cmV2LnhtbEyPQUvDQBCF74L/YRnBi9hNE1ttzKaI4EGEilWhx81mTILZ2bC7aeK/d3rS23vM4833&#10;iu1se3FEHzpHCpaLBASScXVHjYKP96frOxAhaqp17wgV/GCAbXl+Vui8dhO94XEfG8ElFHKtoI1x&#10;yKUMpkWrw8INSHz7ct7qyNY3svZ64nLbyzRJ1tLqjvhDqwd8bNF870erwLyEQxYOlcl2kx8/ZWau&#10;Xp+DUpcX88M9iIhz/AvDCZ/RoWSmyo1UB9GzTzYps0cFWZqCOCWWqxWritX65nYDsizk/xXlLwAA&#10;AP//AwBQSwECLQAUAAYACAAAACEAtoM4kv4AAADhAQAAEwAAAAAAAAAAAAAAAAAAAAAAW0NvbnRl&#10;bnRfVHlwZXNdLnhtbFBLAQItABQABgAIAAAAIQA4/SH/1gAAAJQBAAALAAAAAAAAAAAAAAAAAC8B&#10;AABfcmVscy8ucmVsc1BLAQItABQABgAIAAAAIQDMFszknwIAAJ4FAAAOAAAAAAAAAAAAAAAAAC4C&#10;AABkcnMvZTJvRG9jLnhtbFBLAQItABQABgAIAAAAIQAoAB3T4gAAAA0BAAAPAAAAAAAAAAAAAAAA&#10;APkEAABkcnMvZG93bnJldi54bWxQSwUGAAAAAAQABADzAAAACAYAAAAA&#10;" fillcolor="#00727e"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4F1194CF" wp14:editId="7086BAB7">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727E"/>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D19A7"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KrAIAALYFAAAOAAAAZHJzL2Uyb0RvYy54bWysVEtPGzEQvlfqf7B86K3so0BoygZFUKpK&#10;CBBQcXa8dtaS12NsJ5vw6zv2bjYRRT1UvezOeN7fPM4vNq0ma+G8AlPR4iinRBgOtTLLiv56uv58&#10;RokPzNRMgxEV3QpPL2YfP5x3dipKaEDXwhF0Yvy0sxVtQrDTLPO8ES3zR2CFQaEE17KArFtmtWMd&#10;em91Vub5adaBq60DLrzH16teSGfJv5SChzspvQhEVxRzC+nr0ncRv9nsnE2XjtlG8SEN9g9ZtEwZ&#10;DDq6umKBkZVTf7hqFXfgQYYjDm0GUiouUg1YTZG/qeaxYVakWhAcb0eY/P9zy2/X946oGns3ocSw&#10;Fnv0gKgxs9SCxLdaeI6AfXpZQfhG+l+ErbN+itaP9t4NnEcyYrCRro1/rI5sEtTbEWqxCYTj46Qo&#10;z/IcO8JRVuTlKTKpG9ne3joffghoSSQq6jCthDFb3/iAMVF1pxLDGbhWWqeGakO6ip5+OcmTgQet&#10;6iiMat4tF5fakTWLI5FPysn3WA46O1BDTpuoLdIMDfFiyX2RiQpbLaKONg9CIoZYVtnHi9MrxiCM&#10;c2FC0YsaVos+9slByWneo0VKJDmMniXmPPoeHLzvu69g0N8nPhoPQPzNuC8VLVJkMGE0bpUB915l&#10;GqsaIvf6mP4BNJFcQL3FCXPQr563/FphO2+YD/fM4a7hDOD9CHf4kRqwbTBQlDTgXt97j/q4Aiil&#10;pMPdrah/WTEnKNE/DS7H1+L4OC57Yo5PJiUy7lCyOJSYVXsJOAsFXirLExn1g96R0kH7jGdmHqOi&#10;iBmOsSvKg9sxl6G/KXiouJjPkxouuGXhxjxaHp1HVOO4Pm2embPDTAfch1vY7TmbvhntXjdaGpiv&#10;AkiV5n6P64A3Hoc0OMMhi9fnkE9a+3M7+w0AAP//AwBQSwMEFAAGAAgAAAAhAOV9KKDfAAAABwEA&#10;AA8AAABkcnMvZG93bnJldi54bWxMj9FKw0AQRd8F/2EZwRdpNwltrTGbUkWFogitfsAkOybB7GzI&#10;btL49259qS/DHe5w75lsM5lWjNS7xrKCeB6BIC6tbrhS8PnxPFuDcB5ZY2uZFPyQg01+eZFhqu2R&#10;9zQefCVCCLsUFdTed6mUrqzJoJvbjjh4X7Y36MPaV1L3eAzhppVJFK2kwYZDQ40dPdZUfh8Go2C8&#10;2fYj7h6GXfPyeve+eCsW66dCqeuraXsPwtPkz8dwwg/okAemwg6snWgVhEf83zx5cZIsQRRBreLl&#10;Lcg8k//5818AAAD//wMAUEsBAi0AFAAGAAgAAAAhALaDOJL+AAAA4QEAABMAAAAAAAAAAAAAAAAA&#10;AAAAAFtDb250ZW50X1R5cGVzXS54bWxQSwECLQAUAAYACAAAACEAOP0h/9YAAACUAQAACwAAAAAA&#10;AAAAAAAAAAAvAQAAX3JlbHMvLnJlbHNQSwECLQAUAAYACAAAACEAm6w/yqwCAAC2BQAADgAAAAAA&#10;AAAAAAAAAAAuAgAAZHJzL2Uyb0RvYy54bWxQSwECLQAUAAYACAAAACEA5X0ooN8AAAAHAQAADwAA&#10;AAAAAAAAAAAAAAAGBQAAZHJzL2Rvd25yZXYueG1sUEsFBgAAAAAEAAQA8wAAABIGAAAAAA==&#10;" filled="f" strokecolor="#00727e"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1F763C90"/>
    <w:multiLevelType w:val="hybridMultilevel"/>
    <w:tmpl w:val="F968C3B4"/>
    <w:lvl w:ilvl="0" w:tplc="CB74C310">
      <w:start w:val="1"/>
      <w:numFmt w:val="bullet"/>
      <w:lvlText w:val=""/>
      <w:lvlJc w:val="left"/>
      <w:pPr>
        <w:ind w:left="360" w:hanging="360"/>
      </w:pPr>
      <w:rPr>
        <w:rFonts w:ascii="Symbol" w:hAnsi="Symbol" w:hint="default"/>
      </w:rPr>
    </w:lvl>
    <w:lvl w:ilvl="1" w:tplc="F9E68B5C" w:tentative="1">
      <w:start w:val="1"/>
      <w:numFmt w:val="bullet"/>
      <w:lvlText w:val="o"/>
      <w:lvlJc w:val="left"/>
      <w:pPr>
        <w:ind w:left="1080" w:hanging="360"/>
      </w:pPr>
      <w:rPr>
        <w:rFonts w:ascii="Courier New" w:hAnsi="Courier New" w:cs="Courier New" w:hint="default"/>
      </w:rPr>
    </w:lvl>
    <w:lvl w:ilvl="2" w:tplc="E8CC7E28" w:tentative="1">
      <w:start w:val="1"/>
      <w:numFmt w:val="bullet"/>
      <w:lvlText w:val=""/>
      <w:lvlJc w:val="left"/>
      <w:pPr>
        <w:ind w:left="1800" w:hanging="360"/>
      </w:pPr>
      <w:rPr>
        <w:rFonts w:ascii="Wingdings" w:hAnsi="Wingdings" w:hint="default"/>
      </w:rPr>
    </w:lvl>
    <w:lvl w:ilvl="3" w:tplc="419C9092" w:tentative="1">
      <w:start w:val="1"/>
      <w:numFmt w:val="bullet"/>
      <w:lvlText w:val=""/>
      <w:lvlJc w:val="left"/>
      <w:pPr>
        <w:ind w:left="2520" w:hanging="360"/>
      </w:pPr>
      <w:rPr>
        <w:rFonts w:ascii="Symbol" w:hAnsi="Symbol" w:hint="default"/>
      </w:rPr>
    </w:lvl>
    <w:lvl w:ilvl="4" w:tplc="A8F2EC44" w:tentative="1">
      <w:start w:val="1"/>
      <w:numFmt w:val="bullet"/>
      <w:lvlText w:val="o"/>
      <w:lvlJc w:val="left"/>
      <w:pPr>
        <w:ind w:left="3240" w:hanging="360"/>
      </w:pPr>
      <w:rPr>
        <w:rFonts w:ascii="Courier New" w:hAnsi="Courier New" w:cs="Courier New" w:hint="default"/>
      </w:rPr>
    </w:lvl>
    <w:lvl w:ilvl="5" w:tplc="B5A4E2C6" w:tentative="1">
      <w:start w:val="1"/>
      <w:numFmt w:val="bullet"/>
      <w:lvlText w:val=""/>
      <w:lvlJc w:val="left"/>
      <w:pPr>
        <w:ind w:left="3960" w:hanging="360"/>
      </w:pPr>
      <w:rPr>
        <w:rFonts w:ascii="Wingdings" w:hAnsi="Wingdings" w:hint="default"/>
      </w:rPr>
    </w:lvl>
    <w:lvl w:ilvl="6" w:tplc="4C8AA4F2" w:tentative="1">
      <w:start w:val="1"/>
      <w:numFmt w:val="bullet"/>
      <w:lvlText w:val=""/>
      <w:lvlJc w:val="left"/>
      <w:pPr>
        <w:ind w:left="4680" w:hanging="360"/>
      </w:pPr>
      <w:rPr>
        <w:rFonts w:ascii="Symbol" w:hAnsi="Symbol" w:hint="default"/>
      </w:rPr>
    </w:lvl>
    <w:lvl w:ilvl="7" w:tplc="5D18DB78" w:tentative="1">
      <w:start w:val="1"/>
      <w:numFmt w:val="bullet"/>
      <w:lvlText w:val="o"/>
      <w:lvlJc w:val="left"/>
      <w:pPr>
        <w:ind w:left="5400" w:hanging="360"/>
      </w:pPr>
      <w:rPr>
        <w:rFonts w:ascii="Courier New" w:hAnsi="Courier New" w:cs="Courier New" w:hint="default"/>
      </w:rPr>
    </w:lvl>
    <w:lvl w:ilvl="8" w:tplc="4274BC76" w:tentative="1">
      <w:start w:val="1"/>
      <w:numFmt w:val="bullet"/>
      <w:lvlText w:val=""/>
      <w:lvlJc w:val="left"/>
      <w:pPr>
        <w:ind w:left="6120" w:hanging="360"/>
      </w:pPr>
      <w:rPr>
        <w:rFonts w:ascii="Wingdings" w:hAnsi="Wingdings" w:hint="default"/>
      </w:rPr>
    </w:lvl>
  </w:abstractNum>
  <w:abstractNum w:abstractNumId="4"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00BD0"/>
    <w:multiLevelType w:val="hybridMultilevel"/>
    <w:tmpl w:val="1C08C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F26231"/>
    <w:multiLevelType w:val="hybridMultilevel"/>
    <w:tmpl w:val="C5889A8E"/>
    <w:lvl w:ilvl="0" w:tplc="E4680FB2">
      <w:start w:val="1"/>
      <w:numFmt w:val="bullet"/>
      <w:pStyle w:val="CABBulletList"/>
      <w:lvlText w:val=""/>
      <w:lvlJc w:val="left"/>
      <w:pPr>
        <w:ind w:left="284" w:hanging="284"/>
      </w:pPr>
      <w:rPr>
        <w:rFonts w:ascii="Symbol" w:hAnsi="Symbol" w:hint="default"/>
        <w:color w:val="auto"/>
      </w:rPr>
    </w:lvl>
    <w:lvl w:ilvl="1" w:tplc="67D869F4" w:tentative="1">
      <w:start w:val="1"/>
      <w:numFmt w:val="bullet"/>
      <w:lvlText w:val="o"/>
      <w:lvlJc w:val="left"/>
      <w:pPr>
        <w:ind w:left="1440" w:hanging="360"/>
      </w:pPr>
      <w:rPr>
        <w:rFonts w:ascii="Courier New" w:hAnsi="Courier New" w:hint="default"/>
      </w:rPr>
    </w:lvl>
    <w:lvl w:ilvl="2" w:tplc="268C2824" w:tentative="1">
      <w:start w:val="1"/>
      <w:numFmt w:val="bullet"/>
      <w:lvlText w:val=""/>
      <w:lvlJc w:val="left"/>
      <w:pPr>
        <w:ind w:left="2160" w:hanging="360"/>
      </w:pPr>
      <w:rPr>
        <w:rFonts w:ascii="Wingdings" w:hAnsi="Wingdings" w:hint="default"/>
      </w:rPr>
    </w:lvl>
    <w:lvl w:ilvl="3" w:tplc="3F8A1DD0" w:tentative="1">
      <w:start w:val="1"/>
      <w:numFmt w:val="bullet"/>
      <w:lvlText w:val=""/>
      <w:lvlJc w:val="left"/>
      <w:pPr>
        <w:ind w:left="2880" w:hanging="360"/>
      </w:pPr>
      <w:rPr>
        <w:rFonts w:ascii="Symbol" w:hAnsi="Symbol" w:hint="default"/>
      </w:rPr>
    </w:lvl>
    <w:lvl w:ilvl="4" w:tplc="01DA5068" w:tentative="1">
      <w:start w:val="1"/>
      <w:numFmt w:val="bullet"/>
      <w:lvlText w:val="o"/>
      <w:lvlJc w:val="left"/>
      <w:pPr>
        <w:ind w:left="3600" w:hanging="360"/>
      </w:pPr>
      <w:rPr>
        <w:rFonts w:ascii="Courier New" w:hAnsi="Courier New" w:hint="default"/>
      </w:rPr>
    </w:lvl>
    <w:lvl w:ilvl="5" w:tplc="380A5EDE" w:tentative="1">
      <w:start w:val="1"/>
      <w:numFmt w:val="bullet"/>
      <w:lvlText w:val=""/>
      <w:lvlJc w:val="left"/>
      <w:pPr>
        <w:ind w:left="4320" w:hanging="360"/>
      </w:pPr>
      <w:rPr>
        <w:rFonts w:ascii="Wingdings" w:hAnsi="Wingdings" w:hint="default"/>
      </w:rPr>
    </w:lvl>
    <w:lvl w:ilvl="6" w:tplc="C67AF1EC" w:tentative="1">
      <w:start w:val="1"/>
      <w:numFmt w:val="bullet"/>
      <w:lvlText w:val=""/>
      <w:lvlJc w:val="left"/>
      <w:pPr>
        <w:ind w:left="5040" w:hanging="360"/>
      </w:pPr>
      <w:rPr>
        <w:rFonts w:ascii="Symbol" w:hAnsi="Symbol" w:hint="default"/>
      </w:rPr>
    </w:lvl>
    <w:lvl w:ilvl="7" w:tplc="748450D6" w:tentative="1">
      <w:start w:val="1"/>
      <w:numFmt w:val="bullet"/>
      <w:lvlText w:val="o"/>
      <w:lvlJc w:val="left"/>
      <w:pPr>
        <w:ind w:left="5760" w:hanging="360"/>
      </w:pPr>
      <w:rPr>
        <w:rFonts w:ascii="Courier New" w:hAnsi="Courier New" w:hint="default"/>
      </w:rPr>
    </w:lvl>
    <w:lvl w:ilvl="8" w:tplc="820CA820"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4"/>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9B"/>
    <w:rsid w:val="00003743"/>
    <w:rsid w:val="00015C21"/>
    <w:rsid w:val="00035693"/>
    <w:rsid w:val="00050927"/>
    <w:rsid w:val="00054B0E"/>
    <w:rsid w:val="00060243"/>
    <w:rsid w:val="00067456"/>
    <w:rsid w:val="000A35FD"/>
    <w:rsid w:val="000C3238"/>
    <w:rsid w:val="000D3B7B"/>
    <w:rsid w:val="000E4DAD"/>
    <w:rsid w:val="000E73D7"/>
    <w:rsid w:val="001017DE"/>
    <w:rsid w:val="00105ACA"/>
    <w:rsid w:val="0011785D"/>
    <w:rsid w:val="00144E1B"/>
    <w:rsid w:val="00145F5D"/>
    <w:rsid w:val="00153116"/>
    <w:rsid w:val="00156177"/>
    <w:rsid w:val="00190C20"/>
    <w:rsid w:val="001B3443"/>
    <w:rsid w:val="001B51E4"/>
    <w:rsid w:val="001C5C98"/>
    <w:rsid w:val="001D095A"/>
    <w:rsid w:val="002165C4"/>
    <w:rsid w:val="00217286"/>
    <w:rsid w:val="0022294F"/>
    <w:rsid w:val="002362A1"/>
    <w:rsid w:val="00254684"/>
    <w:rsid w:val="0029279B"/>
    <w:rsid w:val="002A39D2"/>
    <w:rsid w:val="002A4B6F"/>
    <w:rsid w:val="002C5965"/>
    <w:rsid w:val="002D0E19"/>
    <w:rsid w:val="002D3BDB"/>
    <w:rsid w:val="002F3AE3"/>
    <w:rsid w:val="002F501E"/>
    <w:rsid w:val="003040C4"/>
    <w:rsid w:val="0030786C"/>
    <w:rsid w:val="0032762A"/>
    <w:rsid w:val="0034275D"/>
    <w:rsid w:val="00347C58"/>
    <w:rsid w:val="003867F0"/>
    <w:rsid w:val="003D17F9"/>
    <w:rsid w:val="003D5FC7"/>
    <w:rsid w:val="003E4225"/>
    <w:rsid w:val="003F3CB9"/>
    <w:rsid w:val="003F3ECB"/>
    <w:rsid w:val="004042B7"/>
    <w:rsid w:val="00440060"/>
    <w:rsid w:val="004537C5"/>
    <w:rsid w:val="00470DE7"/>
    <w:rsid w:val="004867E2"/>
    <w:rsid w:val="004A2921"/>
    <w:rsid w:val="004A59F7"/>
    <w:rsid w:val="004B02BE"/>
    <w:rsid w:val="004B0C2D"/>
    <w:rsid w:val="004D04B6"/>
    <w:rsid w:val="004F79BE"/>
    <w:rsid w:val="00511510"/>
    <w:rsid w:val="00514317"/>
    <w:rsid w:val="00524B2A"/>
    <w:rsid w:val="00531FEF"/>
    <w:rsid w:val="00545812"/>
    <w:rsid w:val="00560073"/>
    <w:rsid w:val="00570063"/>
    <w:rsid w:val="00575E7F"/>
    <w:rsid w:val="00584253"/>
    <w:rsid w:val="00591CAB"/>
    <w:rsid w:val="005A0E41"/>
    <w:rsid w:val="005A28CF"/>
    <w:rsid w:val="005C55F1"/>
    <w:rsid w:val="005C7016"/>
    <w:rsid w:val="005E6950"/>
    <w:rsid w:val="0060074A"/>
    <w:rsid w:val="00600845"/>
    <w:rsid w:val="006137C3"/>
    <w:rsid w:val="00630E2E"/>
    <w:rsid w:val="00632595"/>
    <w:rsid w:val="0063619D"/>
    <w:rsid w:val="00654AB5"/>
    <w:rsid w:val="00656763"/>
    <w:rsid w:val="006B7179"/>
    <w:rsid w:val="006C2BB0"/>
    <w:rsid w:val="006C4438"/>
    <w:rsid w:val="007034D6"/>
    <w:rsid w:val="00715975"/>
    <w:rsid w:val="007216F8"/>
    <w:rsid w:val="00724B94"/>
    <w:rsid w:val="00734CCB"/>
    <w:rsid w:val="00743F14"/>
    <w:rsid w:val="00746E44"/>
    <w:rsid w:val="0076029E"/>
    <w:rsid w:val="00787466"/>
    <w:rsid w:val="007A1F7C"/>
    <w:rsid w:val="007B0527"/>
    <w:rsid w:val="007D15F4"/>
    <w:rsid w:val="007D2FE6"/>
    <w:rsid w:val="007E0C72"/>
    <w:rsid w:val="00804F27"/>
    <w:rsid w:val="00813931"/>
    <w:rsid w:val="008264EB"/>
    <w:rsid w:val="00826D39"/>
    <w:rsid w:val="0085093E"/>
    <w:rsid w:val="00871188"/>
    <w:rsid w:val="00882951"/>
    <w:rsid w:val="00886F01"/>
    <w:rsid w:val="008F2E23"/>
    <w:rsid w:val="00905865"/>
    <w:rsid w:val="00932B58"/>
    <w:rsid w:val="0095032C"/>
    <w:rsid w:val="00953B0F"/>
    <w:rsid w:val="009974AF"/>
    <w:rsid w:val="009D5624"/>
    <w:rsid w:val="009E13FF"/>
    <w:rsid w:val="009E5170"/>
    <w:rsid w:val="00A04640"/>
    <w:rsid w:val="00A13F63"/>
    <w:rsid w:val="00A15D0A"/>
    <w:rsid w:val="00A33281"/>
    <w:rsid w:val="00A365D5"/>
    <w:rsid w:val="00A41B55"/>
    <w:rsid w:val="00A4512D"/>
    <w:rsid w:val="00A56C50"/>
    <w:rsid w:val="00A63558"/>
    <w:rsid w:val="00A66E97"/>
    <w:rsid w:val="00A701E3"/>
    <w:rsid w:val="00A70350"/>
    <w:rsid w:val="00A705AF"/>
    <w:rsid w:val="00A83B0F"/>
    <w:rsid w:val="00A955BE"/>
    <w:rsid w:val="00AA5F9F"/>
    <w:rsid w:val="00AB0324"/>
    <w:rsid w:val="00AB5DC4"/>
    <w:rsid w:val="00AC3000"/>
    <w:rsid w:val="00AF1D73"/>
    <w:rsid w:val="00B01255"/>
    <w:rsid w:val="00B035E3"/>
    <w:rsid w:val="00B11E5A"/>
    <w:rsid w:val="00B32345"/>
    <w:rsid w:val="00B35D34"/>
    <w:rsid w:val="00B42851"/>
    <w:rsid w:val="00B46C5E"/>
    <w:rsid w:val="00B53881"/>
    <w:rsid w:val="00B73AA3"/>
    <w:rsid w:val="00B84590"/>
    <w:rsid w:val="00B85111"/>
    <w:rsid w:val="00B95E87"/>
    <w:rsid w:val="00BA0398"/>
    <w:rsid w:val="00BA3805"/>
    <w:rsid w:val="00BB1B5E"/>
    <w:rsid w:val="00BB6923"/>
    <w:rsid w:val="00BB6B25"/>
    <w:rsid w:val="00BB6D6D"/>
    <w:rsid w:val="00BC3FFB"/>
    <w:rsid w:val="00BC6210"/>
    <w:rsid w:val="00BC78C8"/>
    <w:rsid w:val="00BF74D7"/>
    <w:rsid w:val="00C013F0"/>
    <w:rsid w:val="00C12CBA"/>
    <w:rsid w:val="00C168B7"/>
    <w:rsid w:val="00C268E9"/>
    <w:rsid w:val="00C42209"/>
    <w:rsid w:val="00C4585E"/>
    <w:rsid w:val="00C51060"/>
    <w:rsid w:val="00C65279"/>
    <w:rsid w:val="00C80038"/>
    <w:rsid w:val="00C93D39"/>
    <w:rsid w:val="00CB0960"/>
    <w:rsid w:val="00CB5B1A"/>
    <w:rsid w:val="00CB7179"/>
    <w:rsid w:val="00CD73E2"/>
    <w:rsid w:val="00D0260F"/>
    <w:rsid w:val="00D10FC2"/>
    <w:rsid w:val="00D13B9A"/>
    <w:rsid w:val="00D17985"/>
    <w:rsid w:val="00D40F8D"/>
    <w:rsid w:val="00D425BA"/>
    <w:rsid w:val="00D45E90"/>
    <w:rsid w:val="00D57728"/>
    <w:rsid w:val="00D6531B"/>
    <w:rsid w:val="00D97F5D"/>
    <w:rsid w:val="00DB02A5"/>
    <w:rsid w:val="00DC2C76"/>
    <w:rsid w:val="00DD6EBA"/>
    <w:rsid w:val="00DF14A2"/>
    <w:rsid w:val="00E16383"/>
    <w:rsid w:val="00E37E83"/>
    <w:rsid w:val="00E40DD7"/>
    <w:rsid w:val="00E41AAA"/>
    <w:rsid w:val="00E462EC"/>
    <w:rsid w:val="00E608ED"/>
    <w:rsid w:val="00E737C0"/>
    <w:rsid w:val="00E96BB2"/>
    <w:rsid w:val="00ED1C0F"/>
    <w:rsid w:val="00ED2467"/>
    <w:rsid w:val="00ED3D5B"/>
    <w:rsid w:val="00F15747"/>
    <w:rsid w:val="00F36FED"/>
    <w:rsid w:val="00F53C8E"/>
    <w:rsid w:val="00F71961"/>
    <w:rsid w:val="00F77677"/>
    <w:rsid w:val="00F84400"/>
    <w:rsid w:val="00F93440"/>
    <w:rsid w:val="00FB5665"/>
    <w:rsid w:val="00FC2D96"/>
    <w:rsid w:val="00FC5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81C60F0"/>
  <w15:docId w15:val="{B147CEB6-6F61-4A3C-89B9-E63B97D2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570063"/>
    <w:pPr>
      <w:spacing w:line="281" w:lineRule="auto"/>
      <w:outlineLvl w:val="0"/>
    </w:pPr>
    <w:rPr>
      <w:b/>
    </w:rPr>
  </w:style>
  <w:style w:type="paragraph" w:styleId="Heading2">
    <w:name w:val="heading 2"/>
    <w:basedOn w:val="Normal"/>
    <w:next w:val="Normal"/>
    <w:link w:val="Heading2Char"/>
    <w:uiPriority w:val="9"/>
    <w:unhideWhenUsed/>
    <w:qFormat/>
    <w:rsid w:val="00524B2A"/>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524B2A"/>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524B2A"/>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524B2A"/>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524B2A"/>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aliases w:val="CAB - List Bullet,List Bullet Cab"/>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570063"/>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524B2A"/>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524B2A"/>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524B2A"/>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paragraph" w:customStyle="1" w:styleId="CABParagraph">
    <w:name w:val="CAB Paragraph"/>
    <w:basedOn w:val="BodyText"/>
    <w:link w:val="CABParagraphChar"/>
    <w:uiPriority w:val="98"/>
    <w:qFormat/>
    <w:rsid w:val="00F36FED"/>
    <w:pPr>
      <w:spacing w:after="0" w:line="240" w:lineRule="auto"/>
    </w:pPr>
    <w:rPr>
      <w:rFonts w:eastAsiaTheme="minorHAnsi"/>
      <w:sz w:val="22"/>
      <w:szCs w:val="22"/>
      <w:lang w:eastAsia="en-US"/>
    </w:rPr>
  </w:style>
  <w:style w:type="character" w:customStyle="1" w:styleId="CABParagraphChar">
    <w:name w:val="CAB Paragraph Char"/>
    <w:basedOn w:val="DefaultParagraphFont"/>
    <w:link w:val="CABParagraph"/>
    <w:uiPriority w:val="98"/>
    <w:rsid w:val="00F36FED"/>
    <w:rPr>
      <w:rFonts w:ascii="Arial" w:eastAsiaTheme="minorHAnsi" w:hAnsi="Arial"/>
      <w:sz w:val="22"/>
      <w:szCs w:val="22"/>
      <w:lang w:eastAsia="en-US"/>
    </w:rPr>
  </w:style>
  <w:style w:type="paragraph" w:customStyle="1" w:styleId="CABBulletList">
    <w:name w:val="CAB Bullet List"/>
    <w:basedOn w:val="ListParagraph"/>
    <w:uiPriority w:val="98"/>
    <w:qFormat/>
    <w:rsid w:val="00F36FED"/>
    <w:pPr>
      <w:numPr>
        <w:numId w:val="9"/>
      </w:numPr>
      <w:tabs>
        <w:tab w:val="left" w:pos="851"/>
      </w:tabs>
      <w:spacing w:before="60" w:after="60" w:line="240" w:lineRule="auto"/>
      <w:ind w:left="850" w:hanging="288"/>
    </w:pPr>
    <w:rPr>
      <w:rFonts w:eastAsiaTheme="minorHAnsi"/>
      <w:sz w:val="22"/>
      <w:szCs w:val="22"/>
      <w:lang w:eastAsia="en-US"/>
    </w:rPr>
  </w:style>
  <w:style w:type="paragraph" w:styleId="BodyText">
    <w:name w:val="Body Text"/>
    <w:basedOn w:val="Normal"/>
    <w:link w:val="BodyTextChar"/>
    <w:semiHidden/>
    <w:unhideWhenUsed/>
    <w:rsid w:val="00F36FED"/>
    <w:pPr>
      <w:spacing w:after="120"/>
    </w:pPr>
  </w:style>
  <w:style w:type="character" w:customStyle="1" w:styleId="BodyTextChar">
    <w:name w:val="Body Text Char"/>
    <w:basedOn w:val="DefaultParagraphFont"/>
    <w:link w:val="BodyText"/>
    <w:semiHidden/>
    <w:rsid w:val="00F36FED"/>
    <w:rPr>
      <w:rFonts w:ascii="Arial" w:hAnsi="Arial"/>
      <w:sz w:val="21"/>
    </w:rPr>
  </w:style>
  <w:style w:type="character" w:styleId="CommentReference">
    <w:name w:val="annotation reference"/>
    <w:basedOn w:val="DefaultParagraphFont"/>
    <w:semiHidden/>
    <w:unhideWhenUsed/>
    <w:rsid w:val="003867F0"/>
    <w:rPr>
      <w:sz w:val="16"/>
      <w:szCs w:val="16"/>
    </w:rPr>
  </w:style>
  <w:style w:type="paragraph" w:styleId="CommentText">
    <w:name w:val="annotation text"/>
    <w:basedOn w:val="Normal"/>
    <w:link w:val="CommentTextChar"/>
    <w:semiHidden/>
    <w:unhideWhenUsed/>
    <w:rsid w:val="003867F0"/>
    <w:pPr>
      <w:spacing w:line="240" w:lineRule="auto"/>
    </w:pPr>
    <w:rPr>
      <w:sz w:val="20"/>
      <w:szCs w:val="20"/>
    </w:rPr>
  </w:style>
  <w:style w:type="character" w:customStyle="1" w:styleId="CommentTextChar">
    <w:name w:val="Comment Text Char"/>
    <w:basedOn w:val="DefaultParagraphFont"/>
    <w:link w:val="CommentText"/>
    <w:semiHidden/>
    <w:rsid w:val="003867F0"/>
    <w:rPr>
      <w:rFonts w:ascii="Arial" w:hAnsi="Arial"/>
      <w:sz w:val="20"/>
      <w:szCs w:val="20"/>
    </w:rPr>
  </w:style>
  <w:style w:type="paragraph" w:styleId="CommentSubject">
    <w:name w:val="annotation subject"/>
    <w:basedOn w:val="CommentText"/>
    <w:next w:val="CommentText"/>
    <w:link w:val="CommentSubjectChar"/>
    <w:semiHidden/>
    <w:unhideWhenUsed/>
    <w:rsid w:val="003867F0"/>
    <w:rPr>
      <w:b/>
      <w:bCs/>
    </w:rPr>
  </w:style>
  <w:style w:type="character" w:customStyle="1" w:styleId="CommentSubjectChar">
    <w:name w:val="Comment Subject Char"/>
    <w:basedOn w:val="CommentTextChar"/>
    <w:link w:val="CommentSubject"/>
    <w:semiHidden/>
    <w:rsid w:val="003867F0"/>
    <w:rPr>
      <w:rFonts w:ascii="Arial" w:hAnsi="Arial"/>
      <w:b/>
      <w:bCs/>
      <w:sz w:val="20"/>
      <w:szCs w:val="20"/>
    </w:rPr>
  </w:style>
  <w:style w:type="paragraph" w:styleId="Revision">
    <w:name w:val="Revision"/>
    <w:hidden/>
    <w:uiPriority w:val="99"/>
    <w:semiHidden/>
    <w:rsid w:val="005C55F1"/>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 w:id="1256136976">
      <w:bodyDiv w:val="1"/>
      <w:marLeft w:val="0"/>
      <w:marRight w:val="0"/>
      <w:marTop w:val="0"/>
      <w:marBottom w:val="0"/>
      <w:divBdr>
        <w:top w:val="none" w:sz="0" w:space="0" w:color="auto"/>
        <w:left w:val="none" w:sz="0" w:space="0" w:color="auto"/>
        <w:bottom w:val="none" w:sz="0" w:space="0" w:color="auto"/>
        <w:right w:val="none" w:sz="0" w:space="0" w:color="auto"/>
      </w:divBdr>
    </w:div>
    <w:div w:id="1463495771">
      <w:bodyDiv w:val="1"/>
      <w:marLeft w:val="0"/>
      <w:marRight w:val="0"/>
      <w:marTop w:val="0"/>
      <w:marBottom w:val="0"/>
      <w:divBdr>
        <w:top w:val="none" w:sz="0" w:space="0" w:color="auto"/>
        <w:left w:val="none" w:sz="0" w:space="0" w:color="auto"/>
        <w:bottom w:val="none" w:sz="0" w:space="0" w:color="auto"/>
        <w:right w:val="none" w:sz="0" w:space="0" w:color="auto"/>
      </w:divBdr>
    </w:div>
    <w:div w:id="15731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972A9-4B92-4F26-906F-26841BB0027F}">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e9090f6-0245-48e3-bd19-46cc0b4d31f0"/>
    <ds:schemaRef ds:uri="66b98d56-25b7-479b-bf58-c8a0702ccf2c"/>
    <ds:schemaRef ds:uri="http://www.w3.org/XML/1998/namespace"/>
  </ds:schemaRefs>
</ds:datastoreItem>
</file>

<file path=customXml/itemProps2.xml><?xml version="1.0" encoding="utf-8"?>
<ds:datastoreItem xmlns:ds="http://schemas.openxmlformats.org/officeDocument/2006/customXml" ds:itemID="{8E537803-B28B-4C48-9B4E-C21BC41E137C}"/>
</file>

<file path=customXml/itemProps3.xml><?xml version="1.0" encoding="utf-8"?>
<ds:datastoreItem xmlns:ds="http://schemas.openxmlformats.org/officeDocument/2006/customXml" ds:itemID="{1FB27577-A93D-417D-A5D5-53AA848C6B15}">
  <ds:schemaRefs>
    <ds:schemaRef ds:uri="http://schemas.microsoft.com/sharepoint/v3/contenttype/forms"/>
  </ds:schemaRefs>
</ds:datastoreItem>
</file>

<file path=customXml/itemProps4.xml><?xml version="1.0" encoding="utf-8"?>
<ds:datastoreItem xmlns:ds="http://schemas.openxmlformats.org/officeDocument/2006/customXml" ds:itemID="{33BA678F-2696-4561-8C87-9EFB3C7C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1229</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15 Improving Access to Medical Equipment, Treatment and Diagnostics - Budget 2022-23 fact sheet</vt:lpstr>
    </vt:vector>
  </TitlesOfParts>
  <Manager/>
  <Company>Australian Government Department of Health</Company>
  <LinksUpToDate>false</LinksUpToDate>
  <CharactersWithSpaces>8413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 Improving Access to Medical Equipment, Treatment and Diagnostics - Budget 2022-23 fact sheet</dc:title>
  <dc:subject>Budget 2022-23</dc:subject>
  <dc:creator>Australian Government Department of Health</dc:creator>
  <cp:keywords>Budget 2022-23</cp:keywords>
  <dc:description/>
  <cp:lastModifiedBy>Fairhall, Brad</cp:lastModifiedBy>
  <cp:revision>4</cp:revision>
  <cp:lastPrinted>2020-09-01T06:21:00Z</cp:lastPrinted>
  <dcterms:created xsi:type="dcterms:W3CDTF">2022-03-26T22:42:00Z</dcterms:created>
  <dcterms:modified xsi:type="dcterms:W3CDTF">2022-03-28T05:34:00Z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ies>
</file>