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F872" w14:textId="77777777" w:rsidR="00F41080" w:rsidRPr="0017128B" w:rsidRDefault="00F41080" w:rsidP="00F41080">
      <w:pPr>
        <w:pStyle w:val="Title"/>
      </w:pPr>
      <w:r w:rsidRPr="0017128B">
        <w:t>Life S</w:t>
      </w:r>
      <w:bookmarkStart w:id="0" w:name="_GoBack"/>
      <w:bookmarkEnd w:id="0"/>
      <w:r w:rsidRPr="0017128B">
        <w:t>aving Research – Funding for medical research</w:t>
      </w:r>
    </w:p>
    <w:p w14:paraId="4A40EF93" w14:textId="51A62ECE" w:rsidR="00F41080" w:rsidRPr="0017128B" w:rsidRDefault="00F41080" w:rsidP="00F41080">
      <w:pPr>
        <w:pStyle w:val="IntroPara"/>
        <w:rPr>
          <w:rFonts w:eastAsia="MS Mincho"/>
          <w:lang w:val="en-US"/>
        </w:rPr>
      </w:pPr>
      <w:r w:rsidRPr="0017128B">
        <w:rPr>
          <w:rFonts w:eastAsia="MS Mincho"/>
          <w:lang w:val="en-US"/>
        </w:rPr>
        <w:t xml:space="preserve">The Australian Government is investing </w:t>
      </w:r>
      <w:r w:rsidR="00457F1F" w:rsidRPr="0017128B">
        <w:rPr>
          <w:rFonts w:eastAsia="MS Mincho"/>
          <w:lang w:val="en-US"/>
        </w:rPr>
        <w:t>$</w:t>
      </w:r>
      <w:r w:rsidR="007B62CE" w:rsidRPr="0017128B">
        <w:rPr>
          <w:rFonts w:eastAsia="MS Mincho"/>
          <w:lang w:val="en-US"/>
        </w:rPr>
        <w:t>6.8</w:t>
      </w:r>
      <w:r w:rsidR="00457F1F" w:rsidRPr="0017128B">
        <w:rPr>
          <w:rFonts w:eastAsia="MS Mincho"/>
          <w:lang w:val="en-US"/>
        </w:rPr>
        <w:t xml:space="preserve"> </w:t>
      </w:r>
      <w:r w:rsidR="00EA6F57" w:rsidRPr="0017128B">
        <w:rPr>
          <w:rFonts w:eastAsia="MS Mincho"/>
          <w:lang w:val="en-US"/>
        </w:rPr>
        <w:t>billion</w:t>
      </w:r>
      <w:r w:rsidR="00457F1F" w:rsidRPr="0017128B">
        <w:rPr>
          <w:rFonts w:eastAsia="MS Mincho"/>
          <w:lang w:val="en-US"/>
        </w:rPr>
        <w:t xml:space="preserve"> </w:t>
      </w:r>
      <w:r w:rsidRPr="0017128B">
        <w:rPr>
          <w:rFonts w:eastAsia="MS Mincho"/>
          <w:lang w:val="en-US"/>
        </w:rPr>
        <w:t xml:space="preserve">in medical research over the next </w:t>
      </w:r>
      <w:r w:rsidR="0083047C" w:rsidRPr="0017128B">
        <w:rPr>
          <w:rFonts w:eastAsia="MS Mincho"/>
          <w:lang w:val="en-US"/>
        </w:rPr>
        <w:t>four</w:t>
      </w:r>
      <w:r w:rsidRPr="0017128B">
        <w:rPr>
          <w:rFonts w:eastAsia="MS Mincho"/>
          <w:lang w:val="en-US"/>
        </w:rPr>
        <w:t> years, including:</w:t>
      </w:r>
    </w:p>
    <w:p w14:paraId="3833C328" w14:textId="21530E62" w:rsidR="00F41080" w:rsidRPr="0017128B" w:rsidRDefault="00F41080" w:rsidP="00F41080">
      <w:pPr>
        <w:pStyle w:val="IntroPara"/>
        <w:numPr>
          <w:ilvl w:val="0"/>
          <w:numId w:val="11"/>
        </w:numPr>
        <w:rPr>
          <w:rFonts w:eastAsia="MS Mincho"/>
          <w:lang w:val="en-US"/>
        </w:rPr>
      </w:pPr>
      <w:r w:rsidRPr="0017128B">
        <w:rPr>
          <w:rFonts w:eastAsia="MS Mincho"/>
          <w:lang w:val="en-US"/>
        </w:rPr>
        <w:t>The Medical Research Future</w:t>
      </w:r>
      <w:r w:rsidR="00456C33" w:rsidRPr="0017128B">
        <w:rPr>
          <w:rFonts w:eastAsia="MS Mincho"/>
          <w:lang w:val="en-US"/>
        </w:rPr>
        <w:t xml:space="preserve"> Fund (MRFF) ($</w:t>
      </w:r>
      <w:r w:rsidR="00D07726" w:rsidRPr="0017128B">
        <w:rPr>
          <w:rFonts w:eastAsia="MS Mincho"/>
          <w:lang w:val="en-US"/>
        </w:rPr>
        <w:t>2.6 billion</w:t>
      </w:r>
      <w:r w:rsidRPr="0017128B">
        <w:rPr>
          <w:rFonts w:eastAsia="MS Mincho"/>
          <w:lang w:val="en-US"/>
        </w:rPr>
        <w:t>)</w:t>
      </w:r>
    </w:p>
    <w:p w14:paraId="34D294D9" w14:textId="173215BB" w:rsidR="00F41080" w:rsidRPr="0017128B" w:rsidRDefault="00F41080" w:rsidP="00F41080">
      <w:pPr>
        <w:pStyle w:val="IntroPara"/>
        <w:numPr>
          <w:ilvl w:val="0"/>
          <w:numId w:val="11"/>
        </w:numPr>
        <w:rPr>
          <w:rFonts w:eastAsia="MS Mincho"/>
          <w:lang w:val="en-US"/>
        </w:rPr>
      </w:pPr>
      <w:r w:rsidRPr="0017128B">
        <w:rPr>
          <w:rFonts w:eastAsia="MS Mincho"/>
          <w:lang w:val="en-US"/>
        </w:rPr>
        <w:t>National Health and Medical Research Council (NHMRC) ($</w:t>
      </w:r>
      <w:r w:rsidR="007B62CE" w:rsidRPr="0017128B">
        <w:rPr>
          <w:rFonts w:eastAsia="MS Mincho"/>
          <w:lang w:val="en-US"/>
        </w:rPr>
        <w:t>3.7 billion</w:t>
      </w:r>
      <w:r w:rsidRPr="0017128B">
        <w:rPr>
          <w:rFonts w:eastAsia="MS Mincho"/>
          <w:lang w:val="en-US"/>
        </w:rPr>
        <w:t>)</w:t>
      </w:r>
    </w:p>
    <w:p w14:paraId="0DA50EF8" w14:textId="18AFCF75" w:rsidR="000476A6" w:rsidRPr="0017128B" w:rsidRDefault="000476A6" w:rsidP="00F41080">
      <w:pPr>
        <w:pStyle w:val="IntroPara"/>
        <w:numPr>
          <w:ilvl w:val="0"/>
          <w:numId w:val="11"/>
        </w:numPr>
        <w:rPr>
          <w:rFonts w:eastAsia="MS Mincho"/>
          <w:lang w:val="en-US"/>
        </w:rPr>
      </w:pPr>
      <w:r w:rsidRPr="0017128B">
        <w:rPr>
          <w:rFonts w:eastAsia="MS Mincho"/>
          <w:lang w:val="en-US"/>
        </w:rPr>
        <w:t>Biomedical Translation Fund (BTF) ($</w:t>
      </w:r>
      <w:r w:rsidR="00224B16" w:rsidRPr="0017128B">
        <w:rPr>
          <w:rFonts w:eastAsia="MS Mincho"/>
          <w:lang w:val="en-US"/>
        </w:rPr>
        <w:t>500 million</w:t>
      </w:r>
      <w:r w:rsidRPr="0017128B">
        <w:rPr>
          <w:rFonts w:eastAsia="MS Mincho"/>
          <w:lang w:val="en-US"/>
        </w:rPr>
        <w:t>)</w:t>
      </w:r>
    </w:p>
    <w:p w14:paraId="103BF42C" w14:textId="1011A0F0" w:rsidR="00F41080" w:rsidRPr="0017128B" w:rsidRDefault="000476A6" w:rsidP="00D75D82">
      <w:pPr>
        <w:pStyle w:val="IntroPara"/>
        <w:spacing w:line="319" w:lineRule="auto"/>
        <w:rPr>
          <w:rFonts w:eastAsia="MS Mincho"/>
          <w:lang w:val="en-US"/>
        </w:rPr>
      </w:pPr>
      <w:r w:rsidRPr="0017128B">
        <w:rPr>
          <w:rFonts w:eastAsia="MS Mincho"/>
          <w:lang w:val="en-US"/>
        </w:rPr>
        <w:t>The Government is providing $</w:t>
      </w:r>
      <w:r w:rsidR="00916E1C" w:rsidRPr="0017128B">
        <w:rPr>
          <w:rFonts w:eastAsia="MS Mincho"/>
          <w:lang w:val="en-US"/>
        </w:rPr>
        <w:t>303</w:t>
      </w:r>
      <w:r w:rsidR="00156C97" w:rsidRPr="0017128B">
        <w:rPr>
          <w:rFonts w:eastAsia="MS Mincho"/>
          <w:lang w:val="en-US"/>
        </w:rPr>
        <w:t>.5 million</w:t>
      </w:r>
      <w:r w:rsidRPr="0017128B">
        <w:rPr>
          <w:rFonts w:eastAsia="MS Mincho"/>
          <w:lang w:val="en-US"/>
        </w:rPr>
        <w:t xml:space="preserve"> in new grants and funding </w:t>
      </w:r>
      <w:r w:rsidR="00646243" w:rsidRPr="0017128B">
        <w:rPr>
          <w:rFonts w:eastAsia="MS Mincho"/>
          <w:lang w:val="en-US"/>
        </w:rPr>
        <w:t>opportunities</w:t>
      </w:r>
      <w:r w:rsidRPr="0017128B">
        <w:rPr>
          <w:rFonts w:eastAsia="MS Mincho"/>
          <w:lang w:val="en-US"/>
        </w:rPr>
        <w:t xml:space="preserve"> to assist researchers around the country to tackle health problems including </w:t>
      </w:r>
      <w:r w:rsidR="006927C3" w:rsidRPr="0017128B">
        <w:rPr>
          <w:rFonts w:eastAsia="MS Mincho"/>
          <w:lang w:val="en-US"/>
        </w:rPr>
        <w:t xml:space="preserve">dementia, </w:t>
      </w:r>
      <w:r w:rsidR="000E1AE5" w:rsidRPr="0017128B">
        <w:rPr>
          <w:rFonts w:eastAsia="MS Mincho"/>
          <w:lang w:val="en-US"/>
        </w:rPr>
        <w:t xml:space="preserve">the wellbeing of Indigenous mothers and </w:t>
      </w:r>
      <w:r w:rsidR="00646243" w:rsidRPr="0017128B">
        <w:rPr>
          <w:rFonts w:eastAsia="MS Mincho"/>
          <w:lang w:val="en-US"/>
        </w:rPr>
        <w:t xml:space="preserve">their </w:t>
      </w:r>
      <w:r w:rsidR="000E1AE5" w:rsidRPr="0017128B">
        <w:rPr>
          <w:rFonts w:eastAsia="MS Mincho"/>
          <w:lang w:val="en-US"/>
        </w:rPr>
        <w:t xml:space="preserve">babies, </w:t>
      </w:r>
      <w:r w:rsidR="006927C3" w:rsidRPr="0017128B">
        <w:rPr>
          <w:rFonts w:eastAsia="MS Mincho"/>
          <w:lang w:val="en-US"/>
        </w:rPr>
        <w:t>and cancer</w:t>
      </w:r>
      <w:r w:rsidRPr="0017128B">
        <w:rPr>
          <w:rFonts w:eastAsia="MS Mincho"/>
          <w:lang w:val="en-US"/>
        </w:rPr>
        <w:t xml:space="preserve">. </w:t>
      </w:r>
      <w:r w:rsidR="00F41080" w:rsidRPr="0017128B">
        <w:rPr>
          <w:rFonts w:eastAsia="MS Mincho"/>
          <w:lang w:val="en-US"/>
        </w:rPr>
        <w:t xml:space="preserve">The grant funding, which is divided among new grants announced and newly opened opportunities, comes from the MRFF.  </w:t>
      </w:r>
    </w:p>
    <w:p w14:paraId="6712F8AD" w14:textId="5E15CA34" w:rsidR="00F41080" w:rsidRPr="0017128B" w:rsidRDefault="00F41080" w:rsidP="00F41080">
      <w:pPr>
        <w:pStyle w:val="IntroPara"/>
        <w:rPr>
          <w:rFonts w:eastAsia="MS Mincho"/>
          <w:lang w:val="en-US"/>
        </w:rPr>
      </w:pPr>
      <w:r w:rsidRPr="0017128B">
        <w:rPr>
          <w:rFonts w:eastAsia="MS Mincho"/>
          <w:lang w:val="en-US"/>
        </w:rPr>
        <w:t xml:space="preserve">The </w:t>
      </w:r>
      <w:r w:rsidR="00916E1C" w:rsidRPr="0017128B">
        <w:rPr>
          <w:rFonts w:eastAsia="MS Mincho"/>
          <w:lang w:val="en-US"/>
        </w:rPr>
        <w:t xml:space="preserve">19 </w:t>
      </w:r>
      <w:r w:rsidR="00646243" w:rsidRPr="0017128B">
        <w:rPr>
          <w:rFonts w:eastAsia="MS Mincho"/>
          <w:lang w:val="en-US"/>
        </w:rPr>
        <w:t xml:space="preserve">newly announced </w:t>
      </w:r>
      <w:r w:rsidRPr="0017128B">
        <w:rPr>
          <w:rFonts w:eastAsia="MS Mincho"/>
          <w:lang w:val="en-US"/>
        </w:rPr>
        <w:t xml:space="preserve">research projects, funded with grants </w:t>
      </w:r>
      <w:r w:rsidR="000E1AE5" w:rsidRPr="0017128B">
        <w:rPr>
          <w:rFonts w:eastAsia="MS Mincho"/>
          <w:lang w:val="en-US"/>
        </w:rPr>
        <w:t>totaling</w:t>
      </w:r>
      <w:r w:rsidRPr="0017128B">
        <w:rPr>
          <w:rFonts w:eastAsia="MS Mincho"/>
          <w:lang w:val="en-US"/>
        </w:rPr>
        <w:t xml:space="preserve"> $</w:t>
      </w:r>
      <w:r w:rsidR="00916E1C" w:rsidRPr="0017128B">
        <w:rPr>
          <w:rFonts w:eastAsia="MS Mincho"/>
          <w:lang w:val="en-US"/>
        </w:rPr>
        <w:t>50</w:t>
      </w:r>
      <w:r w:rsidR="0003117D" w:rsidRPr="0017128B">
        <w:rPr>
          <w:rFonts w:eastAsia="MS Mincho"/>
          <w:lang w:val="en-US"/>
        </w:rPr>
        <w:t>.4</w:t>
      </w:r>
      <w:r w:rsidRPr="0017128B">
        <w:rPr>
          <w:rFonts w:eastAsia="MS Mincho"/>
          <w:lang w:val="en-US"/>
        </w:rPr>
        <w:t> million through the MRFF (full table further below) include:</w:t>
      </w:r>
    </w:p>
    <w:p w14:paraId="1C5F4F9B" w14:textId="1797C47F" w:rsidR="000E1AE5" w:rsidRPr="0017128B" w:rsidRDefault="000476A6" w:rsidP="00224B16">
      <w:pPr>
        <w:pStyle w:val="ListParagraph"/>
        <w:numPr>
          <w:ilvl w:val="0"/>
          <w:numId w:val="9"/>
        </w:numPr>
        <w:spacing w:before="0" w:after="120" w:line="271" w:lineRule="auto"/>
        <w:ind w:left="714" w:hanging="357"/>
        <w:rPr>
          <w:rFonts w:cs="Arial"/>
          <w:bCs/>
          <w:iCs/>
          <w:sz w:val="23"/>
          <w:szCs w:val="23"/>
        </w:rPr>
      </w:pPr>
      <w:r w:rsidRPr="0017128B">
        <w:rPr>
          <w:rFonts w:eastAsia="MS Mincho" w:cs="Arial"/>
          <w:sz w:val="23"/>
          <w:szCs w:val="23"/>
          <w:lang w:val="en-US"/>
        </w:rPr>
        <w:t>$</w:t>
      </w:r>
      <w:r w:rsidR="00832991" w:rsidRPr="0017128B">
        <w:rPr>
          <w:rFonts w:eastAsia="MS Mincho" w:cs="Arial"/>
          <w:sz w:val="23"/>
          <w:szCs w:val="23"/>
          <w:lang w:val="en-US"/>
        </w:rPr>
        <w:t>5</w:t>
      </w:r>
      <w:r w:rsidRPr="0017128B">
        <w:rPr>
          <w:rFonts w:eastAsia="MS Mincho" w:cs="Arial"/>
          <w:sz w:val="23"/>
          <w:szCs w:val="23"/>
          <w:lang w:val="en-US"/>
        </w:rPr>
        <w:t xml:space="preserve"> </w:t>
      </w:r>
      <w:r w:rsidR="006B03BA" w:rsidRPr="0017128B">
        <w:rPr>
          <w:rFonts w:eastAsia="MS Mincho" w:cs="Arial"/>
          <w:sz w:val="23"/>
          <w:szCs w:val="23"/>
          <w:lang w:val="en-US"/>
        </w:rPr>
        <w:t xml:space="preserve">million </w:t>
      </w:r>
      <w:r w:rsidR="000E1AE5" w:rsidRPr="0017128B">
        <w:rPr>
          <w:rFonts w:eastAsia="MS Mincho" w:cs="Arial"/>
          <w:sz w:val="23"/>
          <w:szCs w:val="23"/>
          <w:lang w:val="en-US"/>
        </w:rPr>
        <w:t>–</w:t>
      </w:r>
      <w:r w:rsidRPr="0017128B">
        <w:rPr>
          <w:rFonts w:eastAsia="MS Mincho" w:cs="Arial"/>
          <w:sz w:val="23"/>
          <w:szCs w:val="23"/>
          <w:lang w:val="en-US"/>
        </w:rPr>
        <w:t xml:space="preserve"> </w:t>
      </w:r>
      <w:r w:rsidR="000E1AE5" w:rsidRPr="0017128B">
        <w:rPr>
          <w:rFonts w:eastAsia="MS Mincho" w:cs="Arial"/>
          <w:sz w:val="23"/>
          <w:szCs w:val="23"/>
          <w:lang w:val="en-US"/>
        </w:rPr>
        <w:t>Charles Darwin University</w:t>
      </w:r>
      <w:r w:rsidRPr="0017128B">
        <w:rPr>
          <w:rFonts w:eastAsia="MS Mincho" w:cs="Arial"/>
          <w:sz w:val="23"/>
          <w:szCs w:val="23"/>
          <w:lang w:val="en-US"/>
        </w:rPr>
        <w:t xml:space="preserve"> </w:t>
      </w:r>
      <w:r w:rsidR="000E1AE5" w:rsidRPr="0017128B">
        <w:rPr>
          <w:rFonts w:eastAsia="MS Mincho" w:cs="Arial"/>
          <w:sz w:val="23"/>
          <w:szCs w:val="23"/>
          <w:lang w:val="en-US"/>
        </w:rPr>
        <w:t>– for a</w:t>
      </w:r>
      <w:r w:rsidR="000E1AE5" w:rsidRPr="0017128B">
        <w:rPr>
          <w:rFonts w:cs="Arial"/>
          <w:bCs/>
          <w:iCs/>
          <w:sz w:val="23"/>
          <w:szCs w:val="23"/>
        </w:rPr>
        <w:t xml:space="preserve"> First Nations led, co-designed and staffed study to establish a model for Birthing on Country for Aboriginal and Torres Strait Islander families. Researchers will work side-by-side with communities to help ensure the best maternal and child health care in rural, r</w:t>
      </w:r>
      <w:r w:rsidR="00C72023" w:rsidRPr="0017128B">
        <w:rPr>
          <w:rFonts w:cs="Arial"/>
          <w:bCs/>
          <w:iCs/>
          <w:sz w:val="23"/>
          <w:szCs w:val="23"/>
        </w:rPr>
        <w:t>emote and very remote Australia</w:t>
      </w:r>
    </w:p>
    <w:p w14:paraId="4BE7F5B3" w14:textId="455084D3" w:rsidR="00832991" w:rsidRPr="0017128B" w:rsidRDefault="00832991" w:rsidP="00224B16">
      <w:pPr>
        <w:pStyle w:val="ListParagraph"/>
        <w:numPr>
          <w:ilvl w:val="0"/>
          <w:numId w:val="9"/>
        </w:numPr>
        <w:spacing w:before="0" w:after="120" w:line="271" w:lineRule="auto"/>
        <w:ind w:left="714" w:hanging="357"/>
        <w:rPr>
          <w:rFonts w:cs="Arial"/>
          <w:bCs/>
          <w:iCs/>
          <w:sz w:val="23"/>
          <w:szCs w:val="23"/>
        </w:rPr>
      </w:pPr>
      <w:r w:rsidRPr="0017128B">
        <w:rPr>
          <w:rFonts w:cs="Arial"/>
          <w:bCs/>
          <w:iCs/>
          <w:sz w:val="23"/>
          <w:szCs w:val="23"/>
        </w:rPr>
        <w:t>$</w:t>
      </w:r>
      <w:r w:rsidR="006B03BA" w:rsidRPr="0017128B">
        <w:rPr>
          <w:rFonts w:cs="Arial"/>
          <w:bCs/>
          <w:iCs/>
          <w:sz w:val="23"/>
          <w:szCs w:val="23"/>
        </w:rPr>
        <w:t>3 million</w:t>
      </w:r>
      <w:r w:rsidR="000E1AE5" w:rsidRPr="0017128B">
        <w:rPr>
          <w:rFonts w:cs="Arial"/>
          <w:bCs/>
          <w:iCs/>
          <w:sz w:val="23"/>
          <w:szCs w:val="23"/>
        </w:rPr>
        <w:t xml:space="preserve"> – University of Melbourne </w:t>
      </w:r>
      <w:r w:rsidR="006B03BA" w:rsidRPr="0017128B">
        <w:rPr>
          <w:rFonts w:eastAsia="MS Mincho" w:cs="Arial"/>
          <w:sz w:val="23"/>
          <w:szCs w:val="23"/>
          <w:lang w:val="en-US"/>
        </w:rPr>
        <w:t>–</w:t>
      </w:r>
      <w:r w:rsidR="000E1AE5" w:rsidRPr="0017128B">
        <w:rPr>
          <w:rFonts w:cs="Arial"/>
          <w:bCs/>
          <w:iCs/>
          <w:sz w:val="23"/>
          <w:szCs w:val="23"/>
        </w:rPr>
        <w:t xml:space="preserve"> </w:t>
      </w:r>
      <w:r w:rsidRPr="0017128B">
        <w:rPr>
          <w:rFonts w:cs="Arial"/>
          <w:bCs/>
          <w:iCs/>
          <w:sz w:val="23"/>
          <w:szCs w:val="23"/>
        </w:rPr>
        <w:t xml:space="preserve">to strengthen the care available for rural children, who have limited access to specialist paediatric care. Paediatricians and GPs will work together to assess and manage </w:t>
      </w:r>
      <w:r w:rsidR="00C72023" w:rsidRPr="0017128B">
        <w:rPr>
          <w:rFonts w:cs="Arial"/>
          <w:bCs/>
          <w:iCs/>
          <w:sz w:val="23"/>
          <w:szCs w:val="23"/>
        </w:rPr>
        <w:t>young patients, and</w:t>
      </w:r>
    </w:p>
    <w:p w14:paraId="71ADE3DD" w14:textId="43518526" w:rsidR="006B03BA" w:rsidRPr="0017128B" w:rsidRDefault="00916E1C" w:rsidP="007C3C90">
      <w:pPr>
        <w:pStyle w:val="ListParagraph"/>
        <w:numPr>
          <w:ilvl w:val="0"/>
          <w:numId w:val="9"/>
        </w:numPr>
        <w:spacing w:before="0" w:after="120" w:line="271" w:lineRule="auto"/>
        <w:rPr>
          <w:rFonts w:eastAsia="MS Mincho"/>
          <w:lang w:val="en-US"/>
        </w:rPr>
      </w:pPr>
      <w:r w:rsidRPr="0017128B">
        <w:rPr>
          <w:rFonts w:cs="Arial"/>
          <w:bCs/>
          <w:iCs/>
          <w:sz w:val="23"/>
          <w:szCs w:val="23"/>
        </w:rPr>
        <w:t xml:space="preserve">$1.9 million – The University of Queensland – for an effectiveness-implementation trial in general practice that provides doctors and patients </w:t>
      </w:r>
      <w:r w:rsidR="00E70C08" w:rsidRPr="0017128B">
        <w:rPr>
          <w:rFonts w:cs="Arial"/>
          <w:bCs/>
          <w:iCs/>
          <w:sz w:val="23"/>
          <w:szCs w:val="23"/>
        </w:rPr>
        <w:t xml:space="preserve">with no current depression/anxiety </w:t>
      </w:r>
      <w:r w:rsidRPr="0017128B">
        <w:rPr>
          <w:rFonts w:cs="Arial"/>
          <w:bCs/>
          <w:iCs/>
          <w:sz w:val="23"/>
          <w:szCs w:val="23"/>
        </w:rPr>
        <w:t xml:space="preserve">with the information and resources needed to safely taper and stop </w:t>
      </w:r>
      <w:r w:rsidR="00E70C08" w:rsidRPr="0017128B">
        <w:rPr>
          <w:rFonts w:cs="Arial"/>
          <w:bCs/>
          <w:iCs/>
          <w:sz w:val="23"/>
          <w:szCs w:val="23"/>
        </w:rPr>
        <w:t>using antidepressants.</w:t>
      </w:r>
    </w:p>
    <w:p w14:paraId="208CA1D9" w14:textId="2FAEB080" w:rsidR="00F41080" w:rsidRPr="0017128B" w:rsidRDefault="00F41080" w:rsidP="00646243">
      <w:pPr>
        <w:pStyle w:val="IntroPara"/>
        <w:rPr>
          <w:rFonts w:eastAsia="MS Mincho"/>
          <w:szCs w:val="23"/>
          <w:lang w:val="en-US"/>
        </w:rPr>
      </w:pPr>
      <w:r w:rsidRPr="0017128B">
        <w:rPr>
          <w:rFonts w:eastAsia="MS Mincho"/>
          <w:lang w:val="en-US"/>
        </w:rPr>
        <w:t>The Government is investing $</w:t>
      </w:r>
      <w:r w:rsidR="00D30B80" w:rsidRPr="0017128B">
        <w:rPr>
          <w:rFonts w:eastAsia="MS Mincho"/>
          <w:lang w:val="en-US"/>
        </w:rPr>
        <w:t>253.1</w:t>
      </w:r>
      <w:r w:rsidRPr="0017128B">
        <w:rPr>
          <w:rFonts w:eastAsia="MS Mincho"/>
          <w:lang w:val="en-US"/>
        </w:rPr>
        <w:t xml:space="preserve"> million in opening </w:t>
      </w:r>
      <w:r w:rsidR="0025254C" w:rsidRPr="0017128B">
        <w:rPr>
          <w:rFonts w:eastAsia="MS Mincho"/>
          <w:lang w:val="en-US"/>
        </w:rPr>
        <w:t>1</w:t>
      </w:r>
      <w:r w:rsidR="0003117D" w:rsidRPr="0017128B">
        <w:rPr>
          <w:rFonts w:eastAsia="MS Mincho"/>
          <w:lang w:val="en-US"/>
        </w:rPr>
        <w:t>6</w:t>
      </w:r>
      <w:r w:rsidR="0025254C" w:rsidRPr="0017128B">
        <w:rPr>
          <w:rFonts w:eastAsia="MS Mincho"/>
          <w:lang w:val="en-US"/>
        </w:rPr>
        <w:t xml:space="preserve"> </w:t>
      </w:r>
      <w:r w:rsidRPr="0017128B">
        <w:rPr>
          <w:rFonts w:eastAsia="MS Mincho"/>
          <w:lang w:val="en-US"/>
        </w:rPr>
        <w:t xml:space="preserve">new MRFF funding </w:t>
      </w:r>
      <w:r w:rsidR="00646243" w:rsidRPr="0017128B">
        <w:rPr>
          <w:rFonts w:eastAsia="MS Mincho"/>
          <w:lang w:val="en-US"/>
        </w:rPr>
        <w:t>opportunities</w:t>
      </w:r>
      <w:r w:rsidR="000476A6" w:rsidRPr="0017128B">
        <w:rPr>
          <w:rFonts w:eastAsia="MS Mincho"/>
          <w:lang w:val="en-US"/>
        </w:rPr>
        <w:t xml:space="preserve"> </w:t>
      </w:r>
      <w:r w:rsidR="00312CA7" w:rsidRPr="0017128B">
        <w:rPr>
          <w:rFonts w:eastAsia="MS Mincho"/>
          <w:lang w:val="en-US"/>
        </w:rPr>
        <w:t xml:space="preserve">for research into a range of topics including pancreatic cancer, dementia and cardiovascular disease </w:t>
      </w:r>
      <w:r w:rsidR="00E30F6C" w:rsidRPr="0017128B">
        <w:rPr>
          <w:rFonts w:eastAsia="MS Mincho"/>
          <w:lang w:val="en-US"/>
        </w:rPr>
        <w:t>(full table further below).</w:t>
      </w:r>
    </w:p>
    <w:p w14:paraId="543733CB" w14:textId="77777777" w:rsidR="0017128B" w:rsidRDefault="0017128B">
      <w:pPr>
        <w:spacing w:before="0" w:line="240" w:lineRule="auto"/>
        <w:rPr>
          <w:rFonts w:eastAsia="MS Gothic"/>
          <w:b/>
          <w:bCs/>
          <w:color w:val="153A6E"/>
          <w:szCs w:val="26"/>
          <w:lang w:val="en-US"/>
        </w:rPr>
      </w:pPr>
      <w:r>
        <w:br w:type="page"/>
      </w:r>
    </w:p>
    <w:p w14:paraId="4E29C26B" w14:textId="48F40380" w:rsidR="00F41080" w:rsidRPr="0017128B" w:rsidRDefault="00F41080" w:rsidP="00F41080">
      <w:pPr>
        <w:pStyle w:val="Heading1"/>
      </w:pPr>
      <w:r w:rsidRPr="0017128B">
        <w:lastRenderedPageBreak/>
        <w:t>Why is this important?</w:t>
      </w:r>
    </w:p>
    <w:p w14:paraId="331472BD" w14:textId="6CDBB945" w:rsidR="00F41080" w:rsidRPr="0017128B" w:rsidRDefault="00F41080" w:rsidP="00F41080">
      <w:pPr>
        <w:rPr>
          <w:rFonts w:eastAsia="MS Mincho"/>
          <w:lang w:val="en-US"/>
        </w:rPr>
      </w:pPr>
      <w:r w:rsidRPr="0017128B">
        <w:rPr>
          <w:rFonts w:eastAsia="MS Mincho"/>
          <w:lang w:val="en-US"/>
        </w:rPr>
        <w:t xml:space="preserve">The amount of funding </w:t>
      </w:r>
      <w:r w:rsidR="00E30F6C" w:rsidRPr="0017128B">
        <w:rPr>
          <w:rFonts w:eastAsia="MS Mincho"/>
          <w:lang w:val="en-US"/>
        </w:rPr>
        <w:t>disbursed</w:t>
      </w:r>
      <w:r w:rsidRPr="0017128B">
        <w:rPr>
          <w:rFonts w:eastAsia="MS Mincho"/>
          <w:lang w:val="en-US"/>
        </w:rPr>
        <w:t xml:space="preserve"> through the MRFF has </w:t>
      </w:r>
      <w:r w:rsidR="000476A6" w:rsidRPr="0017128B">
        <w:rPr>
          <w:rFonts w:eastAsia="MS Mincho"/>
          <w:lang w:val="en-US"/>
        </w:rPr>
        <w:t>grown from $61 million in 2016</w:t>
      </w:r>
      <w:r w:rsidR="00B34CB3" w:rsidRPr="0017128B">
        <w:rPr>
          <w:rFonts w:eastAsia="MS Mincho"/>
          <w:lang w:val="en-US"/>
        </w:rPr>
        <w:t>–</w:t>
      </w:r>
      <w:r w:rsidRPr="0017128B">
        <w:rPr>
          <w:rFonts w:eastAsia="MS Mincho"/>
          <w:lang w:val="en-US"/>
        </w:rPr>
        <w:t>17 to $</w:t>
      </w:r>
      <w:r w:rsidR="000476A6" w:rsidRPr="0017128B">
        <w:rPr>
          <w:rFonts w:eastAsia="MS Mincho"/>
          <w:lang w:val="en-US"/>
        </w:rPr>
        <w:t>650</w:t>
      </w:r>
      <w:r w:rsidRPr="0017128B">
        <w:rPr>
          <w:rFonts w:eastAsia="MS Mincho"/>
          <w:lang w:val="en-US"/>
        </w:rPr>
        <w:t xml:space="preserve"> million in 202</w:t>
      </w:r>
      <w:r w:rsidR="00457F1F" w:rsidRPr="0017128B">
        <w:rPr>
          <w:rFonts w:eastAsia="MS Mincho"/>
          <w:lang w:val="en-US"/>
        </w:rPr>
        <w:t>2</w:t>
      </w:r>
      <w:r w:rsidR="00A81F44" w:rsidRPr="0017128B">
        <w:rPr>
          <w:rFonts w:eastAsia="MS Mincho"/>
          <w:lang w:val="en-US"/>
        </w:rPr>
        <w:t>–</w:t>
      </w:r>
      <w:r w:rsidRPr="0017128B">
        <w:rPr>
          <w:rFonts w:eastAsia="MS Mincho"/>
          <w:lang w:val="en-US"/>
        </w:rPr>
        <w:t>2</w:t>
      </w:r>
      <w:r w:rsidR="00457F1F" w:rsidRPr="0017128B">
        <w:rPr>
          <w:rFonts w:eastAsia="MS Mincho"/>
          <w:lang w:val="en-US"/>
        </w:rPr>
        <w:t>3</w:t>
      </w:r>
      <w:r w:rsidRPr="0017128B">
        <w:rPr>
          <w:rFonts w:eastAsia="MS Mincho"/>
          <w:lang w:val="en-US"/>
        </w:rPr>
        <w:t>.</w:t>
      </w:r>
    </w:p>
    <w:p w14:paraId="32829DC5" w14:textId="2E3B5A52" w:rsidR="00F41080" w:rsidRPr="0017128B" w:rsidRDefault="00F41080" w:rsidP="00F41080">
      <w:pPr>
        <w:rPr>
          <w:rFonts w:eastAsia="MS Mincho"/>
          <w:lang w:val="en-US"/>
        </w:rPr>
      </w:pPr>
      <w:r w:rsidRPr="0017128B">
        <w:rPr>
          <w:rFonts w:eastAsia="MS Mincho"/>
          <w:lang w:val="en-US"/>
        </w:rPr>
        <w:t>Appropriations to NHMRC’s Medical Research Endowment Account (MREA) increased from $689 million in the 2012</w:t>
      </w:r>
      <w:r w:rsidR="00B34CB3" w:rsidRPr="0017128B">
        <w:rPr>
          <w:rFonts w:eastAsia="MS Mincho"/>
          <w:lang w:val="en-US"/>
        </w:rPr>
        <w:t>–</w:t>
      </w:r>
      <w:r w:rsidRPr="0017128B">
        <w:rPr>
          <w:rFonts w:eastAsia="MS Mincho"/>
          <w:lang w:val="en-US"/>
        </w:rPr>
        <w:t>13 financial year to $</w:t>
      </w:r>
      <w:r w:rsidR="007B62CE" w:rsidRPr="0017128B">
        <w:rPr>
          <w:rFonts w:eastAsia="MS Mincho"/>
          <w:lang w:val="en-US"/>
        </w:rPr>
        <w:t>8</w:t>
      </w:r>
      <w:r w:rsidR="00B93231" w:rsidRPr="0017128B">
        <w:rPr>
          <w:rFonts w:eastAsia="MS Mincho"/>
          <w:lang w:val="en-US"/>
        </w:rPr>
        <w:t>9</w:t>
      </w:r>
      <w:r w:rsidR="007B62CE" w:rsidRPr="0017128B">
        <w:rPr>
          <w:rFonts w:eastAsia="MS Mincho"/>
          <w:lang w:val="en-US"/>
        </w:rPr>
        <w:t>8</w:t>
      </w:r>
      <w:r w:rsidR="00B93231" w:rsidRPr="0017128B">
        <w:rPr>
          <w:rFonts w:eastAsia="MS Mincho"/>
          <w:lang w:val="en-US"/>
        </w:rPr>
        <w:t>.3</w:t>
      </w:r>
      <w:r w:rsidRPr="0017128B">
        <w:rPr>
          <w:rFonts w:eastAsia="MS Mincho"/>
          <w:lang w:val="en-US"/>
        </w:rPr>
        <w:t xml:space="preserve"> million in 202</w:t>
      </w:r>
      <w:r w:rsidR="00457F1F" w:rsidRPr="0017128B">
        <w:rPr>
          <w:rFonts w:eastAsia="MS Mincho"/>
          <w:lang w:val="en-US"/>
        </w:rPr>
        <w:t>2</w:t>
      </w:r>
      <w:r w:rsidR="00A81F44" w:rsidRPr="0017128B">
        <w:rPr>
          <w:rFonts w:eastAsia="MS Mincho"/>
          <w:lang w:val="en-US"/>
        </w:rPr>
        <w:t>–2</w:t>
      </w:r>
      <w:r w:rsidR="00457F1F" w:rsidRPr="0017128B">
        <w:rPr>
          <w:rFonts w:eastAsia="MS Mincho"/>
          <w:lang w:val="en-US"/>
        </w:rPr>
        <w:t>3</w:t>
      </w:r>
      <w:r w:rsidRPr="0017128B">
        <w:rPr>
          <w:rFonts w:eastAsia="MS Mincho"/>
          <w:lang w:val="en-US"/>
        </w:rPr>
        <w:t>. New commitments are expected to</w:t>
      </w:r>
      <w:r w:rsidR="007B62CE" w:rsidRPr="0017128B">
        <w:rPr>
          <w:rFonts w:eastAsia="MS Mincho"/>
          <w:lang w:val="en-US"/>
        </w:rPr>
        <w:t xml:space="preserve"> reach</w:t>
      </w:r>
      <w:r w:rsidRPr="0017128B">
        <w:rPr>
          <w:rFonts w:eastAsia="MS Mincho"/>
          <w:lang w:val="en-US"/>
        </w:rPr>
        <w:t xml:space="preserve"> $</w:t>
      </w:r>
      <w:r w:rsidR="007B62CE" w:rsidRPr="0017128B">
        <w:rPr>
          <w:rFonts w:eastAsia="MS Mincho"/>
          <w:lang w:val="en-US"/>
        </w:rPr>
        <w:t>920 million</w:t>
      </w:r>
      <w:r w:rsidRPr="0017128B">
        <w:rPr>
          <w:rFonts w:eastAsia="MS Mincho"/>
          <w:lang w:val="en-US"/>
        </w:rPr>
        <w:t xml:space="preserve"> for the 202</w:t>
      </w:r>
      <w:r w:rsidR="00457F1F" w:rsidRPr="0017128B">
        <w:rPr>
          <w:rFonts w:eastAsia="MS Mincho"/>
          <w:lang w:val="en-US"/>
        </w:rPr>
        <w:t>2</w:t>
      </w:r>
      <w:r w:rsidRPr="0017128B">
        <w:rPr>
          <w:rFonts w:eastAsia="MS Mincho"/>
          <w:lang w:val="en-US"/>
        </w:rPr>
        <w:t xml:space="preserve"> NHMRC grant round.</w:t>
      </w:r>
    </w:p>
    <w:p w14:paraId="57EB51A0" w14:textId="77777777" w:rsidR="00F41080" w:rsidRPr="0017128B" w:rsidRDefault="00F41080" w:rsidP="00F41080">
      <w:pPr>
        <w:rPr>
          <w:rFonts w:eastAsia="MS Mincho"/>
          <w:lang w:val="en-US"/>
        </w:rPr>
      </w:pPr>
      <w:r w:rsidRPr="0017128B">
        <w:rPr>
          <w:rFonts w:eastAsia="MS Mincho"/>
          <w:lang w:val="en-US"/>
        </w:rPr>
        <w:t>The continued investment in health and medical research helps drive innovation and development of breakthroughs in health, which lead to improved patient outcomes, jobs growth and significant economic returns.</w:t>
      </w:r>
    </w:p>
    <w:p w14:paraId="79A756C4" w14:textId="77777777" w:rsidR="00F41080" w:rsidRPr="0017128B" w:rsidRDefault="00F41080" w:rsidP="00F41080">
      <w:pPr>
        <w:pStyle w:val="Heading1"/>
      </w:pPr>
      <w:r w:rsidRPr="0017128B">
        <w:t>Who will benefit?</w:t>
      </w:r>
    </w:p>
    <w:p w14:paraId="23B88FC5" w14:textId="2CC4378B" w:rsidR="00F41080" w:rsidRPr="0017128B" w:rsidRDefault="00F41080" w:rsidP="00F41080">
      <w:pPr>
        <w:rPr>
          <w:rFonts w:eastAsia="MS Mincho"/>
          <w:lang w:val="en-US"/>
        </w:rPr>
      </w:pPr>
      <w:r w:rsidRPr="0017128B">
        <w:rPr>
          <w:rFonts w:eastAsia="MS Mincho"/>
          <w:lang w:val="en-US"/>
        </w:rPr>
        <w:t xml:space="preserve">The Government’s investment in research grants will ultimately lead to improvements in the </w:t>
      </w:r>
      <w:r w:rsidR="00196331" w:rsidRPr="0017128B">
        <w:rPr>
          <w:rFonts w:eastAsia="MS Mincho"/>
          <w:lang w:val="en-US"/>
        </w:rPr>
        <w:t>health and well</w:t>
      </w:r>
      <w:r w:rsidR="00A54667" w:rsidRPr="0017128B">
        <w:rPr>
          <w:rFonts w:eastAsia="MS Mincho"/>
          <w:lang w:val="en-US"/>
        </w:rPr>
        <w:t>be</w:t>
      </w:r>
      <w:r w:rsidR="00196331" w:rsidRPr="0017128B">
        <w:rPr>
          <w:rFonts w:eastAsia="MS Mincho"/>
          <w:lang w:val="en-US"/>
        </w:rPr>
        <w:t xml:space="preserve">ing of Australians. </w:t>
      </w:r>
      <w:r w:rsidR="006927C3" w:rsidRPr="0017128B">
        <w:rPr>
          <w:rFonts w:eastAsia="MS Mincho"/>
          <w:lang w:val="en-US"/>
        </w:rPr>
        <w:t>Some of the grants aim</w:t>
      </w:r>
      <w:r w:rsidR="00196331" w:rsidRPr="0017128B">
        <w:rPr>
          <w:rFonts w:eastAsia="MS Mincho"/>
          <w:lang w:val="en-US"/>
        </w:rPr>
        <w:t xml:space="preserve"> to improve </w:t>
      </w:r>
      <w:r w:rsidRPr="0017128B">
        <w:rPr>
          <w:rFonts w:eastAsia="MS Mincho"/>
          <w:lang w:val="en-US"/>
        </w:rPr>
        <w:t xml:space="preserve">treatment and quality of life for Australians who suffer from a wide range of diseases and conditions, including </w:t>
      </w:r>
      <w:r w:rsidR="00312CA7" w:rsidRPr="0017128B">
        <w:rPr>
          <w:rFonts w:eastAsia="MS Mincho"/>
          <w:lang w:val="en-US"/>
        </w:rPr>
        <w:t>pancreatic cancer, dementia, cardiovascular disease and multiple sclerosis</w:t>
      </w:r>
      <w:r w:rsidRPr="0017128B">
        <w:rPr>
          <w:rFonts w:eastAsia="MS Mincho"/>
          <w:lang w:val="en-US"/>
        </w:rPr>
        <w:t xml:space="preserve">. </w:t>
      </w:r>
      <w:r w:rsidR="006927C3" w:rsidRPr="0017128B">
        <w:rPr>
          <w:rFonts w:eastAsia="MS Mincho"/>
          <w:lang w:val="en-US"/>
        </w:rPr>
        <w:t xml:space="preserve">Other grants focus on research to prevent illness from occurring in the first place or improving diagnosis. </w:t>
      </w:r>
      <w:r w:rsidR="00196331" w:rsidRPr="0017128B">
        <w:rPr>
          <w:rFonts w:eastAsia="MS Mincho"/>
          <w:lang w:val="en-US"/>
        </w:rPr>
        <w:t>Other</w:t>
      </w:r>
      <w:r w:rsidR="006927C3" w:rsidRPr="0017128B">
        <w:rPr>
          <w:rFonts w:eastAsia="MS Mincho"/>
          <w:lang w:val="en-US"/>
        </w:rPr>
        <w:t>s</w:t>
      </w:r>
      <w:r w:rsidR="00196331" w:rsidRPr="0017128B">
        <w:rPr>
          <w:rFonts w:eastAsia="MS Mincho"/>
          <w:lang w:val="en-US"/>
        </w:rPr>
        <w:t xml:space="preserve"> </w:t>
      </w:r>
      <w:r w:rsidR="00312CA7" w:rsidRPr="0017128B">
        <w:rPr>
          <w:rFonts w:eastAsia="MS Mincho"/>
          <w:lang w:val="en-US"/>
        </w:rPr>
        <w:t xml:space="preserve">support research to improve the wellbeing of Indigenous </w:t>
      </w:r>
      <w:r w:rsidR="006B37B6" w:rsidRPr="0017128B">
        <w:rPr>
          <w:rFonts w:eastAsia="MS Mincho"/>
          <w:lang w:val="en-US"/>
        </w:rPr>
        <w:t>mothers and their babies</w:t>
      </w:r>
      <w:r w:rsidR="00312CA7" w:rsidRPr="0017128B">
        <w:rPr>
          <w:rFonts w:eastAsia="MS Mincho"/>
          <w:lang w:val="en-US"/>
        </w:rPr>
        <w:t xml:space="preserve"> as well as </w:t>
      </w:r>
      <w:r w:rsidR="00220D62" w:rsidRPr="0017128B">
        <w:rPr>
          <w:rFonts w:eastAsia="MS Mincho"/>
          <w:lang w:val="en-US"/>
        </w:rPr>
        <w:t>Australians</w:t>
      </w:r>
      <w:r w:rsidR="00312CA7" w:rsidRPr="0017128B">
        <w:rPr>
          <w:rFonts w:eastAsia="MS Mincho"/>
          <w:lang w:val="en-US"/>
        </w:rPr>
        <w:t xml:space="preserve"> living in rural and remote areas</w:t>
      </w:r>
      <w:r w:rsidR="006927C3" w:rsidRPr="0017128B">
        <w:rPr>
          <w:rFonts w:eastAsia="MS Mincho"/>
          <w:lang w:val="en-US"/>
        </w:rPr>
        <w:t>.</w:t>
      </w:r>
      <w:r w:rsidR="00646243" w:rsidRPr="0017128B">
        <w:rPr>
          <w:rFonts w:eastAsia="MS Mincho"/>
          <w:lang w:val="en-US"/>
        </w:rPr>
        <w:t xml:space="preserve"> </w:t>
      </w:r>
    </w:p>
    <w:p w14:paraId="7A704810" w14:textId="77777777" w:rsidR="00F41080" w:rsidRPr="0017128B" w:rsidRDefault="00F41080" w:rsidP="00F41080">
      <w:pPr>
        <w:pStyle w:val="Heading1"/>
      </w:pPr>
      <w:r w:rsidRPr="0017128B">
        <w:t>How much will this cost?</w:t>
      </w:r>
    </w:p>
    <w:p w14:paraId="4089834D" w14:textId="296DE470" w:rsidR="00F41080" w:rsidRPr="003D4667" w:rsidRDefault="00F41080" w:rsidP="00F41080">
      <w:pPr>
        <w:rPr>
          <w:rFonts w:eastAsia="MS Mincho"/>
          <w:lang w:val="en-US"/>
        </w:rPr>
      </w:pPr>
      <w:r w:rsidRPr="0017128B">
        <w:rPr>
          <w:rFonts w:eastAsia="MS Mincho"/>
          <w:lang w:val="en-US"/>
        </w:rPr>
        <w:t xml:space="preserve">The Australian Government is investing or allocating </w:t>
      </w:r>
      <w:r w:rsidR="00224B16" w:rsidRPr="0017128B">
        <w:rPr>
          <w:rFonts w:eastAsia="MS Mincho"/>
          <w:lang w:val="en-US"/>
        </w:rPr>
        <w:t>$</w:t>
      </w:r>
      <w:r w:rsidR="00916E1C" w:rsidRPr="0017128B">
        <w:rPr>
          <w:rFonts w:eastAsia="MS Mincho"/>
          <w:lang w:val="en-US"/>
        </w:rPr>
        <w:t>303</w:t>
      </w:r>
      <w:r w:rsidR="00224B16" w:rsidRPr="0017128B">
        <w:rPr>
          <w:rFonts w:eastAsia="MS Mincho"/>
          <w:lang w:val="en-US"/>
        </w:rPr>
        <w:t xml:space="preserve">.5 million </w:t>
      </w:r>
      <w:r w:rsidRPr="0017128B">
        <w:rPr>
          <w:rFonts w:eastAsia="MS Mincho"/>
          <w:lang w:val="en-US"/>
        </w:rPr>
        <w:t>in new grants and funding programs.</w:t>
      </w:r>
      <w:r w:rsidRPr="003D4667">
        <w:rPr>
          <w:rFonts w:eastAsia="MS Mincho"/>
          <w:lang w:val="en-US"/>
        </w:rPr>
        <w:t xml:space="preserve">  </w:t>
      </w:r>
    </w:p>
    <w:p w14:paraId="7F54DBA5" w14:textId="061FC25B" w:rsidR="00F41080" w:rsidRPr="0017128B" w:rsidRDefault="00496EAA" w:rsidP="0017128B">
      <w:pPr>
        <w:pStyle w:val="Heading1"/>
      </w:pPr>
      <w:r w:rsidRPr="0017128B">
        <w:t xml:space="preserve">Medical Research Future Fund, </w:t>
      </w:r>
      <w:r w:rsidR="00F41080" w:rsidRPr="0017128B">
        <w:t>Grant Opportunity Outcomes</w:t>
      </w:r>
      <w:r w:rsidR="00404761" w:rsidRPr="0017128B">
        <w:t xml:space="preserve"> (Summary)</w:t>
      </w:r>
    </w:p>
    <w:tbl>
      <w:tblPr>
        <w:tblW w:w="9204" w:type="dxa"/>
        <w:tblCellMar>
          <w:top w:w="57" w:type="dxa"/>
          <w:left w:w="57" w:type="dxa"/>
          <w:bottom w:w="113" w:type="dxa"/>
          <w:right w:w="57" w:type="dxa"/>
        </w:tblCellMar>
        <w:tblLook w:val="04A0" w:firstRow="1" w:lastRow="0" w:firstColumn="1" w:lastColumn="0" w:noHBand="0" w:noVBand="1"/>
      </w:tblPr>
      <w:tblGrid>
        <w:gridCol w:w="4668"/>
        <w:gridCol w:w="4536"/>
      </w:tblGrid>
      <w:tr w:rsidR="00F41080" w:rsidRPr="000E1AE5" w14:paraId="17724E04" w14:textId="77777777" w:rsidTr="00F976DF">
        <w:trPr>
          <w:tblHeader/>
        </w:trPr>
        <w:tc>
          <w:tcPr>
            <w:tcW w:w="9204" w:type="dxa"/>
            <w:gridSpan w:val="2"/>
            <w:tcBorders>
              <w:top w:val="single" w:sz="8" w:space="0" w:color="auto"/>
              <w:left w:val="single" w:sz="8" w:space="0" w:color="auto"/>
              <w:bottom w:val="single" w:sz="8" w:space="0" w:color="auto"/>
              <w:right w:val="single" w:sz="8" w:space="0" w:color="auto"/>
            </w:tcBorders>
            <w:shd w:val="clear" w:color="auto" w:fill="ACC02A"/>
            <w:tcMar>
              <w:top w:w="0" w:type="dxa"/>
              <w:left w:w="108" w:type="dxa"/>
              <w:bottom w:w="0" w:type="dxa"/>
              <w:right w:w="108" w:type="dxa"/>
            </w:tcMar>
            <w:vAlign w:val="center"/>
            <w:hideMark/>
          </w:tcPr>
          <w:p w14:paraId="757B54D4" w14:textId="77777777" w:rsidR="00F41080" w:rsidRPr="000E1AE5" w:rsidRDefault="00F41080" w:rsidP="0017128B">
            <w:pPr>
              <w:pStyle w:val="Tableheader"/>
              <w:spacing w:after="120"/>
              <w:rPr>
                <w:sz w:val="20"/>
              </w:rPr>
            </w:pPr>
            <w:r w:rsidRPr="00496EAA">
              <w:rPr>
                <w:color w:val="auto"/>
                <w:sz w:val="20"/>
              </w:rPr>
              <w:t>Medical Research Future Fund – Grant Opportunity Outcomes</w:t>
            </w:r>
          </w:p>
        </w:tc>
      </w:tr>
      <w:tr w:rsidR="00F41080" w:rsidRPr="000E1AE5" w14:paraId="4F1EE090" w14:textId="77777777" w:rsidTr="00F976DF">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27B2D1" w14:textId="0FA30312" w:rsidR="00F41080" w:rsidRPr="000E1AE5" w:rsidRDefault="00AF55BC" w:rsidP="0017128B">
            <w:pPr>
              <w:spacing w:after="120" w:line="240" w:lineRule="auto"/>
              <w:rPr>
                <w:rFonts w:cs="Arial"/>
                <w:bCs/>
                <w:iCs/>
                <w:sz w:val="20"/>
                <w:szCs w:val="20"/>
              </w:rPr>
            </w:pPr>
            <w:r w:rsidRPr="000E1AE5">
              <w:rPr>
                <w:rFonts w:cs="Arial"/>
                <w:bCs/>
                <w:iCs/>
                <w:sz w:val="20"/>
                <w:szCs w:val="20"/>
              </w:rPr>
              <w:t xml:space="preserve">2021 Improving the Health and Wellbeing of Indigenous Mothers and Babies </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79909B16" w14:textId="0BD013E0" w:rsidR="00F41080" w:rsidRPr="000E1AE5" w:rsidRDefault="007A27B4" w:rsidP="0017128B">
            <w:pPr>
              <w:pStyle w:val="Tablebullet"/>
              <w:numPr>
                <w:ilvl w:val="0"/>
                <w:numId w:val="10"/>
              </w:numPr>
              <w:spacing w:after="120"/>
              <w:ind w:left="395"/>
              <w:rPr>
                <w:rFonts w:eastAsiaTheme="minorEastAsia"/>
                <w:color w:val="auto"/>
                <w:sz w:val="20"/>
              </w:rPr>
            </w:pPr>
            <w:r w:rsidRPr="000E1AE5">
              <w:rPr>
                <w:rFonts w:eastAsiaTheme="minorEastAsia"/>
                <w:color w:val="auto"/>
                <w:sz w:val="20"/>
              </w:rPr>
              <w:t>$</w:t>
            </w:r>
            <w:r w:rsidR="00AF55BC" w:rsidRPr="000E1AE5">
              <w:rPr>
                <w:rFonts w:eastAsiaTheme="minorEastAsia"/>
                <w:color w:val="auto"/>
                <w:sz w:val="20"/>
              </w:rPr>
              <w:t>18.4 million</w:t>
            </w:r>
          </w:p>
          <w:p w14:paraId="6903BAB7" w14:textId="6B4ED24B" w:rsidR="007A27B4" w:rsidRPr="000E1AE5" w:rsidRDefault="00AF55BC" w:rsidP="0017128B">
            <w:pPr>
              <w:pStyle w:val="Tablebullet"/>
              <w:numPr>
                <w:ilvl w:val="0"/>
                <w:numId w:val="10"/>
              </w:numPr>
              <w:spacing w:after="120"/>
              <w:ind w:left="395"/>
              <w:rPr>
                <w:rFonts w:eastAsiaTheme="minorEastAsia"/>
                <w:color w:val="auto"/>
                <w:sz w:val="20"/>
              </w:rPr>
            </w:pPr>
            <w:r w:rsidRPr="000E1AE5">
              <w:rPr>
                <w:rFonts w:eastAsiaTheme="minorEastAsia"/>
                <w:color w:val="auto"/>
                <w:sz w:val="20"/>
              </w:rPr>
              <w:t>5</w:t>
            </w:r>
            <w:r w:rsidR="007A27B4" w:rsidRPr="000E1AE5">
              <w:rPr>
                <w:rFonts w:eastAsiaTheme="minorEastAsia"/>
                <w:color w:val="auto"/>
                <w:sz w:val="20"/>
              </w:rPr>
              <w:t xml:space="preserve"> grants awarded</w:t>
            </w:r>
          </w:p>
        </w:tc>
      </w:tr>
      <w:tr w:rsidR="00F41080" w:rsidRPr="000E1AE5" w14:paraId="0927FB96" w14:textId="77777777" w:rsidTr="00F976DF">
        <w:tc>
          <w:tcPr>
            <w:tcW w:w="4668" w:type="dxa"/>
            <w:tcBorders>
              <w:top w:val="nil"/>
              <w:left w:val="single" w:sz="8" w:space="0" w:color="auto"/>
              <w:bottom w:val="single" w:sz="8" w:space="0" w:color="auto"/>
              <w:right w:val="single" w:sz="8" w:space="0" w:color="auto"/>
            </w:tcBorders>
            <w:shd w:val="clear" w:color="auto" w:fill="EAF1C1"/>
            <w:tcMar>
              <w:top w:w="0" w:type="dxa"/>
              <w:left w:w="108" w:type="dxa"/>
              <w:bottom w:w="0" w:type="dxa"/>
              <w:right w:w="108" w:type="dxa"/>
            </w:tcMar>
          </w:tcPr>
          <w:p w14:paraId="6E99C53C" w14:textId="2C2095F0" w:rsidR="00F41080" w:rsidRPr="000E1AE5" w:rsidRDefault="00AF55BC" w:rsidP="0017128B">
            <w:pPr>
              <w:spacing w:after="120" w:line="240" w:lineRule="auto"/>
              <w:rPr>
                <w:rFonts w:cs="Arial"/>
                <w:bCs/>
                <w:iCs/>
                <w:sz w:val="20"/>
                <w:szCs w:val="20"/>
              </w:rPr>
            </w:pPr>
            <w:r w:rsidRPr="000E1AE5">
              <w:rPr>
                <w:rFonts w:cs="Arial"/>
                <w:bCs/>
                <w:iCs/>
                <w:sz w:val="20"/>
                <w:szCs w:val="20"/>
              </w:rPr>
              <w:t>2020 Clinician Researchers: Applied Research in Health</w:t>
            </w:r>
          </w:p>
        </w:tc>
        <w:tc>
          <w:tcPr>
            <w:tcW w:w="4536" w:type="dxa"/>
            <w:tcBorders>
              <w:top w:val="nil"/>
              <w:left w:val="nil"/>
              <w:bottom w:val="single" w:sz="8" w:space="0" w:color="auto"/>
              <w:right w:val="single" w:sz="8" w:space="0" w:color="auto"/>
            </w:tcBorders>
            <w:shd w:val="clear" w:color="auto" w:fill="EAF1C1"/>
            <w:tcMar>
              <w:top w:w="0" w:type="dxa"/>
              <w:left w:w="108" w:type="dxa"/>
              <w:bottom w:w="0" w:type="dxa"/>
              <w:right w:w="108" w:type="dxa"/>
            </w:tcMar>
          </w:tcPr>
          <w:p w14:paraId="319FF629" w14:textId="1C618601" w:rsidR="00AF55BC" w:rsidRPr="00A370A4" w:rsidRDefault="00AF55BC" w:rsidP="0017128B">
            <w:pPr>
              <w:pStyle w:val="Tablebullet"/>
              <w:numPr>
                <w:ilvl w:val="0"/>
                <w:numId w:val="10"/>
              </w:numPr>
              <w:spacing w:after="120"/>
              <w:ind w:left="395"/>
              <w:rPr>
                <w:rFonts w:eastAsiaTheme="minorEastAsia"/>
                <w:color w:val="auto"/>
                <w:sz w:val="20"/>
              </w:rPr>
            </w:pPr>
            <w:r w:rsidRPr="00A370A4">
              <w:rPr>
                <w:rFonts w:eastAsiaTheme="minorEastAsia"/>
                <w:color w:val="auto"/>
                <w:sz w:val="20"/>
              </w:rPr>
              <w:t>$32.0 million</w:t>
            </w:r>
          </w:p>
          <w:p w14:paraId="1C306F3B" w14:textId="509F2E6B" w:rsidR="00F41080" w:rsidRPr="000E1AE5" w:rsidRDefault="00AF55BC" w:rsidP="0017128B">
            <w:pPr>
              <w:pStyle w:val="Tablebullet"/>
              <w:numPr>
                <w:ilvl w:val="0"/>
                <w:numId w:val="10"/>
              </w:numPr>
              <w:spacing w:after="120"/>
              <w:ind w:left="395"/>
              <w:rPr>
                <w:rFonts w:eastAsiaTheme="minorEastAsia"/>
                <w:color w:val="auto"/>
                <w:sz w:val="20"/>
              </w:rPr>
            </w:pPr>
            <w:r w:rsidRPr="00A370A4">
              <w:rPr>
                <w:rFonts w:eastAsiaTheme="minorEastAsia"/>
                <w:color w:val="auto"/>
                <w:sz w:val="20"/>
              </w:rPr>
              <w:t>14 grants awarded</w:t>
            </w:r>
          </w:p>
        </w:tc>
      </w:tr>
    </w:tbl>
    <w:p w14:paraId="553F4F55" w14:textId="78D357A7" w:rsidR="0017128B" w:rsidRDefault="0017128B">
      <w:pPr>
        <w:spacing w:before="0" w:line="240" w:lineRule="auto"/>
        <w:rPr>
          <w:rFonts w:eastAsia="MS Gothic" w:cstheme="majorBidi"/>
          <w:color w:val="153A6E"/>
          <w:sz w:val="36"/>
          <w:szCs w:val="36"/>
          <w:lang w:val="en-US"/>
        </w:rPr>
      </w:pPr>
    </w:p>
    <w:p w14:paraId="0FC08453" w14:textId="64CADAF8" w:rsidR="0025254C" w:rsidRPr="0017128B" w:rsidRDefault="00F41080" w:rsidP="0017128B">
      <w:pPr>
        <w:pStyle w:val="Heading1"/>
      </w:pPr>
      <w:r w:rsidRPr="0017128B">
        <w:t>Medical Research Future Fund, Grant Opportunities Opening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4A0" w:firstRow="1" w:lastRow="0" w:firstColumn="1" w:lastColumn="0" w:noHBand="0" w:noVBand="1"/>
      </w:tblPr>
      <w:tblGrid>
        <w:gridCol w:w="6379"/>
        <w:gridCol w:w="1276"/>
        <w:gridCol w:w="1559"/>
      </w:tblGrid>
      <w:tr w:rsidR="00456C33" w:rsidRPr="006B37B6" w14:paraId="09E90BB7" w14:textId="77777777" w:rsidTr="00F976DF">
        <w:trPr>
          <w:cantSplit/>
          <w:trHeight w:val="570"/>
          <w:tblHeader/>
        </w:trPr>
        <w:tc>
          <w:tcPr>
            <w:tcW w:w="6379" w:type="dxa"/>
            <w:shd w:val="clear" w:color="auto" w:fill="ACC02A"/>
            <w:vAlign w:val="center"/>
          </w:tcPr>
          <w:p w14:paraId="25B8AA9A" w14:textId="77777777" w:rsidR="00456C33" w:rsidRPr="006B37B6" w:rsidRDefault="00456C33" w:rsidP="0017128B">
            <w:pPr>
              <w:spacing w:line="240" w:lineRule="auto"/>
              <w:jc w:val="center"/>
              <w:rPr>
                <w:rFonts w:eastAsia="Times New Roman" w:cs="Arial"/>
                <w:b/>
                <w:sz w:val="20"/>
                <w:szCs w:val="20"/>
              </w:rPr>
            </w:pPr>
            <w:r w:rsidRPr="006B37B6">
              <w:rPr>
                <w:rFonts w:eastAsia="Times New Roman" w:cs="Arial"/>
                <w:b/>
                <w:sz w:val="20"/>
                <w:szCs w:val="20"/>
              </w:rPr>
              <w:t>Grant Opportunity</w:t>
            </w:r>
          </w:p>
        </w:tc>
        <w:tc>
          <w:tcPr>
            <w:tcW w:w="1276" w:type="dxa"/>
            <w:shd w:val="clear" w:color="auto" w:fill="ACC02A"/>
            <w:vAlign w:val="center"/>
          </w:tcPr>
          <w:p w14:paraId="38759928" w14:textId="77777777" w:rsidR="00456C33" w:rsidRPr="006B37B6" w:rsidRDefault="00456C33" w:rsidP="0017128B">
            <w:pPr>
              <w:spacing w:line="240" w:lineRule="auto"/>
              <w:jc w:val="center"/>
              <w:rPr>
                <w:rFonts w:eastAsia="Times New Roman" w:cs="Arial"/>
                <w:b/>
                <w:sz w:val="20"/>
                <w:szCs w:val="20"/>
              </w:rPr>
            </w:pPr>
            <w:r w:rsidRPr="006B37B6">
              <w:rPr>
                <w:rFonts w:eastAsia="Times New Roman" w:cs="Arial"/>
                <w:b/>
                <w:sz w:val="20"/>
                <w:szCs w:val="20"/>
              </w:rPr>
              <w:t>Available funding ($)</w:t>
            </w:r>
          </w:p>
        </w:tc>
        <w:tc>
          <w:tcPr>
            <w:tcW w:w="1559" w:type="dxa"/>
            <w:shd w:val="clear" w:color="auto" w:fill="ACC02A"/>
            <w:vAlign w:val="center"/>
          </w:tcPr>
          <w:p w14:paraId="12816AC0" w14:textId="3DC44257" w:rsidR="00456C33" w:rsidRPr="006B37B6" w:rsidRDefault="004638EA" w:rsidP="0017128B">
            <w:pPr>
              <w:spacing w:line="240" w:lineRule="auto"/>
              <w:jc w:val="center"/>
              <w:rPr>
                <w:rFonts w:eastAsia="Times New Roman" w:cs="Arial"/>
                <w:b/>
                <w:sz w:val="20"/>
                <w:szCs w:val="20"/>
              </w:rPr>
            </w:pPr>
            <w:r>
              <w:rPr>
                <w:rFonts w:eastAsia="Times New Roman" w:cs="Arial"/>
                <w:b/>
                <w:sz w:val="20"/>
                <w:szCs w:val="20"/>
              </w:rPr>
              <w:t>Guidelines Available</w:t>
            </w:r>
          </w:p>
        </w:tc>
      </w:tr>
      <w:tr w:rsidR="00456C33" w:rsidRPr="006B37B6" w14:paraId="643DC0D8" w14:textId="77777777" w:rsidTr="00F976DF">
        <w:trPr>
          <w:cantSplit/>
        </w:trPr>
        <w:tc>
          <w:tcPr>
            <w:tcW w:w="6379" w:type="dxa"/>
            <w:shd w:val="clear" w:color="auto" w:fill="EAF1C1"/>
            <w:vAlign w:val="center"/>
          </w:tcPr>
          <w:p w14:paraId="72A9D2E3" w14:textId="6B5123AC" w:rsidR="00456C33" w:rsidRPr="006B37B6" w:rsidRDefault="0025254C" w:rsidP="0017128B">
            <w:pPr>
              <w:spacing w:after="120" w:line="240" w:lineRule="auto"/>
              <w:rPr>
                <w:rFonts w:cs="Arial"/>
                <w:bCs/>
                <w:iCs/>
                <w:sz w:val="20"/>
                <w:szCs w:val="20"/>
              </w:rPr>
            </w:pPr>
            <w:r w:rsidRPr="006B37B6">
              <w:rPr>
                <w:rFonts w:cs="Arial"/>
                <w:b/>
                <w:bCs/>
                <w:iCs/>
                <w:sz w:val="20"/>
                <w:szCs w:val="20"/>
              </w:rPr>
              <w:t>International Clinical Trials Collaborations</w:t>
            </w:r>
            <w:r w:rsidRPr="006B37B6">
              <w:rPr>
                <w:rFonts w:cs="Arial"/>
                <w:bCs/>
                <w:iCs/>
                <w:sz w:val="20"/>
                <w:szCs w:val="20"/>
              </w:rPr>
              <w:t xml:space="preserve"> to increase Australian leadership of, and participation in, high quality international collaborative clinical trials across </w:t>
            </w:r>
            <w:r w:rsidR="0003117D">
              <w:rPr>
                <w:rFonts w:cs="Arial"/>
                <w:bCs/>
                <w:iCs/>
                <w:sz w:val="20"/>
                <w:szCs w:val="20"/>
              </w:rPr>
              <w:t>six</w:t>
            </w:r>
            <w:r w:rsidR="0003117D" w:rsidRPr="006B37B6">
              <w:rPr>
                <w:rFonts w:cs="Arial"/>
                <w:bCs/>
                <w:iCs/>
                <w:sz w:val="20"/>
                <w:szCs w:val="20"/>
              </w:rPr>
              <w:t xml:space="preserve"> </w:t>
            </w:r>
            <w:r w:rsidRPr="006B37B6">
              <w:rPr>
                <w:rFonts w:cs="Arial"/>
                <w:bCs/>
                <w:iCs/>
                <w:sz w:val="20"/>
                <w:szCs w:val="20"/>
              </w:rPr>
              <w:t>grant opportunities over the next three years</w:t>
            </w:r>
          </w:p>
        </w:tc>
        <w:tc>
          <w:tcPr>
            <w:tcW w:w="1276" w:type="dxa"/>
            <w:shd w:val="clear" w:color="auto" w:fill="EAF1C1"/>
            <w:vAlign w:val="center"/>
          </w:tcPr>
          <w:p w14:paraId="0A892F6D" w14:textId="344E12A1" w:rsidR="00456C33" w:rsidRPr="006B37B6" w:rsidRDefault="0025254C" w:rsidP="0017128B">
            <w:pPr>
              <w:spacing w:line="240" w:lineRule="auto"/>
              <w:jc w:val="center"/>
              <w:rPr>
                <w:rFonts w:cs="Arial"/>
                <w:sz w:val="20"/>
                <w:szCs w:val="20"/>
              </w:rPr>
            </w:pPr>
            <w:r w:rsidRPr="006B37B6">
              <w:rPr>
                <w:rFonts w:cs="Arial"/>
                <w:bCs/>
                <w:iCs/>
                <w:sz w:val="20"/>
                <w:szCs w:val="20"/>
              </w:rPr>
              <w:t>37.8m</w:t>
            </w:r>
          </w:p>
        </w:tc>
        <w:tc>
          <w:tcPr>
            <w:tcW w:w="1559" w:type="dxa"/>
            <w:shd w:val="clear" w:color="auto" w:fill="EAF1C1"/>
            <w:vAlign w:val="center"/>
          </w:tcPr>
          <w:p w14:paraId="4BED28A9" w14:textId="1E552E9A"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3C47500D" w14:textId="77777777" w:rsidTr="00F976DF">
        <w:trPr>
          <w:cantSplit/>
        </w:trPr>
        <w:tc>
          <w:tcPr>
            <w:tcW w:w="6379" w:type="dxa"/>
            <w:shd w:val="clear" w:color="auto" w:fill="auto"/>
            <w:vAlign w:val="center"/>
          </w:tcPr>
          <w:p w14:paraId="301C1C6D" w14:textId="3438BE86" w:rsidR="00456C33" w:rsidRPr="006B37B6" w:rsidRDefault="0025254C" w:rsidP="0017128B">
            <w:pPr>
              <w:spacing w:after="120" w:line="240" w:lineRule="auto"/>
              <w:rPr>
                <w:rFonts w:cs="Arial"/>
                <w:bCs/>
                <w:iCs/>
                <w:sz w:val="20"/>
                <w:szCs w:val="20"/>
              </w:rPr>
            </w:pPr>
            <w:r w:rsidRPr="006B37B6">
              <w:rPr>
                <w:rFonts w:cs="Arial"/>
                <w:b/>
                <w:bCs/>
                <w:iCs/>
                <w:sz w:val="20"/>
                <w:szCs w:val="20"/>
              </w:rPr>
              <w:t>2022 Pancreatic Cancer Research</w:t>
            </w:r>
            <w:r w:rsidRPr="006B37B6">
              <w:rPr>
                <w:rFonts w:cs="Arial"/>
                <w:bCs/>
                <w:iCs/>
                <w:sz w:val="20"/>
                <w:szCs w:val="20"/>
              </w:rPr>
              <w:t xml:space="preserve"> to support more effective approaches for managing the pain and symptoms of individuals with pancreatic cancer and to provide access to clinical trials that offer new treatments </w:t>
            </w:r>
          </w:p>
        </w:tc>
        <w:tc>
          <w:tcPr>
            <w:tcW w:w="1276" w:type="dxa"/>
            <w:vAlign w:val="center"/>
          </w:tcPr>
          <w:p w14:paraId="30A13534" w14:textId="13240B44" w:rsidR="00456C33" w:rsidRPr="006B37B6" w:rsidRDefault="0025254C" w:rsidP="0017128B">
            <w:pPr>
              <w:spacing w:line="240" w:lineRule="auto"/>
              <w:jc w:val="center"/>
              <w:rPr>
                <w:rFonts w:cs="Arial"/>
                <w:sz w:val="20"/>
                <w:szCs w:val="20"/>
              </w:rPr>
            </w:pPr>
            <w:r w:rsidRPr="006B37B6">
              <w:rPr>
                <w:rFonts w:cs="Arial"/>
                <w:bCs/>
                <w:iCs/>
                <w:sz w:val="20"/>
                <w:szCs w:val="20"/>
              </w:rPr>
              <w:t>12m</w:t>
            </w:r>
          </w:p>
        </w:tc>
        <w:tc>
          <w:tcPr>
            <w:tcW w:w="1559" w:type="dxa"/>
            <w:vAlign w:val="center"/>
          </w:tcPr>
          <w:p w14:paraId="3382CEE1" w14:textId="33420F96"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48B17866" w14:textId="77777777" w:rsidTr="00F976DF">
        <w:trPr>
          <w:cantSplit/>
        </w:trPr>
        <w:tc>
          <w:tcPr>
            <w:tcW w:w="6379" w:type="dxa"/>
            <w:shd w:val="clear" w:color="auto" w:fill="EAF1C1"/>
            <w:vAlign w:val="center"/>
          </w:tcPr>
          <w:p w14:paraId="16D6D30C" w14:textId="4F904AD7" w:rsidR="00456C33" w:rsidRPr="006B37B6" w:rsidRDefault="0025254C" w:rsidP="0017128B">
            <w:pPr>
              <w:spacing w:after="120" w:line="240" w:lineRule="auto"/>
              <w:rPr>
                <w:rFonts w:cs="Arial"/>
                <w:bCs/>
                <w:iCs/>
                <w:sz w:val="20"/>
                <w:szCs w:val="20"/>
              </w:rPr>
            </w:pPr>
            <w:r w:rsidRPr="006B37B6">
              <w:rPr>
                <w:rFonts w:cs="Arial"/>
                <w:b/>
                <w:bCs/>
                <w:iCs/>
                <w:sz w:val="20"/>
                <w:szCs w:val="20"/>
              </w:rPr>
              <w:lastRenderedPageBreak/>
              <w:t>2022 National Critical Research Infrastructure</w:t>
            </w:r>
            <w:r w:rsidRPr="006B37B6">
              <w:rPr>
                <w:rFonts w:cs="Arial"/>
                <w:bCs/>
                <w:iCs/>
                <w:sz w:val="20"/>
                <w:szCs w:val="20"/>
              </w:rPr>
              <w:t xml:space="preserve"> to enhance Australia’s research infrastructure to promote new research approaches that will address health challenges </w:t>
            </w:r>
          </w:p>
        </w:tc>
        <w:tc>
          <w:tcPr>
            <w:tcW w:w="1276" w:type="dxa"/>
            <w:shd w:val="clear" w:color="auto" w:fill="EAF1C1"/>
            <w:vAlign w:val="center"/>
          </w:tcPr>
          <w:p w14:paraId="0FDF81D3" w14:textId="312C676F" w:rsidR="00456C33" w:rsidRPr="006B37B6" w:rsidRDefault="0025254C" w:rsidP="0017128B">
            <w:pPr>
              <w:spacing w:line="240" w:lineRule="auto"/>
              <w:jc w:val="center"/>
              <w:rPr>
                <w:rFonts w:cs="Arial"/>
                <w:sz w:val="20"/>
                <w:szCs w:val="20"/>
              </w:rPr>
            </w:pPr>
            <w:r w:rsidRPr="006B37B6">
              <w:rPr>
                <w:rFonts w:cs="Arial"/>
                <w:bCs/>
                <w:iCs/>
                <w:sz w:val="20"/>
                <w:szCs w:val="20"/>
              </w:rPr>
              <w:t>73m</w:t>
            </w:r>
          </w:p>
        </w:tc>
        <w:tc>
          <w:tcPr>
            <w:tcW w:w="1559" w:type="dxa"/>
            <w:shd w:val="clear" w:color="auto" w:fill="EAF1C1"/>
            <w:vAlign w:val="center"/>
          </w:tcPr>
          <w:p w14:paraId="0C8440AA" w14:textId="085CBE45"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1423169D" w14:textId="77777777" w:rsidTr="00F976DF">
        <w:trPr>
          <w:cantSplit/>
        </w:trPr>
        <w:tc>
          <w:tcPr>
            <w:tcW w:w="6379" w:type="dxa"/>
            <w:shd w:val="clear" w:color="auto" w:fill="auto"/>
            <w:vAlign w:val="center"/>
          </w:tcPr>
          <w:p w14:paraId="5B64B533" w14:textId="5C013AB4" w:rsidR="00456C33" w:rsidRPr="006B37B6" w:rsidRDefault="0025254C" w:rsidP="0017128B">
            <w:pPr>
              <w:spacing w:after="120" w:line="240" w:lineRule="auto"/>
              <w:rPr>
                <w:rFonts w:cs="Arial"/>
                <w:bCs/>
                <w:iCs/>
                <w:sz w:val="20"/>
                <w:szCs w:val="20"/>
              </w:rPr>
            </w:pPr>
            <w:r w:rsidRPr="006B37B6">
              <w:rPr>
                <w:rFonts w:cs="Arial"/>
                <w:b/>
                <w:bCs/>
                <w:iCs/>
                <w:sz w:val="20"/>
                <w:szCs w:val="20"/>
              </w:rPr>
              <w:t>2022 Multiple Sclerosis Research</w:t>
            </w:r>
            <w:r w:rsidRPr="006B37B6">
              <w:rPr>
                <w:rFonts w:cs="Arial"/>
                <w:bCs/>
                <w:iCs/>
                <w:sz w:val="20"/>
                <w:szCs w:val="20"/>
              </w:rPr>
              <w:t xml:space="preserve"> to provide access to clinical trials and accelerate availability of effective therapeutics for the treatment of Epstein Barr Virus infection, and improve understanding of how immune responses to viruses vary across individuals to inform disease prediction and treatment pathways to ultimately reduce the prevalence and severity of multiple sclerosis and post-viral diseases</w:t>
            </w:r>
          </w:p>
        </w:tc>
        <w:tc>
          <w:tcPr>
            <w:tcW w:w="1276" w:type="dxa"/>
            <w:vAlign w:val="center"/>
          </w:tcPr>
          <w:p w14:paraId="22D9EBFC" w14:textId="125E04D4" w:rsidR="00456C33" w:rsidRPr="006B37B6" w:rsidRDefault="00AF55BC" w:rsidP="0017128B">
            <w:pPr>
              <w:spacing w:line="240" w:lineRule="auto"/>
              <w:jc w:val="center"/>
              <w:rPr>
                <w:rFonts w:cs="Arial"/>
                <w:sz w:val="20"/>
                <w:szCs w:val="20"/>
              </w:rPr>
            </w:pPr>
            <w:r w:rsidRPr="006B37B6">
              <w:rPr>
                <w:rFonts w:cs="Arial"/>
                <w:bCs/>
                <w:iCs/>
                <w:sz w:val="20"/>
                <w:szCs w:val="20"/>
              </w:rPr>
              <w:t>18m</w:t>
            </w:r>
          </w:p>
        </w:tc>
        <w:tc>
          <w:tcPr>
            <w:tcW w:w="1559" w:type="dxa"/>
            <w:vAlign w:val="center"/>
          </w:tcPr>
          <w:p w14:paraId="1D3EFAAA" w14:textId="68FC0932"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289BDA5D" w14:textId="77777777" w:rsidTr="00F976DF">
        <w:trPr>
          <w:cantSplit/>
        </w:trPr>
        <w:tc>
          <w:tcPr>
            <w:tcW w:w="6379" w:type="dxa"/>
            <w:shd w:val="clear" w:color="auto" w:fill="EAF1C1"/>
            <w:vAlign w:val="center"/>
          </w:tcPr>
          <w:p w14:paraId="21274A1F" w14:textId="6B7E7059" w:rsidR="00456C33" w:rsidRPr="006B37B6" w:rsidRDefault="0025254C" w:rsidP="0017128B">
            <w:pPr>
              <w:spacing w:after="120" w:line="240" w:lineRule="auto"/>
              <w:rPr>
                <w:rFonts w:cs="Arial"/>
                <w:bCs/>
                <w:iCs/>
                <w:sz w:val="20"/>
                <w:szCs w:val="20"/>
              </w:rPr>
            </w:pPr>
            <w:r w:rsidRPr="006B37B6">
              <w:rPr>
                <w:rFonts w:cs="Arial"/>
                <w:b/>
                <w:bCs/>
                <w:iCs/>
                <w:sz w:val="20"/>
                <w:szCs w:val="20"/>
              </w:rPr>
              <w:t>2022 Quality, Safety and Effectiveness of Medicine Use and Medicine Intervention by Pharmacists</w:t>
            </w:r>
            <w:r w:rsidRPr="006B37B6">
              <w:rPr>
                <w:rFonts w:cs="Arial"/>
                <w:bCs/>
                <w:iCs/>
                <w:sz w:val="20"/>
                <w:szCs w:val="20"/>
              </w:rPr>
              <w:t xml:space="preserve"> to generate evidence that supports the safe and effective use of prescription medicines, improves the quality of care provided to patients with cancer, reduces hospital readmissions due to medication related complications, and supports the safe and effective use of medicines in residential aged care facilities</w:t>
            </w:r>
          </w:p>
        </w:tc>
        <w:tc>
          <w:tcPr>
            <w:tcW w:w="1276" w:type="dxa"/>
            <w:shd w:val="clear" w:color="auto" w:fill="EAF1C1"/>
            <w:vAlign w:val="center"/>
          </w:tcPr>
          <w:p w14:paraId="45B8D709" w14:textId="67381449" w:rsidR="00456C33" w:rsidRPr="006B37B6" w:rsidRDefault="00AF55BC" w:rsidP="0017128B">
            <w:pPr>
              <w:spacing w:line="240" w:lineRule="auto"/>
              <w:jc w:val="center"/>
              <w:rPr>
                <w:rFonts w:cs="Arial"/>
                <w:sz w:val="20"/>
                <w:szCs w:val="20"/>
              </w:rPr>
            </w:pPr>
            <w:r w:rsidRPr="006B37B6">
              <w:rPr>
                <w:rFonts w:cs="Arial"/>
                <w:bCs/>
                <w:iCs/>
                <w:sz w:val="20"/>
                <w:szCs w:val="20"/>
              </w:rPr>
              <w:t>15m</w:t>
            </w:r>
          </w:p>
        </w:tc>
        <w:tc>
          <w:tcPr>
            <w:tcW w:w="1559" w:type="dxa"/>
            <w:shd w:val="clear" w:color="auto" w:fill="EAF1C1"/>
            <w:vAlign w:val="center"/>
          </w:tcPr>
          <w:p w14:paraId="5F1E4DCF" w14:textId="27F9C2D8"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0D787F5E" w14:textId="77777777" w:rsidTr="00F976DF">
        <w:trPr>
          <w:cantSplit/>
        </w:trPr>
        <w:tc>
          <w:tcPr>
            <w:tcW w:w="6379" w:type="dxa"/>
            <w:shd w:val="clear" w:color="auto" w:fill="auto"/>
            <w:vAlign w:val="center"/>
          </w:tcPr>
          <w:p w14:paraId="7E14E54B" w14:textId="2027500D" w:rsidR="00456C33" w:rsidRPr="006B37B6" w:rsidRDefault="0025254C" w:rsidP="0017128B">
            <w:pPr>
              <w:spacing w:after="120" w:line="240" w:lineRule="auto"/>
              <w:rPr>
                <w:rFonts w:cs="Arial"/>
                <w:bCs/>
                <w:iCs/>
                <w:sz w:val="20"/>
                <w:szCs w:val="20"/>
              </w:rPr>
            </w:pPr>
            <w:r w:rsidRPr="006B37B6">
              <w:rPr>
                <w:rFonts w:cs="Arial"/>
                <w:b/>
                <w:bCs/>
                <w:iCs/>
                <w:sz w:val="20"/>
                <w:szCs w:val="20"/>
              </w:rPr>
              <w:t>2022 Effective Treatments and Therapies</w:t>
            </w:r>
            <w:r w:rsidRPr="006B37B6">
              <w:rPr>
                <w:rFonts w:cs="Arial"/>
                <w:bCs/>
                <w:iCs/>
                <w:sz w:val="20"/>
                <w:szCs w:val="20"/>
              </w:rPr>
              <w:t xml:space="preserve"> to support the development and implementation of effective exercise programs that reduce the risk of disease in Australian adults aged over 45 years, increase physical activity amongst priority populations, and ameliorate symptoms of progressive neurological deterioration and mental impairment in children and adolescents</w:t>
            </w:r>
          </w:p>
        </w:tc>
        <w:tc>
          <w:tcPr>
            <w:tcW w:w="1276" w:type="dxa"/>
            <w:vAlign w:val="center"/>
          </w:tcPr>
          <w:p w14:paraId="507BFA15" w14:textId="5AFF14A4" w:rsidR="00456C33" w:rsidRPr="006B37B6" w:rsidRDefault="00AF55BC" w:rsidP="0017128B">
            <w:pPr>
              <w:spacing w:line="240" w:lineRule="auto"/>
              <w:jc w:val="center"/>
              <w:rPr>
                <w:rFonts w:cs="Arial"/>
                <w:sz w:val="20"/>
                <w:szCs w:val="20"/>
              </w:rPr>
            </w:pPr>
            <w:r w:rsidRPr="006B37B6">
              <w:rPr>
                <w:rFonts w:cs="Arial"/>
                <w:bCs/>
                <w:iCs/>
                <w:sz w:val="20"/>
                <w:szCs w:val="20"/>
              </w:rPr>
              <w:t>13m</w:t>
            </w:r>
          </w:p>
        </w:tc>
        <w:tc>
          <w:tcPr>
            <w:tcW w:w="1559" w:type="dxa"/>
            <w:vAlign w:val="center"/>
          </w:tcPr>
          <w:p w14:paraId="3F35C94E" w14:textId="33B49FBA"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706A6867" w14:textId="77777777" w:rsidTr="00F976DF">
        <w:trPr>
          <w:cantSplit/>
        </w:trPr>
        <w:tc>
          <w:tcPr>
            <w:tcW w:w="6379" w:type="dxa"/>
            <w:shd w:val="clear" w:color="auto" w:fill="EAF1C1"/>
            <w:vAlign w:val="center"/>
          </w:tcPr>
          <w:p w14:paraId="62BAFE4E" w14:textId="3BC058BE" w:rsidR="00456C33" w:rsidRPr="006B37B6" w:rsidRDefault="0025254C" w:rsidP="0017128B">
            <w:pPr>
              <w:spacing w:after="120" w:line="240" w:lineRule="auto"/>
              <w:rPr>
                <w:rFonts w:cs="Arial"/>
                <w:bCs/>
                <w:iCs/>
                <w:sz w:val="20"/>
                <w:szCs w:val="20"/>
              </w:rPr>
            </w:pPr>
            <w:r w:rsidRPr="006B37B6">
              <w:rPr>
                <w:rFonts w:cs="Arial"/>
                <w:b/>
                <w:bCs/>
                <w:iCs/>
                <w:sz w:val="20"/>
                <w:szCs w:val="20"/>
              </w:rPr>
              <w:t>2022 Nurses, Midwives and Allied Health</w:t>
            </w:r>
            <w:r w:rsidRPr="006B37B6">
              <w:rPr>
                <w:rFonts w:cs="Arial"/>
                <w:bCs/>
                <w:iCs/>
                <w:sz w:val="20"/>
                <w:szCs w:val="20"/>
              </w:rPr>
              <w:t xml:space="preserve"> to support nurses, midwives and allied health professionals to improve the quality of health care, practice and systems by undertaking applied research in health care </w:t>
            </w:r>
          </w:p>
        </w:tc>
        <w:tc>
          <w:tcPr>
            <w:tcW w:w="1276" w:type="dxa"/>
            <w:shd w:val="clear" w:color="auto" w:fill="EAF1C1"/>
            <w:vAlign w:val="center"/>
          </w:tcPr>
          <w:p w14:paraId="2F9414B2" w14:textId="37FF0FBF" w:rsidR="00456C33" w:rsidRPr="006B37B6" w:rsidRDefault="00AF55BC" w:rsidP="0017128B">
            <w:pPr>
              <w:spacing w:line="240" w:lineRule="auto"/>
              <w:jc w:val="center"/>
              <w:rPr>
                <w:rFonts w:cs="Arial"/>
                <w:sz w:val="20"/>
                <w:szCs w:val="20"/>
              </w:rPr>
            </w:pPr>
            <w:r w:rsidRPr="006B37B6">
              <w:rPr>
                <w:rFonts w:cs="Arial"/>
                <w:bCs/>
                <w:iCs/>
                <w:sz w:val="20"/>
                <w:szCs w:val="20"/>
              </w:rPr>
              <w:t>20.3m</w:t>
            </w:r>
          </w:p>
        </w:tc>
        <w:tc>
          <w:tcPr>
            <w:tcW w:w="1559" w:type="dxa"/>
            <w:shd w:val="clear" w:color="auto" w:fill="EAF1C1"/>
            <w:vAlign w:val="center"/>
          </w:tcPr>
          <w:p w14:paraId="5EEACA94" w14:textId="33607272"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37FBFF67" w14:textId="77777777" w:rsidTr="00F976DF">
        <w:trPr>
          <w:cantSplit/>
        </w:trPr>
        <w:tc>
          <w:tcPr>
            <w:tcW w:w="6379" w:type="dxa"/>
            <w:shd w:val="clear" w:color="auto" w:fill="auto"/>
            <w:vAlign w:val="center"/>
          </w:tcPr>
          <w:p w14:paraId="3D34330D" w14:textId="6AA0807B" w:rsidR="00456C33" w:rsidRPr="006B37B6" w:rsidRDefault="0025254C" w:rsidP="0017128B">
            <w:pPr>
              <w:spacing w:after="120" w:line="240" w:lineRule="auto"/>
              <w:rPr>
                <w:rFonts w:cs="Arial"/>
                <w:bCs/>
                <w:iCs/>
                <w:sz w:val="20"/>
                <w:szCs w:val="20"/>
              </w:rPr>
            </w:pPr>
            <w:r w:rsidRPr="006B37B6">
              <w:rPr>
                <w:rFonts w:cs="Arial"/>
                <w:b/>
                <w:bCs/>
                <w:iCs/>
                <w:sz w:val="20"/>
                <w:szCs w:val="20"/>
              </w:rPr>
              <w:t>2022 Stem Cell Therapies</w:t>
            </w:r>
            <w:r w:rsidRPr="006B37B6">
              <w:rPr>
                <w:rFonts w:cs="Arial"/>
                <w:bCs/>
                <w:iCs/>
                <w:sz w:val="20"/>
                <w:szCs w:val="20"/>
              </w:rPr>
              <w:t xml:space="preserve"> to generate novel approaches to stem cell-based therapies that have the potential to transform clinical care and generate new treatments using human tissues made from stem-cells for pre-clinical development</w:t>
            </w:r>
          </w:p>
        </w:tc>
        <w:tc>
          <w:tcPr>
            <w:tcW w:w="1276" w:type="dxa"/>
            <w:vAlign w:val="center"/>
          </w:tcPr>
          <w:p w14:paraId="44C42020" w14:textId="18B9F000" w:rsidR="00456C33" w:rsidRPr="006B37B6" w:rsidRDefault="00AF55BC" w:rsidP="0017128B">
            <w:pPr>
              <w:spacing w:line="240" w:lineRule="auto"/>
              <w:jc w:val="center"/>
              <w:rPr>
                <w:rFonts w:cs="Arial"/>
                <w:sz w:val="20"/>
                <w:szCs w:val="20"/>
              </w:rPr>
            </w:pPr>
            <w:r w:rsidRPr="006B37B6">
              <w:rPr>
                <w:rFonts w:cs="Arial"/>
                <w:bCs/>
                <w:iCs/>
                <w:sz w:val="20"/>
                <w:szCs w:val="20"/>
              </w:rPr>
              <w:t>10m</w:t>
            </w:r>
          </w:p>
        </w:tc>
        <w:tc>
          <w:tcPr>
            <w:tcW w:w="1559" w:type="dxa"/>
            <w:vAlign w:val="center"/>
          </w:tcPr>
          <w:p w14:paraId="3311411F" w14:textId="16134B05"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3912F7E9" w14:textId="77777777" w:rsidTr="00F976DF">
        <w:trPr>
          <w:cantSplit/>
        </w:trPr>
        <w:tc>
          <w:tcPr>
            <w:tcW w:w="6379" w:type="dxa"/>
            <w:shd w:val="clear" w:color="auto" w:fill="EAF1C1"/>
            <w:vAlign w:val="center"/>
          </w:tcPr>
          <w:p w14:paraId="5981F4A6" w14:textId="42D48646" w:rsidR="00456C33" w:rsidRPr="006B37B6" w:rsidRDefault="0025254C" w:rsidP="0017128B">
            <w:pPr>
              <w:spacing w:after="120" w:line="240" w:lineRule="auto"/>
              <w:rPr>
                <w:rFonts w:cs="Arial"/>
                <w:bCs/>
                <w:iCs/>
                <w:sz w:val="20"/>
                <w:szCs w:val="20"/>
              </w:rPr>
            </w:pPr>
            <w:r w:rsidRPr="006B37B6">
              <w:rPr>
                <w:rFonts w:cs="Arial"/>
                <w:b/>
                <w:bCs/>
                <w:iCs/>
                <w:sz w:val="20"/>
                <w:szCs w:val="20"/>
              </w:rPr>
              <w:t>2022 Dementia Ag</w:t>
            </w:r>
            <w:r w:rsidR="00E413B5">
              <w:rPr>
                <w:rFonts w:cs="Arial"/>
                <w:b/>
                <w:bCs/>
                <w:iCs/>
                <w:sz w:val="20"/>
                <w:szCs w:val="20"/>
              </w:rPr>
              <w:t>e</w:t>
            </w:r>
            <w:r w:rsidRPr="006B37B6">
              <w:rPr>
                <w:rFonts w:cs="Arial"/>
                <w:b/>
                <w:bCs/>
                <w:iCs/>
                <w:sz w:val="20"/>
                <w:szCs w:val="20"/>
              </w:rPr>
              <w:t>ing and Aged Care</w:t>
            </w:r>
            <w:r w:rsidRPr="006B37B6">
              <w:rPr>
                <w:rFonts w:cs="Arial"/>
                <w:bCs/>
                <w:iCs/>
                <w:sz w:val="20"/>
                <w:szCs w:val="20"/>
              </w:rPr>
              <w:t xml:space="preserve"> to support research that improves the wellbeing of Australians living with dementia and their </w:t>
            </w:r>
            <w:proofErr w:type="spellStart"/>
            <w:r w:rsidRPr="006B37B6">
              <w:rPr>
                <w:rFonts w:cs="Arial"/>
                <w:bCs/>
                <w:iCs/>
                <w:sz w:val="20"/>
                <w:szCs w:val="20"/>
              </w:rPr>
              <w:t>carers</w:t>
            </w:r>
            <w:proofErr w:type="spellEnd"/>
            <w:r w:rsidRPr="006B37B6">
              <w:rPr>
                <w:rFonts w:cs="Arial"/>
                <w:bCs/>
                <w:iCs/>
                <w:sz w:val="20"/>
                <w:szCs w:val="20"/>
              </w:rPr>
              <w:t xml:space="preserve"> and enables earlier and more effective diagnosis of dementia</w:t>
            </w:r>
          </w:p>
        </w:tc>
        <w:tc>
          <w:tcPr>
            <w:tcW w:w="1276" w:type="dxa"/>
            <w:shd w:val="clear" w:color="auto" w:fill="EAF1C1"/>
            <w:vAlign w:val="center"/>
          </w:tcPr>
          <w:p w14:paraId="56501A73" w14:textId="15BFDFDA" w:rsidR="00456C33" w:rsidRPr="006B37B6" w:rsidRDefault="00AF55BC" w:rsidP="0017128B">
            <w:pPr>
              <w:spacing w:line="240" w:lineRule="auto"/>
              <w:jc w:val="center"/>
              <w:rPr>
                <w:rFonts w:cs="Arial"/>
                <w:sz w:val="20"/>
                <w:szCs w:val="20"/>
              </w:rPr>
            </w:pPr>
            <w:r w:rsidRPr="006B37B6">
              <w:rPr>
                <w:rFonts w:cs="Arial"/>
                <w:bCs/>
                <w:iCs/>
                <w:sz w:val="20"/>
                <w:szCs w:val="20"/>
              </w:rPr>
              <w:t>24m</w:t>
            </w:r>
          </w:p>
        </w:tc>
        <w:tc>
          <w:tcPr>
            <w:tcW w:w="1559" w:type="dxa"/>
            <w:shd w:val="clear" w:color="auto" w:fill="EAF1C1"/>
            <w:vAlign w:val="center"/>
          </w:tcPr>
          <w:p w14:paraId="5A137F99" w14:textId="7D31BCDB" w:rsidR="00456C33" w:rsidRPr="006B37B6" w:rsidRDefault="004638EA" w:rsidP="0017128B">
            <w:pPr>
              <w:spacing w:line="240" w:lineRule="auto"/>
              <w:jc w:val="center"/>
              <w:rPr>
                <w:rFonts w:cs="Arial"/>
                <w:sz w:val="20"/>
                <w:szCs w:val="20"/>
              </w:rPr>
            </w:pPr>
            <w:r>
              <w:rPr>
                <w:rFonts w:cs="Arial"/>
                <w:sz w:val="20"/>
                <w:szCs w:val="20"/>
              </w:rPr>
              <w:t>30 March 2022</w:t>
            </w:r>
          </w:p>
        </w:tc>
      </w:tr>
      <w:tr w:rsidR="00456C33" w:rsidRPr="006B37B6" w14:paraId="41555626" w14:textId="77777777" w:rsidTr="00F976DF">
        <w:trPr>
          <w:cantSplit/>
        </w:trPr>
        <w:tc>
          <w:tcPr>
            <w:tcW w:w="6379" w:type="dxa"/>
            <w:shd w:val="clear" w:color="auto" w:fill="auto"/>
            <w:vAlign w:val="center"/>
          </w:tcPr>
          <w:p w14:paraId="27BD6BA1" w14:textId="1AF03631" w:rsidR="00456C33" w:rsidRPr="006B37B6" w:rsidRDefault="0025254C" w:rsidP="0017128B">
            <w:pPr>
              <w:spacing w:after="120" w:line="240" w:lineRule="auto"/>
              <w:rPr>
                <w:rFonts w:cs="Arial"/>
                <w:bCs/>
                <w:iCs/>
                <w:sz w:val="20"/>
                <w:szCs w:val="20"/>
              </w:rPr>
            </w:pPr>
            <w:r w:rsidRPr="006B37B6">
              <w:rPr>
                <w:rFonts w:cs="Arial"/>
                <w:b/>
                <w:bCs/>
                <w:iCs/>
                <w:sz w:val="20"/>
                <w:szCs w:val="20"/>
              </w:rPr>
              <w:t>2022 Cardiovascular Health</w:t>
            </w:r>
            <w:r w:rsidRPr="006B37B6">
              <w:rPr>
                <w:rFonts w:cs="Arial"/>
                <w:bCs/>
                <w:iCs/>
                <w:sz w:val="20"/>
                <w:szCs w:val="20"/>
              </w:rPr>
              <w:t xml:space="preserve"> to generate knowledge to improve the detection, prevention and treatments for cardiovascular disease and stroke</w:t>
            </w:r>
          </w:p>
        </w:tc>
        <w:tc>
          <w:tcPr>
            <w:tcW w:w="1276" w:type="dxa"/>
            <w:vAlign w:val="center"/>
          </w:tcPr>
          <w:p w14:paraId="535C9435" w14:textId="53D60A09" w:rsidR="00456C33" w:rsidRPr="006B37B6" w:rsidRDefault="00AF55BC" w:rsidP="0017128B">
            <w:pPr>
              <w:spacing w:line="240" w:lineRule="auto"/>
              <w:jc w:val="center"/>
              <w:rPr>
                <w:rFonts w:cs="Arial"/>
                <w:sz w:val="20"/>
                <w:szCs w:val="20"/>
              </w:rPr>
            </w:pPr>
            <w:r w:rsidRPr="006B37B6">
              <w:rPr>
                <w:rFonts w:cs="Arial"/>
                <w:bCs/>
                <w:iCs/>
                <w:sz w:val="20"/>
                <w:szCs w:val="20"/>
              </w:rPr>
              <w:t>24m</w:t>
            </w:r>
          </w:p>
        </w:tc>
        <w:tc>
          <w:tcPr>
            <w:tcW w:w="1559" w:type="dxa"/>
            <w:vAlign w:val="center"/>
          </w:tcPr>
          <w:p w14:paraId="21AE934B" w14:textId="782706AE" w:rsidR="00456C33" w:rsidRPr="006B37B6" w:rsidRDefault="004638EA" w:rsidP="0017128B">
            <w:pPr>
              <w:spacing w:line="240" w:lineRule="auto"/>
              <w:jc w:val="center"/>
              <w:rPr>
                <w:rFonts w:cs="Arial"/>
                <w:sz w:val="20"/>
                <w:szCs w:val="20"/>
              </w:rPr>
            </w:pPr>
            <w:r>
              <w:rPr>
                <w:rFonts w:cs="Arial"/>
                <w:sz w:val="20"/>
                <w:szCs w:val="20"/>
              </w:rPr>
              <w:t>30 March 2022</w:t>
            </w:r>
          </w:p>
        </w:tc>
      </w:tr>
      <w:tr w:rsidR="004C4A79" w:rsidRPr="006B37B6" w14:paraId="3E4E2C88" w14:textId="77777777" w:rsidTr="00F976DF">
        <w:trPr>
          <w:cantSplit/>
        </w:trPr>
        <w:tc>
          <w:tcPr>
            <w:tcW w:w="6379" w:type="dxa"/>
            <w:shd w:val="clear" w:color="auto" w:fill="EAF1C1"/>
            <w:vAlign w:val="center"/>
          </w:tcPr>
          <w:p w14:paraId="6FDFC4E2" w14:textId="69A3FF7A" w:rsidR="004C4A79" w:rsidRPr="006B37B6" w:rsidRDefault="004C4A79" w:rsidP="0017128B">
            <w:pPr>
              <w:spacing w:after="120" w:line="240" w:lineRule="auto"/>
              <w:rPr>
                <w:rFonts w:cs="Arial"/>
                <w:b/>
                <w:bCs/>
                <w:iCs/>
                <w:sz w:val="20"/>
                <w:szCs w:val="20"/>
              </w:rPr>
            </w:pPr>
            <w:r w:rsidRPr="006B37B6">
              <w:rPr>
                <w:rFonts w:cs="Arial"/>
                <w:b/>
                <w:bCs/>
                <w:iCs/>
                <w:sz w:val="20"/>
                <w:szCs w:val="20"/>
              </w:rPr>
              <w:t>2022 Brain Cancer Research Infrastructure</w:t>
            </w:r>
            <w:r w:rsidRPr="006B37B6">
              <w:rPr>
                <w:rFonts w:cs="Arial"/>
                <w:bCs/>
                <w:iCs/>
                <w:sz w:val="20"/>
                <w:szCs w:val="20"/>
              </w:rPr>
              <w:t xml:space="preserve"> to generate knowledge that enables the development of new approaches, treatments and therapies that accelerate progress in improving the diagnosis and care for patients with brain cancer.</w:t>
            </w:r>
          </w:p>
        </w:tc>
        <w:tc>
          <w:tcPr>
            <w:tcW w:w="1276" w:type="dxa"/>
            <w:shd w:val="clear" w:color="auto" w:fill="EAF1C1"/>
            <w:vAlign w:val="center"/>
          </w:tcPr>
          <w:p w14:paraId="7691135A" w14:textId="57CB7565" w:rsidR="004C4A79" w:rsidRPr="006B37B6" w:rsidRDefault="004C4A79" w:rsidP="0017128B">
            <w:pPr>
              <w:spacing w:line="240" w:lineRule="auto"/>
              <w:jc w:val="center"/>
              <w:rPr>
                <w:rFonts w:cs="Arial"/>
                <w:bCs/>
                <w:iCs/>
                <w:sz w:val="20"/>
                <w:szCs w:val="20"/>
              </w:rPr>
            </w:pPr>
            <w:r w:rsidRPr="006B37B6">
              <w:rPr>
                <w:rFonts w:cs="Arial"/>
                <w:bCs/>
                <w:iCs/>
                <w:sz w:val="20"/>
                <w:szCs w:val="20"/>
              </w:rPr>
              <w:t>6m</w:t>
            </w:r>
          </w:p>
        </w:tc>
        <w:tc>
          <w:tcPr>
            <w:tcW w:w="1559" w:type="dxa"/>
            <w:shd w:val="clear" w:color="auto" w:fill="EAF1C1"/>
            <w:vAlign w:val="center"/>
          </w:tcPr>
          <w:p w14:paraId="36A04A46" w14:textId="0C383B6C" w:rsidR="004C4A79" w:rsidRPr="006B37B6" w:rsidRDefault="004638EA" w:rsidP="0017128B">
            <w:pPr>
              <w:spacing w:line="240" w:lineRule="auto"/>
              <w:jc w:val="center"/>
              <w:rPr>
                <w:rFonts w:cs="Arial"/>
                <w:sz w:val="20"/>
                <w:szCs w:val="20"/>
              </w:rPr>
            </w:pPr>
            <w:r>
              <w:rPr>
                <w:rFonts w:cs="Arial"/>
                <w:sz w:val="20"/>
                <w:szCs w:val="20"/>
              </w:rPr>
              <w:t>30 March 2022</w:t>
            </w:r>
          </w:p>
        </w:tc>
      </w:tr>
    </w:tbl>
    <w:p w14:paraId="6B59008C" w14:textId="77777777" w:rsidR="0017128B" w:rsidRDefault="0017128B">
      <w:pPr>
        <w:spacing w:before="0" w:line="240" w:lineRule="auto"/>
        <w:rPr>
          <w:rFonts w:eastAsia="MS Gothic"/>
          <w:b/>
          <w:bCs/>
          <w:color w:val="153A6E"/>
          <w:szCs w:val="26"/>
          <w:lang w:val="en-US"/>
        </w:rPr>
      </w:pPr>
      <w:r>
        <w:br w:type="page"/>
      </w:r>
    </w:p>
    <w:p w14:paraId="6F6EE262" w14:textId="0BFFB1E9" w:rsidR="00404761" w:rsidRDefault="00404761" w:rsidP="0017128B">
      <w:pPr>
        <w:pStyle w:val="Heading1"/>
      </w:pPr>
      <w:r>
        <w:lastRenderedPageBreak/>
        <w:t xml:space="preserve">Medical Research Future Fund, </w:t>
      </w:r>
      <w:r w:rsidRPr="003D4667">
        <w:t>Grant Opportunity Outcomes</w:t>
      </w:r>
      <w:r>
        <w:t xml:space="preserve"> (Grant Details</w:t>
      </w:r>
      <w:r w:rsidR="00214ED1">
        <w:t xml:space="preserve"> by Grant Opportunity</w:t>
      </w:r>
      <w:r>
        <w:t>)</w:t>
      </w:r>
    </w:p>
    <w:p w14:paraId="0CFE7B23" w14:textId="469DD11D" w:rsidR="00214ED1" w:rsidRPr="00214ED1" w:rsidRDefault="00214ED1" w:rsidP="0017128B">
      <w:pPr>
        <w:pStyle w:val="Heading2"/>
      </w:pPr>
      <w:r w:rsidRPr="00214ED1">
        <w:t xml:space="preserve">2021 Improving the Health and Wellbeing of Indigenous Mothers and Babies </w:t>
      </w:r>
    </w:p>
    <w:tbl>
      <w:tblPr>
        <w:tblW w:w="9346" w:type="dxa"/>
        <w:tblCellMar>
          <w:top w:w="57" w:type="dxa"/>
          <w:left w:w="57" w:type="dxa"/>
          <w:bottom w:w="113" w:type="dxa"/>
          <w:right w:w="57" w:type="dxa"/>
        </w:tblCellMar>
        <w:tblLook w:val="04A0" w:firstRow="1" w:lastRow="0" w:firstColumn="1" w:lastColumn="0" w:noHBand="0" w:noVBand="1"/>
      </w:tblPr>
      <w:tblGrid>
        <w:gridCol w:w="1740"/>
        <w:gridCol w:w="4993"/>
        <w:gridCol w:w="1337"/>
        <w:gridCol w:w="1276"/>
      </w:tblGrid>
      <w:tr w:rsidR="00D361EA" w:rsidRPr="00214ED1" w14:paraId="511C1B1B" w14:textId="77777777" w:rsidTr="00F976DF">
        <w:trPr>
          <w:cantSplit/>
          <w:tblHeader/>
        </w:trPr>
        <w:tc>
          <w:tcPr>
            <w:tcW w:w="1740" w:type="dxa"/>
            <w:tcBorders>
              <w:top w:val="single" w:sz="8" w:space="0" w:color="auto"/>
              <w:left w:val="single" w:sz="8" w:space="0" w:color="auto"/>
              <w:bottom w:val="single" w:sz="8" w:space="0" w:color="auto"/>
              <w:right w:val="single" w:sz="4" w:space="0" w:color="auto"/>
            </w:tcBorders>
            <w:shd w:val="clear" w:color="auto" w:fill="ACC02A"/>
            <w:tcMar>
              <w:top w:w="0" w:type="dxa"/>
              <w:left w:w="108" w:type="dxa"/>
              <w:bottom w:w="0" w:type="dxa"/>
              <w:right w:w="108" w:type="dxa"/>
            </w:tcMar>
            <w:vAlign w:val="center"/>
            <w:hideMark/>
          </w:tcPr>
          <w:p w14:paraId="19C6B37A" w14:textId="097CA42E" w:rsidR="00214ED1" w:rsidRPr="007C3C90" w:rsidRDefault="00214ED1" w:rsidP="007C3C90">
            <w:pPr>
              <w:spacing w:line="240" w:lineRule="auto"/>
              <w:jc w:val="center"/>
              <w:rPr>
                <w:rFonts w:eastAsia="Times New Roman" w:cs="Arial"/>
                <w:b/>
                <w:sz w:val="20"/>
                <w:szCs w:val="20"/>
              </w:rPr>
            </w:pPr>
            <w:r w:rsidRPr="007C3C90">
              <w:rPr>
                <w:rFonts w:eastAsia="Times New Roman" w:cs="Arial"/>
                <w:b/>
                <w:sz w:val="20"/>
                <w:szCs w:val="20"/>
              </w:rPr>
              <w:t>Project Title</w:t>
            </w:r>
          </w:p>
        </w:tc>
        <w:tc>
          <w:tcPr>
            <w:tcW w:w="4993" w:type="dxa"/>
            <w:tcBorders>
              <w:top w:val="single" w:sz="4" w:space="0" w:color="auto"/>
              <w:left w:val="single" w:sz="4" w:space="0" w:color="auto"/>
              <w:bottom w:val="single" w:sz="4" w:space="0" w:color="auto"/>
              <w:right w:val="single" w:sz="4" w:space="0" w:color="auto"/>
            </w:tcBorders>
            <w:shd w:val="clear" w:color="auto" w:fill="ACC02A"/>
            <w:vAlign w:val="center"/>
          </w:tcPr>
          <w:p w14:paraId="396954C0" w14:textId="401DFC40" w:rsidR="00214ED1" w:rsidRPr="007C3C90" w:rsidRDefault="00214ED1" w:rsidP="007C3C90">
            <w:pPr>
              <w:spacing w:line="240" w:lineRule="auto"/>
              <w:jc w:val="center"/>
              <w:rPr>
                <w:rFonts w:eastAsia="Times New Roman" w:cs="Arial"/>
                <w:b/>
                <w:sz w:val="20"/>
                <w:szCs w:val="20"/>
              </w:rPr>
            </w:pPr>
            <w:r w:rsidRPr="007C3C90">
              <w:rPr>
                <w:rFonts w:eastAsia="Times New Roman" w:cs="Arial"/>
                <w:b/>
                <w:sz w:val="20"/>
                <w:szCs w:val="20"/>
              </w:rPr>
              <w:t>Project Summary</w:t>
            </w:r>
          </w:p>
        </w:tc>
        <w:tc>
          <w:tcPr>
            <w:tcW w:w="1337" w:type="dxa"/>
            <w:tcBorders>
              <w:top w:val="single" w:sz="8" w:space="0" w:color="auto"/>
              <w:left w:val="single" w:sz="4" w:space="0" w:color="auto"/>
              <w:bottom w:val="single" w:sz="8" w:space="0" w:color="auto"/>
              <w:right w:val="single" w:sz="8" w:space="0" w:color="auto"/>
            </w:tcBorders>
            <w:shd w:val="clear" w:color="auto" w:fill="ACC02A"/>
            <w:tcMar>
              <w:top w:w="0" w:type="dxa"/>
              <w:left w:w="108" w:type="dxa"/>
              <w:bottom w:w="0" w:type="dxa"/>
              <w:right w:w="108" w:type="dxa"/>
            </w:tcMar>
            <w:vAlign w:val="center"/>
            <w:hideMark/>
          </w:tcPr>
          <w:p w14:paraId="76E006EA" w14:textId="7C2F30A0" w:rsidR="00214ED1" w:rsidRPr="007C3C90" w:rsidRDefault="00214ED1" w:rsidP="007C3C90">
            <w:pPr>
              <w:spacing w:line="240" w:lineRule="auto"/>
              <w:jc w:val="center"/>
              <w:rPr>
                <w:rFonts w:eastAsia="Times New Roman" w:cs="Arial"/>
                <w:b/>
                <w:sz w:val="20"/>
                <w:szCs w:val="20"/>
              </w:rPr>
            </w:pPr>
            <w:r w:rsidRPr="007C3C90">
              <w:rPr>
                <w:rFonts w:eastAsia="Times New Roman" w:cs="Arial"/>
                <w:b/>
                <w:sz w:val="20"/>
                <w:szCs w:val="20"/>
              </w:rPr>
              <w:t xml:space="preserve">Recipient </w:t>
            </w:r>
          </w:p>
        </w:tc>
        <w:tc>
          <w:tcPr>
            <w:tcW w:w="1276" w:type="dxa"/>
            <w:tcBorders>
              <w:top w:val="single" w:sz="8" w:space="0" w:color="auto"/>
              <w:left w:val="nil"/>
              <w:bottom w:val="single" w:sz="8" w:space="0" w:color="auto"/>
              <w:right w:val="single" w:sz="8" w:space="0" w:color="auto"/>
            </w:tcBorders>
            <w:shd w:val="clear" w:color="auto" w:fill="ACC02A"/>
            <w:tcMar>
              <w:top w:w="0" w:type="dxa"/>
              <w:left w:w="108" w:type="dxa"/>
              <w:bottom w:w="0" w:type="dxa"/>
              <w:right w:w="108" w:type="dxa"/>
            </w:tcMar>
            <w:vAlign w:val="center"/>
            <w:hideMark/>
          </w:tcPr>
          <w:p w14:paraId="0B7636AC" w14:textId="25FBC67F" w:rsidR="00214ED1" w:rsidRPr="007C3C90" w:rsidRDefault="00214ED1" w:rsidP="007C3C90">
            <w:pPr>
              <w:spacing w:line="240" w:lineRule="auto"/>
              <w:jc w:val="center"/>
              <w:rPr>
                <w:rFonts w:eastAsia="Times New Roman" w:cs="Arial"/>
                <w:b/>
                <w:sz w:val="20"/>
                <w:szCs w:val="20"/>
              </w:rPr>
            </w:pPr>
            <w:r w:rsidRPr="007C3C90">
              <w:rPr>
                <w:rFonts w:eastAsia="Times New Roman" w:cs="Arial"/>
                <w:b/>
                <w:sz w:val="20"/>
                <w:szCs w:val="20"/>
              </w:rPr>
              <w:t>Funding</w:t>
            </w:r>
            <w:r w:rsidR="00D361EA" w:rsidRPr="007C3C90">
              <w:rPr>
                <w:rFonts w:eastAsia="Times New Roman" w:cs="Arial"/>
                <w:b/>
                <w:sz w:val="20"/>
                <w:szCs w:val="20"/>
              </w:rPr>
              <w:t xml:space="preserve"> Amount ($)</w:t>
            </w:r>
          </w:p>
        </w:tc>
      </w:tr>
      <w:tr w:rsidR="00D361EA" w:rsidRPr="00214ED1" w14:paraId="460B2E08" w14:textId="77777777" w:rsidTr="00F976DF">
        <w:trPr>
          <w:cantSplit/>
          <w:trHeight w:val="249"/>
        </w:trPr>
        <w:tc>
          <w:tcPr>
            <w:tcW w:w="174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E48C49C" w14:textId="77777777" w:rsidR="00214ED1" w:rsidRPr="00214ED1" w:rsidRDefault="00214ED1" w:rsidP="00B36013">
            <w:pPr>
              <w:rPr>
                <w:rFonts w:cs="Arial"/>
                <w:sz w:val="20"/>
                <w:szCs w:val="20"/>
              </w:rPr>
            </w:pPr>
            <w:r w:rsidRPr="00214ED1">
              <w:rPr>
                <w:rFonts w:cs="Arial"/>
                <w:color w:val="000000"/>
                <w:sz w:val="20"/>
                <w:szCs w:val="20"/>
              </w:rPr>
              <w:t>Birthing on Country: RISE SAFELY in rural, remote and very remote Australia</w:t>
            </w:r>
          </w:p>
        </w:tc>
        <w:tc>
          <w:tcPr>
            <w:tcW w:w="4993" w:type="dxa"/>
            <w:tcBorders>
              <w:top w:val="single" w:sz="4" w:space="0" w:color="auto"/>
              <w:left w:val="single" w:sz="4" w:space="0" w:color="auto"/>
              <w:bottom w:val="single" w:sz="4" w:space="0" w:color="auto"/>
              <w:right w:val="single" w:sz="4" w:space="0" w:color="auto"/>
            </w:tcBorders>
            <w:vAlign w:val="center"/>
          </w:tcPr>
          <w:p w14:paraId="2690CC30" w14:textId="5E004EB4" w:rsidR="00214ED1" w:rsidRPr="00214ED1" w:rsidRDefault="00214ED1" w:rsidP="00B36013">
            <w:pPr>
              <w:rPr>
                <w:rFonts w:cs="Arial"/>
                <w:sz w:val="20"/>
                <w:szCs w:val="20"/>
              </w:rPr>
            </w:pPr>
            <w:r w:rsidRPr="00214ED1">
              <w:rPr>
                <w:rFonts w:cs="Arial"/>
                <w:color w:val="000000"/>
                <w:sz w:val="20"/>
                <w:szCs w:val="20"/>
              </w:rPr>
              <w:t xml:space="preserve">This First Nations led, co-designed and staffed MRFF study aims to establish exemplar Birthing on Country maternal child health services in rural, remote and very remote Australia in 5 years. Our CIs have worked side-by-side with First Nations communities and stakeholders, building on 25 years of research, to develop the RISE SAFELY Implementation Framework. We will translate existing knowledge on culturally safe maternity </w:t>
            </w:r>
            <w:proofErr w:type="gramStart"/>
            <w:r w:rsidRPr="00214ED1">
              <w:rPr>
                <w:rFonts w:cs="Arial"/>
                <w:color w:val="000000"/>
                <w:sz w:val="20"/>
                <w:szCs w:val="20"/>
              </w:rPr>
              <w:t>care, that</w:t>
            </w:r>
            <w:proofErr w:type="gramEnd"/>
            <w:r w:rsidRPr="00214ED1">
              <w:rPr>
                <w:rFonts w:cs="Arial"/>
                <w:color w:val="000000"/>
                <w:sz w:val="20"/>
                <w:szCs w:val="20"/>
              </w:rPr>
              <w:t xml:space="preserve"> saw unprecedented success in an urban site, into three unique settings. We will increase protective factors for birthing women and babies across the first 1000 days, improve outcomes, focus on preventing preterm birth, and make a profound impact on Closing the Gap Target 2: Children are born healthy and strong.</w:t>
            </w:r>
          </w:p>
        </w:tc>
        <w:tc>
          <w:tcPr>
            <w:tcW w:w="133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8AB5A6F" w14:textId="18E50F83" w:rsidR="00214ED1" w:rsidRPr="00214ED1" w:rsidRDefault="00214ED1" w:rsidP="00B36013">
            <w:pPr>
              <w:rPr>
                <w:rFonts w:cs="Arial"/>
                <w:sz w:val="20"/>
                <w:szCs w:val="20"/>
              </w:rPr>
            </w:pPr>
            <w:r w:rsidRPr="00214ED1">
              <w:rPr>
                <w:rFonts w:cs="Arial"/>
                <w:sz w:val="20"/>
                <w:szCs w:val="20"/>
              </w:rPr>
              <w:t xml:space="preserve">Charles Darwin University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90BEC" w14:textId="1D9F4BCA" w:rsidR="00214ED1" w:rsidRPr="00214ED1" w:rsidRDefault="00214ED1" w:rsidP="00B36013">
            <w:pPr>
              <w:rPr>
                <w:rFonts w:cs="Arial"/>
                <w:sz w:val="20"/>
                <w:szCs w:val="20"/>
              </w:rPr>
            </w:pPr>
            <w:r w:rsidRPr="00214ED1">
              <w:rPr>
                <w:rFonts w:cs="Arial"/>
                <w:sz w:val="20"/>
                <w:szCs w:val="20"/>
              </w:rPr>
              <w:t>4,998,540</w:t>
            </w:r>
          </w:p>
        </w:tc>
      </w:tr>
      <w:tr w:rsidR="00D361EA" w:rsidRPr="00214ED1" w14:paraId="42B119A5" w14:textId="77777777" w:rsidTr="00F976DF">
        <w:trPr>
          <w:cantSplit/>
          <w:trHeight w:val="267"/>
        </w:trPr>
        <w:tc>
          <w:tcPr>
            <w:tcW w:w="1740" w:type="dxa"/>
            <w:tcBorders>
              <w:top w:val="nil"/>
              <w:left w:val="single" w:sz="8" w:space="0" w:color="auto"/>
              <w:bottom w:val="single" w:sz="8" w:space="0" w:color="auto"/>
              <w:right w:val="single" w:sz="4" w:space="0" w:color="auto"/>
            </w:tcBorders>
            <w:shd w:val="clear" w:color="auto" w:fill="EAF1C1"/>
            <w:tcMar>
              <w:top w:w="0" w:type="dxa"/>
              <w:left w:w="108" w:type="dxa"/>
              <w:bottom w:w="0" w:type="dxa"/>
              <w:right w:w="108" w:type="dxa"/>
            </w:tcMar>
            <w:vAlign w:val="center"/>
            <w:hideMark/>
          </w:tcPr>
          <w:p w14:paraId="35F1C5D1" w14:textId="77777777" w:rsidR="00214ED1" w:rsidRPr="00214ED1" w:rsidRDefault="00214ED1" w:rsidP="00B36013">
            <w:pPr>
              <w:rPr>
                <w:rFonts w:cs="Arial"/>
                <w:sz w:val="20"/>
                <w:szCs w:val="20"/>
              </w:rPr>
            </w:pPr>
            <w:r w:rsidRPr="00214ED1">
              <w:rPr>
                <w:rFonts w:cs="Arial"/>
                <w:color w:val="000000"/>
                <w:sz w:val="20"/>
                <w:szCs w:val="20"/>
              </w:rPr>
              <w:t>Birthing in Our Community: gold standard Indigenous maternal infant health</w:t>
            </w:r>
          </w:p>
        </w:tc>
        <w:tc>
          <w:tcPr>
            <w:tcW w:w="4993" w:type="dxa"/>
            <w:tcBorders>
              <w:top w:val="single" w:sz="4" w:space="0" w:color="auto"/>
              <w:left w:val="single" w:sz="4" w:space="0" w:color="auto"/>
              <w:bottom w:val="single" w:sz="4" w:space="0" w:color="auto"/>
              <w:right w:val="single" w:sz="4" w:space="0" w:color="auto"/>
            </w:tcBorders>
            <w:shd w:val="clear" w:color="auto" w:fill="EAF1C1"/>
            <w:vAlign w:val="center"/>
          </w:tcPr>
          <w:p w14:paraId="4C05EF35" w14:textId="4CD84481" w:rsidR="00214ED1" w:rsidRPr="00214ED1" w:rsidRDefault="00214ED1" w:rsidP="00B36013">
            <w:pPr>
              <w:rPr>
                <w:rFonts w:cs="Arial"/>
                <w:sz w:val="20"/>
                <w:szCs w:val="20"/>
              </w:rPr>
            </w:pPr>
            <w:r w:rsidRPr="00214ED1">
              <w:rPr>
                <w:rFonts w:cs="Arial"/>
                <w:color w:val="000000"/>
                <w:sz w:val="20"/>
                <w:szCs w:val="20"/>
              </w:rPr>
              <w:t>Birthing in Our Community (</w:t>
            </w:r>
            <w:proofErr w:type="spellStart"/>
            <w:r w:rsidRPr="00214ED1">
              <w:rPr>
                <w:rFonts w:cs="Arial"/>
                <w:color w:val="000000"/>
                <w:sz w:val="20"/>
                <w:szCs w:val="20"/>
              </w:rPr>
              <w:t>BiOC</w:t>
            </w:r>
            <w:proofErr w:type="spellEnd"/>
            <w:r w:rsidRPr="00214ED1">
              <w:rPr>
                <w:rFonts w:cs="Arial"/>
                <w:color w:val="000000"/>
                <w:sz w:val="20"/>
                <w:szCs w:val="20"/>
              </w:rPr>
              <w:t xml:space="preserve">) is an Indigenous-led Maternal Infant Health program designed and implemented in Brisbane. </w:t>
            </w:r>
            <w:proofErr w:type="spellStart"/>
            <w:r w:rsidRPr="00214ED1">
              <w:rPr>
                <w:rFonts w:cs="Arial"/>
                <w:color w:val="000000"/>
                <w:sz w:val="20"/>
                <w:szCs w:val="20"/>
              </w:rPr>
              <w:t>BiOC’s</w:t>
            </w:r>
            <w:proofErr w:type="spellEnd"/>
            <w:r w:rsidRPr="00214ED1">
              <w:rPr>
                <w:rFonts w:cs="Arial"/>
                <w:color w:val="000000"/>
                <w:sz w:val="20"/>
                <w:szCs w:val="20"/>
              </w:rPr>
              <w:t xml:space="preserve"> outcomes, published in the Lancet Global Health (2021), show a 50% reduction in pre-term births, improvement in healthy weight babies, increased antenatal visits and an increase in exclusively breastfeeding at discharge. We will extend the reach of </w:t>
            </w:r>
            <w:proofErr w:type="spellStart"/>
            <w:r w:rsidRPr="00214ED1">
              <w:rPr>
                <w:rFonts w:cs="Arial"/>
                <w:color w:val="000000"/>
                <w:sz w:val="20"/>
                <w:szCs w:val="20"/>
              </w:rPr>
              <w:t>BiOC</w:t>
            </w:r>
            <w:proofErr w:type="spellEnd"/>
            <w:r w:rsidRPr="00214ED1">
              <w:rPr>
                <w:rFonts w:cs="Arial"/>
                <w:color w:val="000000"/>
                <w:sz w:val="20"/>
                <w:szCs w:val="20"/>
              </w:rPr>
              <w:t xml:space="preserve"> to three settings and follow cohorts of families (n=~1800) to assess clinical outcomes and program acceptability. Further, we will evaluate scalability, sustainability, feasibility and cost effectiveness of this ‘gold standard’ program. Our goal is to build the evidence base to support adaptation and implementation of </w:t>
            </w:r>
            <w:proofErr w:type="spellStart"/>
            <w:r w:rsidRPr="00214ED1">
              <w:rPr>
                <w:rFonts w:cs="Arial"/>
                <w:color w:val="000000"/>
                <w:sz w:val="20"/>
                <w:szCs w:val="20"/>
              </w:rPr>
              <w:t>BiOC</w:t>
            </w:r>
            <w:proofErr w:type="spellEnd"/>
            <w:r w:rsidRPr="00214ED1">
              <w:rPr>
                <w:rFonts w:cs="Arial"/>
                <w:color w:val="000000"/>
                <w:sz w:val="20"/>
                <w:szCs w:val="20"/>
              </w:rPr>
              <w:t xml:space="preserve"> programs in urban Indigenous communities.</w:t>
            </w:r>
          </w:p>
        </w:tc>
        <w:tc>
          <w:tcPr>
            <w:tcW w:w="1337" w:type="dxa"/>
            <w:tcBorders>
              <w:top w:val="nil"/>
              <w:left w:val="single" w:sz="4" w:space="0" w:color="auto"/>
              <w:bottom w:val="single" w:sz="8" w:space="0" w:color="auto"/>
              <w:right w:val="single" w:sz="8" w:space="0" w:color="auto"/>
            </w:tcBorders>
            <w:shd w:val="clear" w:color="auto" w:fill="EAF1C1"/>
            <w:noWrap/>
            <w:tcMar>
              <w:top w:w="0" w:type="dxa"/>
              <w:left w:w="108" w:type="dxa"/>
              <w:bottom w:w="0" w:type="dxa"/>
              <w:right w:w="108" w:type="dxa"/>
            </w:tcMar>
            <w:vAlign w:val="center"/>
            <w:hideMark/>
          </w:tcPr>
          <w:p w14:paraId="173EC5C2" w14:textId="1BF61EBD" w:rsidR="00214ED1" w:rsidRPr="00214ED1" w:rsidRDefault="00214ED1" w:rsidP="00B36013">
            <w:pPr>
              <w:rPr>
                <w:rFonts w:cs="Arial"/>
                <w:sz w:val="20"/>
                <w:szCs w:val="20"/>
              </w:rPr>
            </w:pPr>
            <w:r w:rsidRPr="00214ED1">
              <w:rPr>
                <w:rFonts w:cs="Arial"/>
                <w:sz w:val="20"/>
                <w:szCs w:val="20"/>
              </w:rPr>
              <w:t xml:space="preserve">Institute of Urban Indigenous Health </w:t>
            </w:r>
          </w:p>
        </w:tc>
        <w:tc>
          <w:tcPr>
            <w:tcW w:w="1276" w:type="dxa"/>
            <w:tcBorders>
              <w:top w:val="nil"/>
              <w:left w:val="nil"/>
              <w:bottom w:val="single" w:sz="8" w:space="0" w:color="auto"/>
              <w:right w:val="single" w:sz="8" w:space="0" w:color="auto"/>
            </w:tcBorders>
            <w:shd w:val="clear" w:color="auto" w:fill="EAF1C1"/>
            <w:noWrap/>
            <w:tcMar>
              <w:top w:w="0" w:type="dxa"/>
              <w:left w:w="108" w:type="dxa"/>
              <w:bottom w:w="0" w:type="dxa"/>
              <w:right w:w="108" w:type="dxa"/>
            </w:tcMar>
            <w:vAlign w:val="center"/>
            <w:hideMark/>
          </w:tcPr>
          <w:p w14:paraId="5E356D5B" w14:textId="032B4BF2" w:rsidR="00214ED1" w:rsidRPr="00214ED1" w:rsidRDefault="00214ED1" w:rsidP="00B36013">
            <w:pPr>
              <w:rPr>
                <w:rFonts w:cs="Arial"/>
                <w:sz w:val="20"/>
                <w:szCs w:val="20"/>
              </w:rPr>
            </w:pPr>
            <w:r w:rsidRPr="00214ED1">
              <w:rPr>
                <w:rFonts w:cs="Arial"/>
                <w:sz w:val="20"/>
                <w:szCs w:val="20"/>
              </w:rPr>
              <w:t>4,999,156</w:t>
            </w:r>
          </w:p>
        </w:tc>
      </w:tr>
      <w:tr w:rsidR="00D361EA" w:rsidRPr="00214ED1" w14:paraId="5DE0C9EB" w14:textId="77777777" w:rsidTr="00F976DF">
        <w:trPr>
          <w:cantSplit/>
          <w:trHeight w:val="143"/>
        </w:trPr>
        <w:tc>
          <w:tcPr>
            <w:tcW w:w="174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1F31A3C3" w14:textId="77777777" w:rsidR="00214ED1" w:rsidRPr="00214ED1" w:rsidRDefault="00214ED1" w:rsidP="00B36013">
            <w:pPr>
              <w:rPr>
                <w:rFonts w:cs="Arial"/>
                <w:sz w:val="20"/>
                <w:szCs w:val="20"/>
              </w:rPr>
            </w:pPr>
            <w:r w:rsidRPr="00214ED1">
              <w:rPr>
                <w:rFonts w:cs="Arial"/>
                <w:color w:val="000000"/>
                <w:sz w:val="20"/>
                <w:szCs w:val="20"/>
              </w:rPr>
              <w:t>Replanting the Birthing Trees to Support First Nations Parents and Babies</w:t>
            </w:r>
          </w:p>
        </w:tc>
        <w:tc>
          <w:tcPr>
            <w:tcW w:w="4993" w:type="dxa"/>
            <w:tcBorders>
              <w:top w:val="single" w:sz="4" w:space="0" w:color="auto"/>
              <w:left w:val="single" w:sz="4" w:space="0" w:color="auto"/>
              <w:bottom w:val="single" w:sz="4" w:space="0" w:color="auto"/>
              <w:right w:val="single" w:sz="4" w:space="0" w:color="auto"/>
            </w:tcBorders>
            <w:vAlign w:val="center"/>
          </w:tcPr>
          <w:p w14:paraId="6C34C0DE" w14:textId="1FC8DF08" w:rsidR="00214ED1" w:rsidRPr="00214ED1" w:rsidRDefault="00214ED1" w:rsidP="00B36013">
            <w:pPr>
              <w:rPr>
                <w:rFonts w:cs="Arial"/>
                <w:color w:val="000000"/>
                <w:sz w:val="20"/>
                <w:szCs w:val="20"/>
              </w:rPr>
            </w:pPr>
            <w:r w:rsidRPr="00214ED1">
              <w:rPr>
                <w:rFonts w:cs="Arial"/>
                <w:color w:val="000000"/>
                <w:sz w:val="20"/>
                <w:szCs w:val="20"/>
              </w:rPr>
              <w:t>This First Nations-led project aims to transform intergenerational cycles of trauma to support parents in achieving their hopes and dreams for a happy, safe and healthy family. We will do this by building infrastructure for culturally-safe, trauma-integrated, holistic, transdisciplinary perinatal care, critical in the first 2000 days. Based on rigorous co-design, this innovative program includes: a resource repository for parents, clinicians and decision-makers; support framework; integrated culturally-validated assessment tool; workforce development resources; culturally and emotionally safe continuity-of-care implementation toolkit; and a therapeutic model to support families with complex social and emotional needs to stay together.</w:t>
            </w:r>
          </w:p>
        </w:tc>
        <w:tc>
          <w:tcPr>
            <w:tcW w:w="133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4E643AFE" w14:textId="1AB6A716" w:rsidR="00214ED1" w:rsidRPr="00214ED1" w:rsidRDefault="00214ED1" w:rsidP="00B36013">
            <w:pPr>
              <w:rPr>
                <w:rFonts w:cs="Arial"/>
                <w:color w:val="000000"/>
                <w:sz w:val="20"/>
                <w:szCs w:val="20"/>
              </w:rPr>
            </w:pPr>
            <w:r w:rsidRPr="00214ED1">
              <w:rPr>
                <w:rFonts w:cs="Arial"/>
                <w:color w:val="000000"/>
                <w:sz w:val="20"/>
                <w:szCs w:val="20"/>
              </w:rPr>
              <w:t xml:space="preserve">University of Melbourne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38033A" w14:textId="2F0D21F0" w:rsidR="00214ED1" w:rsidRPr="00214ED1" w:rsidRDefault="00214ED1" w:rsidP="00B36013">
            <w:pPr>
              <w:rPr>
                <w:rFonts w:cs="Arial"/>
                <w:color w:val="333333"/>
                <w:sz w:val="20"/>
                <w:szCs w:val="20"/>
              </w:rPr>
            </w:pPr>
            <w:r w:rsidRPr="00214ED1">
              <w:rPr>
                <w:rFonts w:cs="Arial"/>
                <w:color w:val="333333"/>
                <w:sz w:val="20"/>
                <w:szCs w:val="20"/>
              </w:rPr>
              <w:t>4,999,905</w:t>
            </w:r>
          </w:p>
        </w:tc>
      </w:tr>
      <w:tr w:rsidR="00D361EA" w:rsidRPr="00214ED1" w14:paraId="064ACC2C" w14:textId="77777777" w:rsidTr="00F976DF">
        <w:trPr>
          <w:cantSplit/>
          <w:trHeight w:val="60"/>
        </w:trPr>
        <w:tc>
          <w:tcPr>
            <w:tcW w:w="1740" w:type="dxa"/>
            <w:tcBorders>
              <w:top w:val="nil"/>
              <w:left w:val="single" w:sz="8" w:space="0" w:color="auto"/>
              <w:bottom w:val="single" w:sz="8" w:space="0" w:color="auto"/>
              <w:right w:val="single" w:sz="4" w:space="0" w:color="auto"/>
            </w:tcBorders>
            <w:shd w:val="clear" w:color="auto" w:fill="EAF1C1"/>
            <w:tcMar>
              <w:top w:w="0" w:type="dxa"/>
              <w:left w:w="108" w:type="dxa"/>
              <w:bottom w:w="0" w:type="dxa"/>
              <w:right w:w="108" w:type="dxa"/>
            </w:tcMar>
            <w:vAlign w:val="center"/>
            <w:hideMark/>
          </w:tcPr>
          <w:p w14:paraId="13AF3456" w14:textId="77777777" w:rsidR="00214ED1" w:rsidRPr="00214ED1" w:rsidRDefault="00214ED1" w:rsidP="00B36013">
            <w:pPr>
              <w:rPr>
                <w:rFonts w:cs="Arial"/>
                <w:sz w:val="20"/>
                <w:szCs w:val="20"/>
              </w:rPr>
            </w:pPr>
            <w:r w:rsidRPr="00214ED1">
              <w:rPr>
                <w:rFonts w:cs="Arial"/>
                <w:color w:val="000000"/>
                <w:sz w:val="20"/>
                <w:szCs w:val="20"/>
              </w:rPr>
              <w:lastRenderedPageBreak/>
              <w:t>Optimisation of screening and management of hyperglycaemia in pregnancy</w:t>
            </w:r>
          </w:p>
        </w:tc>
        <w:tc>
          <w:tcPr>
            <w:tcW w:w="4993" w:type="dxa"/>
            <w:tcBorders>
              <w:top w:val="single" w:sz="4" w:space="0" w:color="auto"/>
              <w:left w:val="single" w:sz="4" w:space="0" w:color="auto"/>
              <w:bottom w:val="single" w:sz="4" w:space="0" w:color="auto"/>
              <w:right w:val="single" w:sz="4" w:space="0" w:color="auto"/>
            </w:tcBorders>
            <w:shd w:val="clear" w:color="auto" w:fill="EAF1C1"/>
            <w:vAlign w:val="center"/>
          </w:tcPr>
          <w:p w14:paraId="00CEAA7B" w14:textId="78210B65" w:rsidR="00214ED1" w:rsidRPr="00214ED1" w:rsidRDefault="00214ED1" w:rsidP="00B36013">
            <w:pPr>
              <w:rPr>
                <w:rFonts w:cs="Arial"/>
                <w:color w:val="000000"/>
                <w:sz w:val="20"/>
                <w:szCs w:val="20"/>
              </w:rPr>
            </w:pPr>
            <w:r w:rsidRPr="00214ED1">
              <w:rPr>
                <w:rFonts w:cs="Arial"/>
                <w:color w:val="000000"/>
                <w:sz w:val="20"/>
                <w:szCs w:val="20"/>
              </w:rPr>
              <w:t>High blood glucose in pregnancy increases babies’ risk of being born premature, by caesarean, larger/smaller than optimum, with low blood glucose levels, and difficulty breathing. This project will implement, evaluate and refine alternative screening for detecting high blood glucose in pregnancy at regional, state and national levels. We will use three-way learning between Aboriginal community members, health providers and researchers to co-design and trial self-management strategies for high blood glucose in pregnancy. This project will empower Aboriginal women and their families to make positive lifestyle choices aimed at improving birth outcomes and health for subsequent pregnancies and prevent or delay progression to chronic disease.</w:t>
            </w:r>
          </w:p>
        </w:tc>
        <w:tc>
          <w:tcPr>
            <w:tcW w:w="1337" w:type="dxa"/>
            <w:tcBorders>
              <w:top w:val="nil"/>
              <w:left w:val="single" w:sz="4" w:space="0" w:color="auto"/>
              <w:bottom w:val="single" w:sz="8" w:space="0" w:color="auto"/>
              <w:right w:val="single" w:sz="8" w:space="0" w:color="auto"/>
            </w:tcBorders>
            <w:shd w:val="clear" w:color="auto" w:fill="EAF1C1"/>
            <w:noWrap/>
            <w:tcMar>
              <w:top w:w="0" w:type="dxa"/>
              <w:left w:w="108" w:type="dxa"/>
              <w:bottom w:w="0" w:type="dxa"/>
              <w:right w:w="108" w:type="dxa"/>
            </w:tcMar>
            <w:vAlign w:val="center"/>
            <w:hideMark/>
          </w:tcPr>
          <w:p w14:paraId="4377734D" w14:textId="3ED80899" w:rsidR="00214ED1" w:rsidRPr="00214ED1" w:rsidRDefault="00214ED1" w:rsidP="00B36013">
            <w:pPr>
              <w:rPr>
                <w:rFonts w:cs="Arial"/>
                <w:color w:val="000000"/>
                <w:sz w:val="20"/>
                <w:szCs w:val="20"/>
              </w:rPr>
            </w:pPr>
            <w:r w:rsidRPr="00214ED1">
              <w:rPr>
                <w:rFonts w:cs="Arial"/>
                <w:color w:val="000000"/>
                <w:sz w:val="20"/>
                <w:szCs w:val="20"/>
              </w:rPr>
              <w:t xml:space="preserve">Derby Aboriginal Health Service </w:t>
            </w:r>
          </w:p>
        </w:tc>
        <w:tc>
          <w:tcPr>
            <w:tcW w:w="1276" w:type="dxa"/>
            <w:tcBorders>
              <w:top w:val="nil"/>
              <w:left w:val="nil"/>
              <w:bottom w:val="single" w:sz="8" w:space="0" w:color="auto"/>
              <w:right w:val="single" w:sz="8" w:space="0" w:color="auto"/>
            </w:tcBorders>
            <w:shd w:val="clear" w:color="auto" w:fill="EAF1C1"/>
            <w:noWrap/>
            <w:tcMar>
              <w:top w:w="0" w:type="dxa"/>
              <w:left w:w="108" w:type="dxa"/>
              <w:bottom w:w="0" w:type="dxa"/>
              <w:right w:w="108" w:type="dxa"/>
            </w:tcMar>
            <w:vAlign w:val="center"/>
            <w:hideMark/>
          </w:tcPr>
          <w:p w14:paraId="588F2351" w14:textId="25DBAF4F" w:rsidR="00214ED1" w:rsidRPr="00214ED1" w:rsidRDefault="00214ED1" w:rsidP="00B36013">
            <w:pPr>
              <w:rPr>
                <w:rFonts w:cs="Arial"/>
                <w:color w:val="333333"/>
                <w:sz w:val="20"/>
                <w:szCs w:val="20"/>
              </w:rPr>
            </w:pPr>
            <w:r w:rsidRPr="00214ED1">
              <w:rPr>
                <w:rFonts w:cs="Arial"/>
                <w:color w:val="333333"/>
                <w:sz w:val="20"/>
                <w:szCs w:val="20"/>
              </w:rPr>
              <w:t>3,236,071</w:t>
            </w:r>
          </w:p>
        </w:tc>
      </w:tr>
      <w:tr w:rsidR="00D361EA" w:rsidRPr="00214ED1" w14:paraId="1EC534ED" w14:textId="77777777" w:rsidTr="00F976DF">
        <w:trPr>
          <w:cantSplit/>
          <w:trHeight w:val="60"/>
        </w:trPr>
        <w:tc>
          <w:tcPr>
            <w:tcW w:w="174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7E875D1E" w14:textId="77777777" w:rsidR="00214ED1" w:rsidRPr="00214ED1" w:rsidRDefault="00214ED1" w:rsidP="00B36013">
            <w:pPr>
              <w:rPr>
                <w:rFonts w:cs="Arial"/>
                <w:sz w:val="20"/>
                <w:szCs w:val="20"/>
              </w:rPr>
            </w:pPr>
            <w:proofErr w:type="spellStart"/>
            <w:r w:rsidRPr="00214ED1">
              <w:rPr>
                <w:rFonts w:cs="Arial"/>
                <w:color w:val="000000"/>
                <w:sz w:val="20"/>
                <w:szCs w:val="20"/>
              </w:rPr>
              <w:t>Arelhe</w:t>
            </w:r>
            <w:proofErr w:type="spellEnd"/>
            <w:r w:rsidRPr="00214ED1">
              <w:rPr>
                <w:rFonts w:cs="Arial"/>
                <w:color w:val="000000"/>
                <w:sz w:val="20"/>
                <w:szCs w:val="20"/>
              </w:rPr>
              <w:t xml:space="preserve"> ante </w:t>
            </w:r>
            <w:proofErr w:type="spellStart"/>
            <w:r w:rsidRPr="00214ED1">
              <w:rPr>
                <w:rFonts w:cs="Arial"/>
                <w:color w:val="000000"/>
                <w:sz w:val="20"/>
                <w:szCs w:val="20"/>
              </w:rPr>
              <w:t>areyele</w:t>
            </w:r>
            <w:proofErr w:type="spellEnd"/>
            <w:r w:rsidRPr="00214ED1">
              <w:rPr>
                <w:rFonts w:cs="Arial"/>
                <w:color w:val="000000"/>
                <w:sz w:val="20"/>
                <w:szCs w:val="20"/>
              </w:rPr>
              <w:t xml:space="preserve"> </w:t>
            </w:r>
            <w:proofErr w:type="spellStart"/>
            <w:r w:rsidRPr="00214ED1">
              <w:rPr>
                <w:rFonts w:cs="Arial"/>
                <w:color w:val="000000"/>
                <w:sz w:val="20"/>
                <w:szCs w:val="20"/>
              </w:rPr>
              <w:t>arntarnte-arelhetyeke</w:t>
            </w:r>
            <w:proofErr w:type="spellEnd"/>
            <w:r w:rsidRPr="00214ED1">
              <w:rPr>
                <w:rFonts w:cs="Arial"/>
                <w:color w:val="000000"/>
                <w:sz w:val="20"/>
                <w:szCs w:val="20"/>
              </w:rPr>
              <w:t xml:space="preserve"> </w:t>
            </w:r>
            <w:proofErr w:type="spellStart"/>
            <w:r w:rsidRPr="00214ED1">
              <w:rPr>
                <w:rFonts w:cs="Arial"/>
                <w:color w:val="000000"/>
                <w:sz w:val="20"/>
                <w:szCs w:val="20"/>
              </w:rPr>
              <w:t>ampe</w:t>
            </w:r>
            <w:proofErr w:type="spellEnd"/>
            <w:r w:rsidRPr="00214ED1">
              <w:rPr>
                <w:rFonts w:cs="Arial"/>
                <w:color w:val="000000"/>
                <w:sz w:val="20"/>
                <w:szCs w:val="20"/>
              </w:rPr>
              <w:t xml:space="preserve"> </w:t>
            </w:r>
            <w:proofErr w:type="spellStart"/>
            <w:r w:rsidRPr="00214ED1">
              <w:rPr>
                <w:rFonts w:cs="Arial"/>
                <w:color w:val="000000"/>
                <w:sz w:val="20"/>
                <w:szCs w:val="20"/>
              </w:rPr>
              <w:t>akweke</w:t>
            </w:r>
            <w:proofErr w:type="spellEnd"/>
            <w:r w:rsidRPr="00214ED1">
              <w:rPr>
                <w:rFonts w:cs="Arial"/>
                <w:color w:val="000000"/>
                <w:sz w:val="20"/>
                <w:szCs w:val="20"/>
              </w:rPr>
              <w:t xml:space="preserve"> </w:t>
            </w:r>
            <w:proofErr w:type="spellStart"/>
            <w:r w:rsidRPr="00214ED1">
              <w:rPr>
                <w:rFonts w:cs="Arial"/>
                <w:color w:val="000000"/>
                <w:sz w:val="20"/>
                <w:szCs w:val="20"/>
              </w:rPr>
              <w:t>arle</w:t>
            </w:r>
            <w:proofErr w:type="spellEnd"/>
            <w:r w:rsidRPr="00214ED1">
              <w:rPr>
                <w:rFonts w:cs="Arial"/>
                <w:color w:val="000000"/>
                <w:sz w:val="20"/>
                <w:szCs w:val="20"/>
              </w:rPr>
              <w:t xml:space="preserve"> </w:t>
            </w:r>
            <w:proofErr w:type="spellStart"/>
            <w:r w:rsidRPr="00214ED1">
              <w:rPr>
                <w:rFonts w:cs="Arial"/>
                <w:color w:val="000000"/>
                <w:sz w:val="20"/>
                <w:szCs w:val="20"/>
              </w:rPr>
              <w:t>atnyenetyenheke</w:t>
            </w:r>
            <w:proofErr w:type="spellEnd"/>
          </w:p>
        </w:tc>
        <w:tc>
          <w:tcPr>
            <w:tcW w:w="4993" w:type="dxa"/>
            <w:tcBorders>
              <w:top w:val="single" w:sz="4" w:space="0" w:color="auto"/>
              <w:left w:val="single" w:sz="4" w:space="0" w:color="auto"/>
              <w:bottom w:val="single" w:sz="4" w:space="0" w:color="auto"/>
              <w:right w:val="single" w:sz="4" w:space="0" w:color="auto"/>
            </w:tcBorders>
            <w:vAlign w:val="center"/>
          </w:tcPr>
          <w:p w14:paraId="1F0BB7E4" w14:textId="26BF2B90" w:rsidR="00214ED1" w:rsidRPr="00214ED1" w:rsidRDefault="00214ED1" w:rsidP="00B36013">
            <w:pPr>
              <w:rPr>
                <w:rFonts w:cs="Arial"/>
                <w:color w:val="000000"/>
                <w:sz w:val="20"/>
                <w:szCs w:val="20"/>
              </w:rPr>
            </w:pPr>
            <w:r w:rsidRPr="00214ED1">
              <w:rPr>
                <w:rFonts w:cs="Arial"/>
                <w:color w:val="000000"/>
                <w:sz w:val="20"/>
                <w:szCs w:val="20"/>
              </w:rPr>
              <w:t>This highly innovative First Nations-led project aims to transform compounding cycles of intergenerational trauma and harm to positively reinforce cycles of intergenerational nurturing and recovery for First Nations parents and babies. This project consists of a team of community leaders, peak bodies, health and social care services, education providers, mental and family health clinicians, researchers, and consumers who will collaborate to address critical and documented gaps in perinatal care and drive transformative shifts in policy and practice. This project will combine First Nations ways of knowing, being and doing with First Nations led co-designed innovative perinatal strategies to support parents to achieve their dreams for a happy, safe, and healthy family.</w:t>
            </w:r>
          </w:p>
        </w:tc>
        <w:tc>
          <w:tcPr>
            <w:tcW w:w="133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center"/>
            <w:hideMark/>
          </w:tcPr>
          <w:p w14:paraId="2A0C3D63" w14:textId="136EDC72" w:rsidR="00214ED1" w:rsidRPr="00214ED1" w:rsidRDefault="00214ED1" w:rsidP="00B36013">
            <w:pPr>
              <w:rPr>
                <w:rFonts w:cs="Arial"/>
                <w:color w:val="000000"/>
                <w:sz w:val="20"/>
                <w:szCs w:val="20"/>
              </w:rPr>
            </w:pPr>
            <w:r w:rsidRPr="00214ED1">
              <w:rPr>
                <w:rFonts w:cs="Arial"/>
                <w:color w:val="000000"/>
                <w:sz w:val="20"/>
                <w:szCs w:val="20"/>
              </w:rPr>
              <w:t xml:space="preserve">Children’s Ground Limited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9BD19D" w14:textId="77E1403D" w:rsidR="00214ED1" w:rsidRPr="00214ED1" w:rsidRDefault="00214ED1" w:rsidP="00B36013">
            <w:pPr>
              <w:rPr>
                <w:rFonts w:cs="Arial"/>
                <w:color w:val="000000"/>
                <w:sz w:val="20"/>
                <w:szCs w:val="20"/>
              </w:rPr>
            </w:pPr>
            <w:r w:rsidRPr="00214ED1">
              <w:rPr>
                <w:rFonts w:cs="Arial"/>
                <w:sz w:val="20"/>
                <w:szCs w:val="20"/>
              </w:rPr>
              <w:t>200,000</w:t>
            </w:r>
          </w:p>
        </w:tc>
      </w:tr>
    </w:tbl>
    <w:p w14:paraId="2E85DCB3" w14:textId="77777777" w:rsidR="00214ED1" w:rsidRPr="00AC00CA" w:rsidRDefault="00214ED1" w:rsidP="00214ED1">
      <w:pPr>
        <w:rPr>
          <w:rFonts w:ascii="Times New Roman" w:hAnsi="Times New Roman"/>
          <w:b/>
          <w:bCs/>
          <w:iCs/>
          <w:sz w:val="24"/>
        </w:rPr>
      </w:pPr>
    </w:p>
    <w:p w14:paraId="607085AF" w14:textId="0010FA4A" w:rsidR="00214ED1" w:rsidRPr="00290DFD" w:rsidRDefault="00214ED1" w:rsidP="0017128B">
      <w:pPr>
        <w:pStyle w:val="Heading2"/>
      </w:pPr>
      <w:r w:rsidRPr="00290DFD">
        <w:lastRenderedPageBreak/>
        <w:t>2020 Clinician Research</w:t>
      </w:r>
      <w:r w:rsidR="00141F4C">
        <w:t>ers: Applied Research in Health</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4A0" w:firstRow="1" w:lastRow="0" w:firstColumn="1" w:lastColumn="0" w:noHBand="0" w:noVBand="1"/>
      </w:tblPr>
      <w:tblGrid>
        <w:gridCol w:w="1728"/>
        <w:gridCol w:w="4930"/>
        <w:gridCol w:w="1417"/>
        <w:gridCol w:w="1276"/>
      </w:tblGrid>
      <w:tr w:rsidR="00290DFD" w:rsidRPr="00D361EA" w14:paraId="63AB0F7A" w14:textId="77777777" w:rsidTr="00F976DF">
        <w:trPr>
          <w:cantSplit/>
          <w:tblHeader/>
        </w:trPr>
        <w:tc>
          <w:tcPr>
            <w:tcW w:w="1728" w:type="dxa"/>
            <w:shd w:val="clear" w:color="auto" w:fill="ACC02A"/>
            <w:tcMar>
              <w:top w:w="0" w:type="dxa"/>
              <w:left w:w="108" w:type="dxa"/>
              <w:bottom w:w="0" w:type="dxa"/>
              <w:right w:w="108" w:type="dxa"/>
            </w:tcMar>
            <w:vAlign w:val="center"/>
            <w:hideMark/>
          </w:tcPr>
          <w:p w14:paraId="57C56F6D" w14:textId="00466D0C" w:rsidR="00D361EA" w:rsidRPr="00D361EA" w:rsidRDefault="00D361EA" w:rsidP="00B36013">
            <w:pPr>
              <w:rPr>
                <w:rFonts w:cs="Arial"/>
                <w:b/>
                <w:bCs/>
                <w:sz w:val="20"/>
                <w:szCs w:val="20"/>
              </w:rPr>
            </w:pPr>
            <w:r w:rsidRPr="00D361EA">
              <w:rPr>
                <w:rFonts w:cs="Arial"/>
                <w:b/>
                <w:bCs/>
                <w:sz w:val="20"/>
                <w:szCs w:val="20"/>
              </w:rPr>
              <w:t>Project Title</w:t>
            </w:r>
          </w:p>
        </w:tc>
        <w:tc>
          <w:tcPr>
            <w:tcW w:w="4930" w:type="dxa"/>
            <w:shd w:val="clear" w:color="auto" w:fill="ACC02A"/>
            <w:vAlign w:val="center"/>
          </w:tcPr>
          <w:p w14:paraId="6315DBBD" w14:textId="024A9AF6" w:rsidR="00D361EA" w:rsidRPr="00D361EA" w:rsidRDefault="00D361EA" w:rsidP="00B36013">
            <w:pPr>
              <w:rPr>
                <w:rFonts w:cs="Arial"/>
                <w:b/>
                <w:bCs/>
                <w:sz w:val="20"/>
                <w:szCs w:val="20"/>
              </w:rPr>
            </w:pPr>
            <w:r w:rsidRPr="00D361EA">
              <w:rPr>
                <w:rFonts w:cs="Arial"/>
                <w:b/>
                <w:bCs/>
                <w:sz w:val="20"/>
                <w:szCs w:val="20"/>
              </w:rPr>
              <w:t>Project Summary</w:t>
            </w:r>
          </w:p>
        </w:tc>
        <w:tc>
          <w:tcPr>
            <w:tcW w:w="1417" w:type="dxa"/>
            <w:shd w:val="clear" w:color="auto" w:fill="ACC02A"/>
            <w:tcMar>
              <w:top w:w="0" w:type="dxa"/>
              <w:left w:w="108" w:type="dxa"/>
              <w:bottom w:w="0" w:type="dxa"/>
              <w:right w:w="108" w:type="dxa"/>
            </w:tcMar>
            <w:vAlign w:val="center"/>
            <w:hideMark/>
          </w:tcPr>
          <w:p w14:paraId="4C50952B" w14:textId="33230F7C" w:rsidR="00D361EA" w:rsidRPr="00D361EA" w:rsidRDefault="00D361EA" w:rsidP="00B36013">
            <w:pPr>
              <w:rPr>
                <w:rFonts w:cs="Arial"/>
                <w:b/>
                <w:bCs/>
                <w:sz w:val="20"/>
                <w:szCs w:val="20"/>
              </w:rPr>
            </w:pPr>
            <w:r w:rsidRPr="00D361EA">
              <w:rPr>
                <w:rFonts w:cs="Arial"/>
                <w:b/>
                <w:bCs/>
                <w:sz w:val="20"/>
                <w:szCs w:val="20"/>
              </w:rPr>
              <w:t xml:space="preserve">Recipient </w:t>
            </w:r>
          </w:p>
        </w:tc>
        <w:tc>
          <w:tcPr>
            <w:tcW w:w="1276" w:type="dxa"/>
            <w:shd w:val="clear" w:color="auto" w:fill="ACC02A"/>
            <w:tcMar>
              <w:top w:w="0" w:type="dxa"/>
              <w:left w:w="108" w:type="dxa"/>
              <w:bottom w:w="0" w:type="dxa"/>
              <w:right w:w="108" w:type="dxa"/>
            </w:tcMar>
            <w:vAlign w:val="center"/>
            <w:hideMark/>
          </w:tcPr>
          <w:p w14:paraId="4A777407" w14:textId="62A40826" w:rsidR="00D361EA" w:rsidRPr="00D361EA" w:rsidRDefault="00D361EA" w:rsidP="00B36013">
            <w:pPr>
              <w:rPr>
                <w:rFonts w:cs="Arial"/>
                <w:sz w:val="20"/>
                <w:szCs w:val="20"/>
              </w:rPr>
            </w:pPr>
            <w:r w:rsidRPr="00D361EA">
              <w:rPr>
                <w:rFonts w:cs="Arial"/>
                <w:b/>
                <w:bCs/>
                <w:sz w:val="20"/>
                <w:szCs w:val="20"/>
              </w:rPr>
              <w:t>Funding Amount ($)</w:t>
            </w:r>
          </w:p>
        </w:tc>
      </w:tr>
      <w:tr w:rsidR="00290DFD" w:rsidRPr="00D361EA" w14:paraId="6A1A4F71" w14:textId="77777777" w:rsidTr="00F976DF">
        <w:trPr>
          <w:cantSplit/>
          <w:trHeight w:val="249"/>
        </w:trPr>
        <w:tc>
          <w:tcPr>
            <w:tcW w:w="1728" w:type="dxa"/>
            <w:shd w:val="clear" w:color="auto" w:fill="EAF1C1"/>
            <w:tcMar>
              <w:top w:w="0" w:type="dxa"/>
              <w:left w:w="108" w:type="dxa"/>
              <w:bottom w:w="0" w:type="dxa"/>
              <w:right w:w="108" w:type="dxa"/>
            </w:tcMar>
            <w:vAlign w:val="center"/>
            <w:hideMark/>
          </w:tcPr>
          <w:p w14:paraId="347D9A7B" w14:textId="77777777" w:rsidR="00D361EA" w:rsidRPr="00D361EA" w:rsidRDefault="00D361EA" w:rsidP="00B36013">
            <w:pPr>
              <w:rPr>
                <w:rFonts w:cs="Arial"/>
                <w:sz w:val="20"/>
                <w:szCs w:val="20"/>
              </w:rPr>
            </w:pPr>
            <w:bookmarkStart w:id="1" w:name="_Hlk97905819"/>
            <w:r w:rsidRPr="00D361EA">
              <w:rPr>
                <w:rFonts w:cs="Arial"/>
                <w:color w:val="000000"/>
                <w:sz w:val="20"/>
                <w:szCs w:val="20"/>
              </w:rPr>
              <w:t>Assessing cultural safety in GP Consultations for Indigenous Australians</w:t>
            </w:r>
          </w:p>
        </w:tc>
        <w:tc>
          <w:tcPr>
            <w:tcW w:w="4930" w:type="dxa"/>
            <w:shd w:val="clear" w:color="auto" w:fill="EAF1C1"/>
            <w:vAlign w:val="center"/>
          </w:tcPr>
          <w:p w14:paraId="6E969411" w14:textId="682B68B5" w:rsidR="00D361EA" w:rsidRPr="00D361EA" w:rsidRDefault="00D361EA" w:rsidP="00B36013">
            <w:pPr>
              <w:rPr>
                <w:rFonts w:cs="Arial"/>
                <w:color w:val="000000"/>
                <w:sz w:val="20"/>
                <w:szCs w:val="20"/>
              </w:rPr>
            </w:pPr>
            <w:r w:rsidRPr="00D361EA">
              <w:rPr>
                <w:rFonts w:cs="Arial"/>
                <w:color w:val="000000"/>
                <w:sz w:val="20"/>
                <w:szCs w:val="20"/>
              </w:rPr>
              <w:t>Significant health disparities exist for Australian Aboriginal and Torres Strait Islander people. Training a culturally safe health workforce is vital to address this issue. Despite recognition that the definition of cultural safety must be determined by Indigenous people and communities, there are currently no tools to assess cultural safety within consultations based on community-derived data.  This project will explore cultural safety as described by Australian Indigenous people, with the aim of developing a tool to assess general practitioner cultural safety based on these insights.  As an organisation involved in medical education, this project will allow us to assess cultural safety more appropriately in medical learners.</w:t>
            </w:r>
          </w:p>
        </w:tc>
        <w:tc>
          <w:tcPr>
            <w:tcW w:w="1417" w:type="dxa"/>
            <w:shd w:val="clear" w:color="auto" w:fill="EAF1C1"/>
            <w:tcMar>
              <w:top w:w="0" w:type="dxa"/>
              <w:left w:w="108" w:type="dxa"/>
              <w:bottom w:w="0" w:type="dxa"/>
              <w:right w:w="108" w:type="dxa"/>
            </w:tcMar>
            <w:vAlign w:val="center"/>
            <w:hideMark/>
          </w:tcPr>
          <w:p w14:paraId="519C2E62" w14:textId="589BDDBD" w:rsidR="00D361EA" w:rsidRPr="00D361EA" w:rsidRDefault="00D361EA" w:rsidP="00B36013">
            <w:pPr>
              <w:rPr>
                <w:rFonts w:cs="Arial"/>
                <w:color w:val="000000"/>
                <w:sz w:val="20"/>
                <w:szCs w:val="20"/>
              </w:rPr>
            </w:pPr>
            <w:r w:rsidRPr="00D361EA">
              <w:rPr>
                <w:rFonts w:cs="Arial"/>
                <w:color w:val="000000"/>
                <w:sz w:val="20"/>
                <w:szCs w:val="20"/>
              </w:rPr>
              <w:t>Queensland Rural Medical Education Limited</w:t>
            </w:r>
          </w:p>
        </w:tc>
        <w:tc>
          <w:tcPr>
            <w:tcW w:w="1276" w:type="dxa"/>
            <w:shd w:val="clear" w:color="auto" w:fill="EAF1C1"/>
            <w:tcMar>
              <w:top w:w="0" w:type="dxa"/>
              <w:left w:w="108" w:type="dxa"/>
              <w:bottom w:w="0" w:type="dxa"/>
              <w:right w:w="108" w:type="dxa"/>
            </w:tcMar>
            <w:vAlign w:val="center"/>
          </w:tcPr>
          <w:p w14:paraId="6FAC4D4D" w14:textId="176A5C7F" w:rsidR="00D361EA" w:rsidRPr="00D361EA" w:rsidRDefault="00D361EA" w:rsidP="00B36013">
            <w:pPr>
              <w:rPr>
                <w:rFonts w:cs="Arial"/>
                <w:color w:val="333333"/>
                <w:sz w:val="20"/>
                <w:szCs w:val="20"/>
              </w:rPr>
            </w:pPr>
            <w:r w:rsidRPr="00D361EA">
              <w:rPr>
                <w:rFonts w:cs="Arial"/>
                <w:color w:val="333333"/>
                <w:sz w:val="20"/>
                <w:szCs w:val="20"/>
              </w:rPr>
              <w:t>120,320</w:t>
            </w:r>
          </w:p>
          <w:p w14:paraId="401E6BCC" w14:textId="77777777" w:rsidR="00D361EA" w:rsidRPr="00D361EA" w:rsidRDefault="00D361EA" w:rsidP="00B36013">
            <w:pPr>
              <w:pStyle w:val="Default"/>
              <w:spacing w:line="252" w:lineRule="auto"/>
              <w:rPr>
                <w:sz w:val="20"/>
                <w:szCs w:val="20"/>
              </w:rPr>
            </w:pPr>
          </w:p>
        </w:tc>
      </w:tr>
      <w:tr w:rsidR="00290DFD" w:rsidRPr="00D361EA" w14:paraId="02DF7A5C" w14:textId="77777777" w:rsidTr="00F976DF">
        <w:trPr>
          <w:cantSplit/>
          <w:trHeight w:val="249"/>
        </w:trPr>
        <w:tc>
          <w:tcPr>
            <w:tcW w:w="1728" w:type="dxa"/>
            <w:tcMar>
              <w:top w:w="0" w:type="dxa"/>
              <w:left w:w="108" w:type="dxa"/>
              <w:bottom w:w="0" w:type="dxa"/>
              <w:right w:w="108" w:type="dxa"/>
            </w:tcMar>
            <w:vAlign w:val="center"/>
          </w:tcPr>
          <w:p w14:paraId="0E669631" w14:textId="77777777" w:rsidR="00D361EA" w:rsidRPr="00D361EA" w:rsidRDefault="00D361EA" w:rsidP="00B36013">
            <w:pPr>
              <w:rPr>
                <w:rFonts w:cs="Arial"/>
                <w:color w:val="000000"/>
                <w:sz w:val="20"/>
                <w:szCs w:val="20"/>
              </w:rPr>
            </w:pPr>
            <w:r w:rsidRPr="00D361EA">
              <w:rPr>
                <w:rFonts w:cs="Arial"/>
                <w:sz w:val="20"/>
                <w:szCs w:val="20"/>
              </w:rPr>
              <w:t>CURE-NG: A human challenge model to develop new treatments for gonorrhoea</w:t>
            </w:r>
          </w:p>
        </w:tc>
        <w:tc>
          <w:tcPr>
            <w:tcW w:w="4930" w:type="dxa"/>
            <w:vAlign w:val="center"/>
          </w:tcPr>
          <w:p w14:paraId="296F11EA" w14:textId="645CC81C" w:rsidR="00D361EA" w:rsidRPr="00D361EA" w:rsidRDefault="00D361EA" w:rsidP="00B36013">
            <w:pPr>
              <w:rPr>
                <w:rFonts w:cs="Arial"/>
                <w:color w:val="000000"/>
                <w:sz w:val="20"/>
                <w:szCs w:val="20"/>
              </w:rPr>
            </w:pPr>
            <w:r w:rsidRPr="00D361EA">
              <w:rPr>
                <w:rFonts w:cs="Arial"/>
                <w:sz w:val="20"/>
                <w:szCs w:val="20"/>
              </w:rPr>
              <w:t>The CURE-NG project will:</w:t>
            </w:r>
            <w:r w:rsidRPr="00D361EA">
              <w:rPr>
                <w:rFonts w:cs="Arial"/>
                <w:sz w:val="20"/>
                <w:szCs w:val="20"/>
              </w:rPr>
              <w:br/>
              <w:t>- Undertake translational research to develop treatments that will address the rising incidence of gonorrhoea and the critical threat of drug-resistant infection</w:t>
            </w:r>
            <w:r w:rsidRPr="00D361EA">
              <w:rPr>
                <w:rFonts w:cs="Arial"/>
                <w:sz w:val="20"/>
                <w:szCs w:val="20"/>
              </w:rPr>
              <w:br/>
              <w:t>- Develop and implement a controlled human infection model (CHIM) of male gonorrhoea urethritis and a first-in-human oropharyngeal gonorrhoea CHIM</w:t>
            </w:r>
            <w:r w:rsidRPr="00D361EA">
              <w:rPr>
                <w:rFonts w:cs="Arial"/>
                <w:sz w:val="20"/>
                <w:szCs w:val="20"/>
              </w:rPr>
              <w:br/>
              <w:t>- Transform how biomedical interventions for gonorrhoea are developed</w:t>
            </w:r>
            <w:r w:rsidRPr="00D361EA">
              <w:rPr>
                <w:rFonts w:cs="Arial"/>
                <w:sz w:val="20"/>
                <w:szCs w:val="20"/>
              </w:rPr>
              <w:br/>
              <w:t>- Accelerate antimicrobial and vaccine development for gonorrhoea</w:t>
            </w:r>
            <w:r w:rsidRPr="00D361EA">
              <w:rPr>
                <w:rFonts w:cs="Arial"/>
                <w:sz w:val="20"/>
                <w:szCs w:val="20"/>
              </w:rPr>
              <w:br/>
              <w:t>- Substantially build Australia’s clinical trial capability and leadership</w:t>
            </w:r>
            <w:r w:rsidRPr="00D361EA">
              <w:rPr>
                <w:rFonts w:cs="Arial"/>
                <w:sz w:val="20"/>
                <w:szCs w:val="20"/>
              </w:rPr>
              <w:br/>
              <w:t>- Embed the emerging technology of microbial genomics into CHIM translational research</w:t>
            </w:r>
            <w:r w:rsidRPr="00D361EA">
              <w:rPr>
                <w:rFonts w:cs="Arial"/>
                <w:sz w:val="20"/>
                <w:szCs w:val="20"/>
              </w:rPr>
              <w:br/>
              <w:t>- Enhance translational workforce capability and specific capacity to use CHIMs for clinical translation</w:t>
            </w:r>
          </w:p>
        </w:tc>
        <w:tc>
          <w:tcPr>
            <w:tcW w:w="1417" w:type="dxa"/>
            <w:tcMar>
              <w:top w:w="0" w:type="dxa"/>
              <w:left w:w="108" w:type="dxa"/>
              <w:bottom w:w="0" w:type="dxa"/>
              <w:right w:w="108" w:type="dxa"/>
            </w:tcMar>
            <w:vAlign w:val="center"/>
          </w:tcPr>
          <w:p w14:paraId="109C9E1C" w14:textId="21BB4C69" w:rsidR="00D361EA" w:rsidRPr="00D361EA" w:rsidRDefault="00D361EA" w:rsidP="00B36013">
            <w:pPr>
              <w:rPr>
                <w:rFonts w:cs="Arial"/>
                <w:color w:val="000000"/>
                <w:sz w:val="20"/>
                <w:szCs w:val="20"/>
              </w:rPr>
            </w:pPr>
            <w:r w:rsidRPr="00D361EA">
              <w:rPr>
                <w:rFonts w:cs="Arial"/>
                <w:color w:val="000000"/>
                <w:sz w:val="20"/>
                <w:szCs w:val="20"/>
              </w:rPr>
              <w:t>University Of Melbourne</w:t>
            </w:r>
          </w:p>
        </w:tc>
        <w:tc>
          <w:tcPr>
            <w:tcW w:w="1276" w:type="dxa"/>
            <w:tcMar>
              <w:top w:w="0" w:type="dxa"/>
              <w:left w:w="108" w:type="dxa"/>
              <w:bottom w:w="0" w:type="dxa"/>
              <w:right w:w="108" w:type="dxa"/>
            </w:tcMar>
            <w:vAlign w:val="center"/>
          </w:tcPr>
          <w:p w14:paraId="636A5683" w14:textId="666B432F" w:rsidR="00D361EA" w:rsidRPr="00D361EA" w:rsidRDefault="00D361EA" w:rsidP="00B36013">
            <w:pPr>
              <w:rPr>
                <w:rFonts w:cs="Arial"/>
                <w:color w:val="333333"/>
                <w:sz w:val="20"/>
                <w:szCs w:val="20"/>
              </w:rPr>
            </w:pPr>
            <w:r w:rsidRPr="00D361EA">
              <w:rPr>
                <w:rFonts w:cs="Arial"/>
                <w:color w:val="333333"/>
                <w:sz w:val="20"/>
                <w:szCs w:val="20"/>
              </w:rPr>
              <w:t>2,300,321</w:t>
            </w:r>
          </w:p>
          <w:p w14:paraId="0185BE3A" w14:textId="77777777" w:rsidR="00D361EA" w:rsidRPr="00D361EA" w:rsidRDefault="00D361EA" w:rsidP="00B36013">
            <w:pPr>
              <w:rPr>
                <w:rFonts w:cs="Arial"/>
                <w:color w:val="333333"/>
                <w:sz w:val="20"/>
                <w:szCs w:val="20"/>
              </w:rPr>
            </w:pPr>
          </w:p>
        </w:tc>
      </w:tr>
      <w:tr w:rsidR="00290DFD" w:rsidRPr="00D361EA" w14:paraId="6ED5DD82" w14:textId="77777777" w:rsidTr="00F976DF">
        <w:trPr>
          <w:cantSplit/>
          <w:trHeight w:val="249"/>
        </w:trPr>
        <w:tc>
          <w:tcPr>
            <w:tcW w:w="1728" w:type="dxa"/>
            <w:shd w:val="clear" w:color="auto" w:fill="EAF1C1"/>
            <w:tcMar>
              <w:top w:w="0" w:type="dxa"/>
              <w:left w:w="108" w:type="dxa"/>
              <w:bottom w:w="0" w:type="dxa"/>
              <w:right w:w="108" w:type="dxa"/>
            </w:tcMar>
            <w:vAlign w:val="center"/>
          </w:tcPr>
          <w:p w14:paraId="5265D33E" w14:textId="77777777" w:rsidR="00D361EA" w:rsidRPr="00D361EA" w:rsidRDefault="00D361EA" w:rsidP="00B36013">
            <w:pPr>
              <w:rPr>
                <w:rFonts w:cs="Arial"/>
                <w:color w:val="000000"/>
                <w:sz w:val="20"/>
                <w:szCs w:val="20"/>
              </w:rPr>
            </w:pPr>
            <w:r w:rsidRPr="00D361EA">
              <w:rPr>
                <w:rFonts w:cs="Arial"/>
                <w:sz w:val="20"/>
                <w:szCs w:val="20"/>
              </w:rPr>
              <w:t>Enhancing prison-to-community mental healthcare for Aboriginal prisoners</w:t>
            </w:r>
          </w:p>
        </w:tc>
        <w:tc>
          <w:tcPr>
            <w:tcW w:w="4930" w:type="dxa"/>
            <w:shd w:val="clear" w:color="auto" w:fill="EAF1C1"/>
            <w:vAlign w:val="center"/>
          </w:tcPr>
          <w:p w14:paraId="4F54CE87" w14:textId="5675CAA3" w:rsidR="00D361EA" w:rsidRPr="00D361EA" w:rsidRDefault="00D361EA" w:rsidP="00B36013">
            <w:pPr>
              <w:rPr>
                <w:rFonts w:cs="Arial"/>
                <w:color w:val="000000"/>
                <w:sz w:val="20"/>
                <w:szCs w:val="20"/>
              </w:rPr>
            </w:pPr>
            <w:r w:rsidRPr="00D361EA">
              <w:rPr>
                <w:rFonts w:cs="Arial"/>
                <w:sz w:val="20"/>
                <w:szCs w:val="20"/>
              </w:rPr>
              <w:t>Aboriginal and/or Torres Strait Islander people are incarcerated at an alarming rate and those in prison often suffer with significant mental health need associated with elevated risk of poor outcomes before and after return to the community. The proposed research project aims to test the effectiveness of a new culturally-enhanced and release-focused mental health intervention designed to improve both mental health care in prison and to support the critical prison-to-community transition for Aboriginal and/or Torres Strait Islander men and women. The project is led by clinicians and Aboriginal Health workers, and additionally aims to build clinical research capacity in this vitally important field.</w:t>
            </w:r>
          </w:p>
        </w:tc>
        <w:tc>
          <w:tcPr>
            <w:tcW w:w="1417" w:type="dxa"/>
            <w:shd w:val="clear" w:color="auto" w:fill="EAF1C1"/>
            <w:tcMar>
              <w:top w:w="0" w:type="dxa"/>
              <w:left w:w="108" w:type="dxa"/>
              <w:bottom w:w="0" w:type="dxa"/>
              <w:right w:w="108" w:type="dxa"/>
            </w:tcMar>
            <w:vAlign w:val="center"/>
          </w:tcPr>
          <w:p w14:paraId="2765E33A" w14:textId="250F1992" w:rsidR="00D361EA" w:rsidRPr="00D361EA" w:rsidRDefault="00D361EA" w:rsidP="00B36013">
            <w:pPr>
              <w:rPr>
                <w:rFonts w:cs="Arial"/>
                <w:color w:val="000000"/>
                <w:sz w:val="20"/>
                <w:szCs w:val="20"/>
              </w:rPr>
            </w:pPr>
            <w:r w:rsidRPr="00D361EA">
              <w:rPr>
                <w:rFonts w:cs="Arial"/>
                <w:color w:val="000000"/>
                <w:sz w:val="20"/>
                <w:szCs w:val="20"/>
              </w:rPr>
              <w:t>University Of New South Wales</w:t>
            </w:r>
          </w:p>
        </w:tc>
        <w:tc>
          <w:tcPr>
            <w:tcW w:w="1276" w:type="dxa"/>
            <w:shd w:val="clear" w:color="auto" w:fill="EAF1C1"/>
            <w:tcMar>
              <w:top w:w="0" w:type="dxa"/>
              <w:left w:w="108" w:type="dxa"/>
              <w:bottom w:w="0" w:type="dxa"/>
              <w:right w:w="108" w:type="dxa"/>
            </w:tcMar>
            <w:vAlign w:val="center"/>
          </w:tcPr>
          <w:p w14:paraId="0ACAF04E" w14:textId="3BFD541E" w:rsidR="00D361EA" w:rsidRPr="00D361EA" w:rsidRDefault="00D361EA" w:rsidP="00B36013">
            <w:pPr>
              <w:rPr>
                <w:rFonts w:cs="Arial"/>
                <w:color w:val="333333"/>
                <w:sz w:val="20"/>
                <w:szCs w:val="20"/>
              </w:rPr>
            </w:pPr>
            <w:r w:rsidRPr="00D361EA">
              <w:rPr>
                <w:rFonts w:cs="Arial"/>
                <w:color w:val="333333"/>
                <w:sz w:val="20"/>
                <w:szCs w:val="20"/>
              </w:rPr>
              <w:t>1,180,613</w:t>
            </w:r>
          </w:p>
          <w:p w14:paraId="267197B6" w14:textId="77777777" w:rsidR="00D361EA" w:rsidRPr="00D361EA" w:rsidRDefault="00D361EA" w:rsidP="00B36013">
            <w:pPr>
              <w:rPr>
                <w:rFonts w:cs="Arial"/>
                <w:color w:val="333333"/>
                <w:sz w:val="20"/>
                <w:szCs w:val="20"/>
              </w:rPr>
            </w:pPr>
          </w:p>
        </w:tc>
      </w:tr>
      <w:tr w:rsidR="00290DFD" w:rsidRPr="00D361EA" w14:paraId="4396CFDE" w14:textId="77777777" w:rsidTr="00F976DF">
        <w:trPr>
          <w:cantSplit/>
          <w:trHeight w:val="249"/>
        </w:trPr>
        <w:tc>
          <w:tcPr>
            <w:tcW w:w="1728" w:type="dxa"/>
            <w:tcMar>
              <w:top w:w="0" w:type="dxa"/>
              <w:left w:w="108" w:type="dxa"/>
              <w:bottom w:w="0" w:type="dxa"/>
              <w:right w:w="108" w:type="dxa"/>
            </w:tcMar>
            <w:vAlign w:val="center"/>
          </w:tcPr>
          <w:p w14:paraId="1D9FAD81" w14:textId="77777777" w:rsidR="00D361EA" w:rsidRPr="00D361EA" w:rsidRDefault="00D361EA" w:rsidP="00B36013">
            <w:pPr>
              <w:rPr>
                <w:rFonts w:cs="Arial"/>
                <w:color w:val="000000"/>
                <w:sz w:val="20"/>
                <w:szCs w:val="20"/>
              </w:rPr>
            </w:pPr>
            <w:r w:rsidRPr="00D361EA">
              <w:rPr>
                <w:rFonts w:cs="Arial"/>
                <w:sz w:val="20"/>
                <w:szCs w:val="20"/>
              </w:rPr>
              <w:lastRenderedPageBreak/>
              <w:t xml:space="preserve">Equipping Tertiary Care for the Optimal Diagnosis of Primary </w:t>
            </w:r>
            <w:proofErr w:type="spellStart"/>
            <w:r w:rsidRPr="00D361EA">
              <w:rPr>
                <w:rFonts w:cs="Arial"/>
                <w:sz w:val="20"/>
                <w:szCs w:val="20"/>
              </w:rPr>
              <w:t>Aldosteronism</w:t>
            </w:r>
            <w:proofErr w:type="spellEnd"/>
          </w:p>
        </w:tc>
        <w:tc>
          <w:tcPr>
            <w:tcW w:w="4930" w:type="dxa"/>
            <w:vAlign w:val="center"/>
          </w:tcPr>
          <w:p w14:paraId="79D06F80" w14:textId="7FEBC1B4" w:rsidR="00D361EA" w:rsidRPr="00D361EA" w:rsidRDefault="00D361EA" w:rsidP="00B36013">
            <w:pPr>
              <w:rPr>
                <w:rFonts w:cs="Arial"/>
                <w:color w:val="000000"/>
                <w:sz w:val="20"/>
                <w:szCs w:val="20"/>
              </w:rPr>
            </w:pPr>
            <w:r w:rsidRPr="00D361EA">
              <w:rPr>
                <w:rFonts w:cs="Arial"/>
                <w:sz w:val="20"/>
                <w:szCs w:val="20"/>
              </w:rPr>
              <w:t xml:space="preserve">Primary </w:t>
            </w:r>
            <w:proofErr w:type="spellStart"/>
            <w:r w:rsidRPr="00D361EA">
              <w:rPr>
                <w:rFonts w:cs="Arial"/>
                <w:sz w:val="20"/>
                <w:szCs w:val="20"/>
              </w:rPr>
              <w:t>aldosteronism</w:t>
            </w:r>
            <w:proofErr w:type="spellEnd"/>
            <w:r w:rsidRPr="00D361EA">
              <w:rPr>
                <w:rFonts w:cs="Arial"/>
                <w:sz w:val="20"/>
                <w:szCs w:val="20"/>
              </w:rPr>
              <w:t xml:space="preserve"> (PA) is a common and potentially curable cause of hypertension that confers a high risk of heart disease and stroke if not diagnosed and treated. Its diagnosis requires specialised tests in the hospital.  However, our hospitals are not yet equipped with cutting-edge technology for a speedy diagnosis nor have the capacity to diagnose hundreds of thousands of affected patients in a timely manner.  This project will establish modern tools and efficient pipelines to optimise the capacity of our hospitals to accurately diagnose PA.  The outcomes of this research project are expected to set the standard for high quality guidelines for the diagnosis of PA and transform clinical practice in health services across Australia.</w:t>
            </w:r>
          </w:p>
        </w:tc>
        <w:tc>
          <w:tcPr>
            <w:tcW w:w="1417" w:type="dxa"/>
            <w:tcMar>
              <w:top w:w="0" w:type="dxa"/>
              <w:left w:w="108" w:type="dxa"/>
              <w:bottom w:w="0" w:type="dxa"/>
              <w:right w:w="108" w:type="dxa"/>
            </w:tcMar>
            <w:vAlign w:val="center"/>
          </w:tcPr>
          <w:p w14:paraId="11CFE949" w14:textId="0383FEBE" w:rsidR="00D361EA" w:rsidRPr="00D361EA" w:rsidRDefault="00D361EA" w:rsidP="00B36013">
            <w:pPr>
              <w:rPr>
                <w:rFonts w:cs="Arial"/>
                <w:color w:val="000000"/>
                <w:sz w:val="20"/>
                <w:szCs w:val="20"/>
              </w:rPr>
            </w:pPr>
            <w:r w:rsidRPr="00D361EA">
              <w:rPr>
                <w:rFonts w:cs="Arial"/>
                <w:color w:val="000000"/>
                <w:sz w:val="20"/>
                <w:szCs w:val="20"/>
              </w:rPr>
              <w:t>Monash University</w:t>
            </w:r>
          </w:p>
        </w:tc>
        <w:tc>
          <w:tcPr>
            <w:tcW w:w="1276" w:type="dxa"/>
            <w:tcMar>
              <w:top w:w="0" w:type="dxa"/>
              <w:left w:w="108" w:type="dxa"/>
              <w:bottom w:w="0" w:type="dxa"/>
              <w:right w:w="108" w:type="dxa"/>
            </w:tcMar>
            <w:vAlign w:val="center"/>
          </w:tcPr>
          <w:p w14:paraId="70354A91" w14:textId="0090C7E9" w:rsidR="00D361EA" w:rsidRPr="00D361EA" w:rsidRDefault="00D361EA" w:rsidP="00B36013">
            <w:pPr>
              <w:rPr>
                <w:rFonts w:cs="Arial"/>
                <w:color w:val="333333"/>
                <w:sz w:val="20"/>
                <w:szCs w:val="20"/>
              </w:rPr>
            </w:pPr>
            <w:r w:rsidRPr="00D361EA">
              <w:rPr>
                <w:rFonts w:cs="Arial"/>
                <w:color w:val="333333"/>
                <w:sz w:val="20"/>
                <w:szCs w:val="20"/>
              </w:rPr>
              <w:t>2,993,294</w:t>
            </w:r>
          </w:p>
          <w:p w14:paraId="477A8D98" w14:textId="77777777" w:rsidR="00D361EA" w:rsidRPr="00D361EA" w:rsidRDefault="00D361EA" w:rsidP="00B36013">
            <w:pPr>
              <w:rPr>
                <w:rFonts w:cs="Arial"/>
                <w:color w:val="333333"/>
                <w:sz w:val="20"/>
                <w:szCs w:val="20"/>
              </w:rPr>
            </w:pPr>
          </w:p>
        </w:tc>
      </w:tr>
      <w:tr w:rsidR="00290DFD" w:rsidRPr="00D361EA" w14:paraId="47054D9E" w14:textId="77777777" w:rsidTr="00F976DF">
        <w:trPr>
          <w:cantSplit/>
          <w:trHeight w:val="249"/>
        </w:trPr>
        <w:tc>
          <w:tcPr>
            <w:tcW w:w="1728" w:type="dxa"/>
            <w:shd w:val="clear" w:color="auto" w:fill="EAF1C1"/>
            <w:tcMar>
              <w:top w:w="0" w:type="dxa"/>
              <w:left w:w="108" w:type="dxa"/>
              <w:bottom w:w="0" w:type="dxa"/>
              <w:right w:w="108" w:type="dxa"/>
            </w:tcMar>
            <w:vAlign w:val="center"/>
          </w:tcPr>
          <w:p w14:paraId="0BB154B7" w14:textId="77777777" w:rsidR="00D361EA" w:rsidRPr="00D361EA" w:rsidRDefault="00D361EA" w:rsidP="00B36013">
            <w:pPr>
              <w:rPr>
                <w:rFonts w:cs="Arial"/>
                <w:color w:val="000000"/>
                <w:sz w:val="20"/>
                <w:szCs w:val="20"/>
              </w:rPr>
            </w:pPr>
            <w:r w:rsidRPr="00D361EA">
              <w:rPr>
                <w:rFonts w:cs="Arial"/>
                <w:sz w:val="20"/>
                <w:szCs w:val="20"/>
              </w:rPr>
              <w:t>Intensive physiotherapy to lower hospital length of stay after hip fracture</w:t>
            </w:r>
          </w:p>
        </w:tc>
        <w:tc>
          <w:tcPr>
            <w:tcW w:w="4930" w:type="dxa"/>
            <w:shd w:val="clear" w:color="auto" w:fill="EAF1C1"/>
            <w:vAlign w:val="center"/>
          </w:tcPr>
          <w:p w14:paraId="118667E6" w14:textId="12730536" w:rsidR="00D361EA" w:rsidRPr="00D361EA" w:rsidRDefault="00D361EA" w:rsidP="00B36013">
            <w:pPr>
              <w:rPr>
                <w:rFonts w:cs="Arial"/>
                <w:color w:val="000000"/>
                <w:sz w:val="20"/>
                <w:szCs w:val="20"/>
              </w:rPr>
            </w:pPr>
            <w:r w:rsidRPr="00D361EA">
              <w:rPr>
                <w:rFonts w:cs="Arial"/>
                <w:sz w:val="20"/>
                <w:szCs w:val="20"/>
              </w:rPr>
              <w:t>This clinical trial will test whether intensive physiotherapy delivered early following hip fracture can accelerate physical recovery and reduce hospital days. We will recruit 620 participants from 8 acute hospitals across 5 Australian states. Intervention participants receive intensive physiotherapy 3 times/day for 7 days during their acute hospital stay. The primary outcome is length of stay, with secondary outcomes of physical mobility, health-related quality of life and falls. Longer-term impact and health care costs will be quantified with 12-month follow up. We will embed implementation science methods to enhance translation of findings into routine care, and will build clinical research capacity in health services across Australia.</w:t>
            </w:r>
          </w:p>
        </w:tc>
        <w:tc>
          <w:tcPr>
            <w:tcW w:w="1417" w:type="dxa"/>
            <w:shd w:val="clear" w:color="auto" w:fill="EAF1C1"/>
            <w:tcMar>
              <w:top w:w="0" w:type="dxa"/>
              <w:left w:w="108" w:type="dxa"/>
              <w:bottom w:w="0" w:type="dxa"/>
              <w:right w:w="108" w:type="dxa"/>
            </w:tcMar>
            <w:vAlign w:val="center"/>
          </w:tcPr>
          <w:p w14:paraId="2D0B9486" w14:textId="4C526F58" w:rsidR="00D361EA" w:rsidRPr="00D361EA" w:rsidRDefault="00D361EA" w:rsidP="00B36013">
            <w:pPr>
              <w:rPr>
                <w:rFonts w:cs="Arial"/>
                <w:color w:val="000000"/>
                <w:sz w:val="20"/>
                <w:szCs w:val="20"/>
              </w:rPr>
            </w:pPr>
            <w:r w:rsidRPr="00D361EA">
              <w:rPr>
                <w:rFonts w:cs="Arial"/>
                <w:color w:val="000000"/>
                <w:sz w:val="20"/>
                <w:szCs w:val="20"/>
              </w:rPr>
              <w:t>Monash University</w:t>
            </w:r>
          </w:p>
        </w:tc>
        <w:tc>
          <w:tcPr>
            <w:tcW w:w="1276" w:type="dxa"/>
            <w:shd w:val="clear" w:color="auto" w:fill="EAF1C1"/>
            <w:tcMar>
              <w:top w:w="0" w:type="dxa"/>
              <w:left w:w="108" w:type="dxa"/>
              <w:bottom w:w="0" w:type="dxa"/>
              <w:right w:w="108" w:type="dxa"/>
            </w:tcMar>
            <w:vAlign w:val="center"/>
          </w:tcPr>
          <w:p w14:paraId="304D9A51" w14:textId="4D51F449" w:rsidR="00D361EA" w:rsidRPr="00D361EA" w:rsidRDefault="00D361EA" w:rsidP="00B36013">
            <w:pPr>
              <w:rPr>
                <w:rFonts w:cs="Arial"/>
                <w:color w:val="333333"/>
                <w:sz w:val="20"/>
                <w:szCs w:val="20"/>
              </w:rPr>
            </w:pPr>
            <w:r w:rsidRPr="00D361EA">
              <w:rPr>
                <w:rFonts w:cs="Arial"/>
                <w:color w:val="333333"/>
                <w:sz w:val="20"/>
                <w:szCs w:val="20"/>
              </w:rPr>
              <w:t>2,930,647</w:t>
            </w:r>
          </w:p>
          <w:p w14:paraId="2C25F3C3" w14:textId="77777777" w:rsidR="00D361EA" w:rsidRPr="00D361EA" w:rsidRDefault="00D361EA" w:rsidP="00B36013">
            <w:pPr>
              <w:rPr>
                <w:rFonts w:cs="Arial"/>
                <w:color w:val="333333"/>
                <w:sz w:val="20"/>
                <w:szCs w:val="20"/>
              </w:rPr>
            </w:pPr>
          </w:p>
        </w:tc>
      </w:tr>
      <w:tr w:rsidR="00290DFD" w:rsidRPr="00D361EA" w14:paraId="251FBA9F" w14:textId="77777777" w:rsidTr="00F976DF">
        <w:trPr>
          <w:cantSplit/>
          <w:trHeight w:val="249"/>
        </w:trPr>
        <w:tc>
          <w:tcPr>
            <w:tcW w:w="1728" w:type="dxa"/>
            <w:tcMar>
              <w:top w:w="0" w:type="dxa"/>
              <w:left w:w="108" w:type="dxa"/>
              <w:bottom w:w="0" w:type="dxa"/>
              <w:right w:w="108" w:type="dxa"/>
            </w:tcMar>
            <w:vAlign w:val="center"/>
            <w:hideMark/>
          </w:tcPr>
          <w:p w14:paraId="317F6EB5" w14:textId="77777777" w:rsidR="00D361EA" w:rsidRPr="00D361EA" w:rsidRDefault="00D361EA" w:rsidP="00B36013">
            <w:pPr>
              <w:rPr>
                <w:rFonts w:cs="Arial"/>
                <w:color w:val="000000"/>
                <w:sz w:val="20"/>
                <w:szCs w:val="20"/>
              </w:rPr>
            </w:pPr>
            <w:r w:rsidRPr="00D361EA">
              <w:rPr>
                <w:rFonts w:cs="Arial"/>
                <w:sz w:val="20"/>
                <w:szCs w:val="20"/>
              </w:rPr>
              <w:t xml:space="preserve">Optimal Post </w:t>
            </w:r>
            <w:proofErr w:type="spellStart"/>
            <w:r w:rsidRPr="00D361EA">
              <w:rPr>
                <w:rFonts w:cs="Arial"/>
                <w:sz w:val="20"/>
                <w:szCs w:val="20"/>
              </w:rPr>
              <w:t>rTPA</w:t>
            </w:r>
            <w:proofErr w:type="spellEnd"/>
            <w:r w:rsidRPr="00D361EA">
              <w:rPr>
                <w:rFonts w:cs="Arial"/>
                <w:sz w:val="20"/>
                <w:szCs w:val="20"/>
              </w:rPr>
              <w:t>-iv Monitoring in Ischaemic Stroke (</w:t>
            </w:r>
            <w:proofErr w:type="spellStart"/>
            <w:r w:rsidRPr="00D361EA">
              <w:rPr>
                <w:rFonts w:cs="Arial"/>
                <w:sz w:val="20"/>
                <w:szCs w:val="20"/>
              </w:rPr>
              <w:t>OPTIMISTmain</w:t>
            </w:r>
            <w:proofErr w:type="spellEnd"/>
            <w:r w:rsidRPr="00D361EA">
              <w:rPr>
                <w:rFonts w:cs="Arial"/>
                <w:sz w:val="20"/>
                <w:szCs w:val="20"/>
              </w:rPr>
              <w:t>)</w:t>
            </w:r>
          </w:p>
        </w:tc>
        <w:tc>
          <w:tcPr>
            <w:tcW w:w="4930" w:type="dxa"/>
            <w:vAlign w:val="center"/>
          </w:tcPr>
          <w:p w14:paraId="54FE7638" w14:textId="619BB4F8" w:rsidR="00D361EA" w:rsidRPr="00D361EA" w:rsidRDefault="00D361EA" w:rsidP="00B36013">
            <w:pPr>
              <w:rPr>
                <w:rFonts w:cs="Arial"/>
                <w:color w:val="000000"/>
                <w:sz w:val="20"/>
                <w:szCs w:val="20"/>
              </w:rPr>
            </w:pPr>
            <w:r w:rsidRPr="00D361EA">
              <w:rPr>
                <w:rFonts w:cs="Arial"/>
                <w:sz w:val="20"/>
                <w:szCs w:val="20"/>
              </w:rPr>
              <w:t xml:space="preserve">The </w:t>
            </w:r>
            <w:proofErr w:type="spellStart"/>
            <w:r w:rsidRPr="00D361EA">
              <w:rPr>
                <w:rFonts w:cs="Arial"/>
                <w:sz w:val="20"/>
                <w:szCs w:val="20"/>
              </w:rPr>
              <w:t>OPTIMISTmain</w:t>
            </w:r>
            <w:proofErr w:type="spellEnd"/>
            <w:r w:rsidRPr="00D361EA">
              <w:rPr>
                <w:rFonts w:cs="Arial"/>
                <w:sz w:val="20"/>
                <w:szCs w:val="20"/>
              </w:rPr>
              <w:t xml:space="preserve"> will compare standard monitoring versus low-intensity monitoring schedule for 24 hours following thrombolytic therapy for acute ischaemic stroke.  The key difference in the monitoring schedule is over the 2- to 24-hour time period; there will be no difference in the frequency of monitoring over the first 2 hours when most bleeding complications tend to occur.</w:t>
            </w:r>
            <w:r w:rsidRPr="00D361EA">
              <w:rPr>
                <w:rFonts w:cs="Arial"/>
                <w:sz w:val="20"/>
                <w:szCs w:val="20"/>
              </w:rPr>
              <w:br/>
              <w:t>This research will establish whether a widely applicable less-intense monitoring schedule improves patient recovery, and allows freeing up of health care resources to engage in direct stroke management or care elsewhere, leading to avoidance of unnecessary intensive care unit stay, expedited stroke work-up, and reduced hospital stay.</w:t>
            </w:r>
          </w:p>
        </w:tc>
        <w:tc>
          <w:tcPr>
            <w:tcW w:w="1417" w:type="dxa"/>
            <w:tcMar>
              <w:top w:w="0" w:type="dxa"/>
              <w:left w:w="108" w:type="dxa"/>
              <w:bottom w:w="0" w:type="dxa"/>
              <w:right w:w="108" w:type="dxa"/>
            </w:tcMar>
            <w:vAlign w:val="center"/>
          </w:tcPr>
          <w:p w14:paraId="00C6D419" w14:textId="6C4CAFBA" w:rsidR="00D361EA" w:rsidRPr="00D361EA" w:rsidRDefault="00D361EA" w:rsidP="00B36013">
            <w:pPr>
              <w:rPr>
                <w:rFonts w:cs="Arial"/>
                <w:color w:val="000000"/>
                <w:sz w:val="20"/>
                <w:szCs w:val="20"/>
              </w:rPr>
            </w:pPr>
            <w:r w:rsidRPr="00D361EA">
              <w:rPr>
                <w:rFonts w:cs="Arial"/>
                <w:color w:val="000000"/>
                <w:sz w:val="20"/>
                <w:szCs w:val="20"/>
              </w:rPr>
              <w:t>The George Institute For Global Health</w:t>
            </w:r>
          </w:p>
        </w:tc>
        <w:tc>
          <w:tcPr>
            <w:tcW w:w="1276" w:type="dxa"/>
            <w:tcMar>
              <w:top w:w="0" w:type="dxa"/>
              <w:left w:w="108" w:type="dxa"/>
              <w:bottom w:w="0" w:type="dxa"/>
              <w:right w:w="108" w:type="dxa"/>
            </w:tcMar>
            <w:vAlign w:val="center"/>
          </w:tcPr>
          <w:p w14:paraId="66C37B5A" w14:textId="5C1568AA" w:rsidR="00D361EA" w:rsidRPr="00D361EA" w:rsidRDefault="00D361EA" w:rsidP="00B36013">
            <w:pPr>
              <w:rPr>
                <w:rFonts w:cs="Arial"/>
                <w:color w:val="333333"/>
                <w:sz w:val="20"/>
                <w:szCs w:val="20"/>
              </w:rPr>
            </w:pPr>
            <w:r w:rsidRPr="00D361EA">
              <w:rPr>
                <w:rFonts w:cs="Arial"/>
                <w:color w:val="333333"/>
                <w:sz w:val="20"/>
                <w:szCs w:val="20"/>
              </w:rPr>
              <w:t>1,774,988</w:t>
            </w:r>
          </w:p>
          <w:p w14:paraId="74601558" w14:textId="77777777" w:rsidR="00D361EA" w:rsidRPr="00D361EA" w:rsidRDefault="00D361EA" w:rsidP="00B36013">
            <w:pPr>
              <w:rPr>
                <w:rFonts w:cs="Arial"/>
                <w:color w:val="333333"/>
                <w:sz w:val="20"/>
                <w:szCs w:val="20"/>
              </w:rPr>
            </w:pPr>
          </w:p>
        </w:tc>
      </w:tr>
      <w:tr w:rsidR="00290DFD" w:rsidRPr="00D361EA" w14:paraId="5E59EEA3" w14:textId="77777777" w:rsidTr="00F976DF">
        <w:trPr>
          <w:cantSplit/>
          <w:trHeight w:val="249"/>
        </w:trPr>
        <w:tc>
          <w:tcPr>
            <w:tcW w:w="1728" w:type="dxa"/>
            <w:shd w:val="clear" w:color="auto" w:fill="EAF1C1"/>
            <w:tcMar>
              <w:top w:w="0" w:type="dxa"/>
              <w:left w:w="108" w:type="dxa"/>
              <w:bottom w:w="0" w:type="dxa"/>
              <w:right w:w="108" w:type="dxa"/>
            </w:tcMar>
            <w:vAlign w:val="center"/>
          </w:tcPr>
          <w:p w14:paraId="4D471DBC" w14:textId="77777777" w:rsidR="00D361EA" w:rsidRPr="00D361EA" w:rsidRDefault="00D361EA" w:rsidP="00B36013">
            <w:pPr>
              <w:rPr>
                <w:rFonts w:cs="Arial"/>
                <w:color w:val="000000"/>
                <w:sz w:val="20"/>
                <w:szCs w:val="20"/>
              </w:rPr>
            </w:pPr>
            <w:r w:rsidRPr="00D361EA">
              <w:rPr>
                <w:rFonts w:cs="Arial"/>
                <w:sz w:val="20"/>
                <w:szCs w:val="20"/>
              </w:rPr>
              <w:lastRenderedPageBreak/>
              <w:t>PROMOTE: a cluster-randomised implementation trial to promote evidence use</w:t>
            </w:r>
          </w:p>
        </w:tc>
        <w:tc>
          <w:tcPr>
            <w:tcW w:w="4930" w:type="dxa"/>
            <w:shd w:val="clear" w:color="auto" w:fill="EAF1C1"/>
            <w:vAlign w:val="center"/>
          </w:tcPr>
          <w:p w14:paraId="3CBCBF2D" w14:textId="2D7A6B75" w:rsidR="00D361EA" w:rsidRPr="00D361EA" w:rsidRDefault="00D361EA" w:rsidP="00B36013">
            <w:pPr>
              <w:rPr>
                <w:rFonts w:cs="Arial"/>
                <w:color w:val="000000"/>
                <w:sz w:val="20"/>
                <w:szCs w:val="20"/>
              </w:rPr>
            </w:pPr>
            <w:r w:rsidRPr="00D361EA">
              <w:rPr>
                <w:rFonts w:cs="Arial"/>
                <w:sz w:val="20"/>
                <w:szCs w:val="20"/>
              </w:rPr>
              <w:t>The PROMOTE randomised controlled trial will test the clinical benefit and cost effectiveness of an implementation package to increase clinician use of arm and stroke rehabilitation evidence in practice. We will recruit 14 hospitals across 3 Australian states to deliver arm rehabilitation to 238 patients after stroke. The primary outcome is clinician adherence to guidelines, with secondary outcomes of patient arm and hand movement, health-related quality of life and cost. In partnership with the Stroke Foundation, we will embed consumer involvement and employ implementation science methods to conduct a process evaluation alongside the trial. Together these will allow rapid translation of findings into routine stroke care.</w:t>
            </w:r>
          </w:p>
        </w:tc>
        <w:tc>
          <w:tcPr>
            <w:tcW w:w="1417" w:type="dxa"/>
            <w:shd w:val="clear" w:color="auto" w:fill="EAF1C1"/>
            <w:tcMar>
              <w:top w:w="0" w:type="dxa"/>
              <w:left w:w="108" w:type="dxa"/>
              <w:bottom w:w="0" w:type="dxa"/>
              <w:right w:w="108" w:type="dxa"/>
            </w:tcMar>
            <w:vAlign w:val="center"/>
          </w:tcPr>
          <w:p w14:paraId="3C4C8313" w14:textId="410A21BA" w:rsidR="00D361EA" w:rsidRPr="00D361EA" w:rsidRDefault="00D361EA" w:rsidP="00B36013">
            <w:pPr>
              <w:rPr>
                <w:rFonts w:cs="Arial"/>
                <w:color w:val="000000"/>
                <w:sz w:val="20"/>
                <w:szCs w:val="20"/>
              </w:rPr>
            </w:pPr>
            <w:r w:rsidRPr="00D361EA">
              <w:rPr>
                <w:rFonts w:cs="Arial"/>
                <w:color w:val="000000"/>
                <w:sz w:val="20"/>
                <w:szCs w:val="20"/>
              </w:rPr>
              <w:t>Monash University</w:t>
            </w:r>
          </w:p>
        </w:tc>
        <w:tc>
          <w:tcPr>
            <w:tcW w:w="1276" w:type="dxa"/>
            <w:shd w:val="clear" w:color="auto" w:fill="EAF1C1"/>
            <w:tcMar>
              <w:top w:w="0" w:type="dxa"/>
              <w:left w:w="108" w:type="dxa"/>
              <w:bottom w:w="0" w:type="dxa"/>
              <w:right w:w="108" w:type="dxa"/>
            </w:tcMar>
            <w:vAlign w:val="center"/>
          </w:tcPr>
          <w:p w14:paraId="5E4D3835" w14:textId="3C5D2663" w:rsidR="00D361EA" w:rsidRPr="00D361EA" w:rsidRDefault="00D361EA" w:rsidP="00B36013">
            <w:pPr>
              <w:rPr>
                <w:rFonts w:cs="Arial"/>
                <w:color w:val="333333"/>
                <w:sz w:val="20"/>
                <w:szCs w:val="20"/>
              </w:rPr>
            </w:pPr>
            <w:r w:rsidRPr="00D361EA">
              <w:rPr>
                <w:rFonts w:cs="Arial"/>
                <w:color w:val="333333"/>
                <w:sz w:val="20"/>
                <w:szCs w:val="20"/>
              </w:rPr>
              <w:t>2,996,464</w:t>
            </w:r>
          </w:p>
          <w:p w14:paraId="53722DF5" w14:textId="77777777" w:rsidR="00D361EA" w:rsidRPr="00D361EA" w:rsidRDefault="00D361EA" w:rsidP="00B36013">
            <w:pPr>
              <w:rPr>
                <w:rFonts w:cs="Arial"/>
                <w:color w:val="333333"/>
                <w:sz w:val="20"/>
                <w:szCs w:val="20"/>
              </w:rPr>
            </w:pPr>
          </w:p>
        </w:tc>
      </w:tr>
      <w:tr w:rsidR="00290DFD" w:rsidRPr="00D361EA" w14:paraId="20B4CBFD" w14:textId="77777777" w:rsidTr="00F976DF">
        <w:trPr>
          <w:cantSplit/>
          <w:trHeight w:val="249"/>
        </w:trPr>
        <w:tc>
          <w:tcPr>
            <w:tcW w:w="1728" w:type="dxa"/>
            <w:tcMar>
              <w:top w:w="0" w:type="dxa"/>
              <w:left w:w="108" w:type="dxa"/>
              <w:bottom w:w="0" w:type="dxa"/>
              <w:right w:w="108" w:type="dxa"/>
            </w:tcMar>
            <w:vAlign w:val="center"/>
          </w:tcPr>
          <w:p w14:paraId="3B24CCDD" w14:textId="77777777" w:rsidR="00D361EA" w:rsidRPr="00D361EA" w:rsidRDefault="00D361EA" w:rsidP="00B36013">
            <w:pPr>
              <w:rPr>
                <w:rFonts w:cs="Arial"/>
                <w:sz w:val="20"/>
                <w:szCs w:val="20"/>
              </w:rPr>
            </w:pPr>
            <w:r w:rsidRPr="00D361EA">
              <w:rPr>
                <w:rFonts w:cs="Arial"/>
                <w:sz w:val="20"/>
                <w:szCs w:val="20"/>
              </w:rPr>
              <w:t xml:space="preserve">RELEASE: </w:t>
            </w:r>
            <w:proofErr w:type="spellStart"/>
            <w:r w:rsidRPr="00D361EA">
              <w:rPr>
                <w:rFonts w:cs="Arial"/>
                <w:sz w:val="20"/>
                <w:szCs w:val="20"/>
              </w:rPr>
              <w:t>REdressing</w:t>
            </w:r>
            <w:proofErr w:type="spellEnd"/>
            <w:r w:rsidRPr="00D361EA">
              <w:rPr>
                <w:rFonts w:cs="Arial"/>
                <w:sz w:val="20"/>
                <w:szCs w:val="20"/>
              </w:rPr>
              <w:t xml:space="preserve"> </w:t>
            </w:r>
            <w:proofErr w:type="spellStart"/>
            <w:r w:rsidRPr="00D361EA">
              <w:rPr>
                <w:rFonts w:cs="Arial"/>
                <w:sz w:val="20"/>
                <w:szCs w:val="20"/>
              </w:rPr>
              <w:t>Long-tErm</w:t>
            </w:r>
            <w:proofErr w:type="spellEnd"/>
            <w:r w:rsidRPr="00D361EA">
              <w:rPr>
                <w:rFonts w:cs="Arial"/>
                <w:sz w:val="20"/>
                <w:szCs w:val="20"/>
              </w:rPr>
              <w:t xml:space="preserve"> Antidepressant </w:t>
            </w:r>
            <w:proofErr w:type="spellStart"/>
            <w:r w:rsidRPr="00D361EA">
              <w:rPr>
                <w:rFonts w:cs="Arial"/>
                <w:sz w:val="20"/>
                <w:szCs w:val="20"/>
              </w:rPr>
              <w:t>uSE</w:t>
            </w:r>
            <w:proofErr w:type="spellEnd"/>
            <w:r w:rsidRPr="00D361EA">
              <w:rPr>
                <w:rFonts w:cs="Arial"/>
                <w:sz w:val="20"/>
                <w:szCs w:val="20"/>
              </w:rPr>
              <w:t xml:space="preserve"> in general practice</w:t>
            </w:r>
          </w:p>
        </w:tc>
        <w:tc>
          <w:tcPr>
            <w:tcW w:w="4930" w:type="dxa"/>
            <w:vAlign w:val="center"/>
          </w:tcPr>
          <w:p w14:paraId="6430AF85" w14:textId="4C79276B" w:rsidR="00D361EA" w:rsidRPr="00D361EA" w:rsidRDefault="00D361EA" w:rsidP="00B36013">
            <w:pPr>
              <w:rPr>
                <w:rFonts w:cs="Arial"/>
                <w:color w:val="000000"/>
                <w:sz w:val="20"/>
                <w:szCs w:val="20"/>
              </w:rPr>
            </w:pPr>
            <w:r w:rsidRPr="00D361EA">
              <w:rPr>
                <w:rFonts w:cs="Arial"/>
                <w:sz w:val="20"/>
                <w:szCs w:val="20"/>
              </w:rPr>
              <w:t>Our project is a cluster randomised controlled effectiveness-implementation trial in general practice to determine effectiveness of RELEASE compared to usual care on decreased antidepressant use and improved quality of life, and to evaluate our implementation strategy. Australians are amongst the highest users of antidepressants in the world (around 1 in 10 adults), due mostly to increasing long-term use against clinical guidelines. RELEASE targets people on long-term (&gt;12 months) antidepressants with no indication for continued use (no depression/anxiety) and provides both doctors and patients with the information and resources needed to safely taper and stop these drugs to minimise adverse drug effects and improve quality of life.</w:t>
            </w:r>
          </w:p>
        </w:tc>
        <w:tc>
          <w:tcPr>
            <w:tcW w:w="1417" w:type="dxa"/>
            <w:tcMar>
              <w:top w:w="0" w:type="dxa"/>
              <w:left w:w="108" w:type="dxa"/>
              <w:bottom w:w="0" w:type="dxa"/>
              <w:right w:w="108" w:type="dxa"/>
            </w:tcMar>
            <w:vAlign w:val="center"/>
          </w:tcPr>
          <w:p w14:paraId="0DD41879" w14:textId="2FFEFCB0" w:rsidR="00D361EA" w:rsidRPr="00D361EA" w:rsidRDefault="00D361EA" w:rsidP="00B36013">
            <w:pPr>
              <w:rPr>
                <w:rFonts w:cs="Arial"/>
                <w:color w:val="000000"/>
                <w:sz w:val="20"/>
                <w:szCs w:val="20"/>
              </w:rPr>
            </w:pPr>
            <w:r w:rsidRPr="00D361EA">
              <w:rPr>
                <w:rFonts w:cs="Arial"/>
                <w:color w:val="000000"/>
                <w:sz w:val="20"/>
                <w:szCs w:val="20"/>
              </w:rPr>
              <w:t>The University Of Queensland</w:t>
            </w:r>
          </w:p>
        </w:tc>
        <w:tc>
          <w:tcPr>
            <w:tcW w:w="1276" w:type="dxa"/>
            <w:tcMar>
              <w:top w:w="0" w:type="dxa"/>
              <w:left w:w="108" w:type="dxa"/>
              <w:bottom w:w="0" w:type="dxa"/>
              <w:right w:w="108" w:type="dxa"/>
            </w:tcMar>
            <w:vAlign w:val="center"/>
          </w:tcPr>
          <w:p w14:paraId="1CBB99CC" w14:textId="5C967BA1" w:rsidR="00D361EA" w:rsidRPr="00D361EA" w:rsidRDefault="00D361EA" w:rsidP="00B36013">
            <w:pPr>
              <w:rPr>
                <w:rFonts w:cs="Arial"/>
                <w:color w:val="333333"/>
                <w:sz w:val="20"/>
                <w:szCs w:val="20"/>
              </w:rPr>
            </w:pPr>
            <w:r w:rsidRPr="00D361EA">
              <w:rPr>
                <w:rFonts w:cs="Arial"/>
                <w:color w:val="333333"/>
                <w:sz w:val="20"/>
                <w:szCs w:val="20"/>
              </w:rPr>
              <w:t>1,912,691</w:t>
            </w:r>
          </w:p>
          <w:p w14:paraId="6407F7A8" w14:textId="77777777" w:rsidR="00D361EA" w:rsidRPr="00D361EA" w:rsidRDefault="00D361EA" w:rsidP="00B36013">
            <w:pPr>
              <w:rPr>
                <w:rFonts w:cs="Arial"/>
                <w:color w:val="333333"/>
                <w:sz w:val="20"/>
                <w:szCs w:val="20"/>
              </w:rPr>
            </w:pPr>
          </w:p>
        </w:tc>
      </w:tr>
      <w:tr w:rsidR="00290DFD" w:rsidRPr="00D361EA" w14:paraId="75927CD2" w14:textId="77777777" w:rsidTr="00F976DF">
        <w:trPr>
          <w:cantSplit/>
          <w:trHeight w:val="249"/>
        </w:trPr>
        <w:tc>
          <w:tcPr>
            <w:tcW w:w="1728" w:type="dxa"/>
            <w:shd w:val="clear" w:color="auto" w:fill="EAF1C1"/>
            <w:tcMar>
              <w:top w:w="0" w:type="dxa"/>
              <w:left w:w="108" w:type="dxa"/>
              <w:bottom w:w="0" w:type="dxa"/>
              <w:right w:w="108" w:type="dxa"/>
            </w:tcMar>
            <w:vAlign w:val="center"/>
          </w:tcPr>
          <w:p w14:paraId="53026839" w14:textId="77777777" w:rsidR="00D361EA" w:rsidRPr="00D361EA" w:rsidRDefault="00D361EA" w:rsidP="00B36013">
            <w:pPr>
              <w:rPr>
                <w:rFonts w:cs="Arial"/>
                <w:color w:val="000000"/>
                <w:sz w:val="20"/>
                <w:szCs w:val="20"/>
              </w:rPr>
            </w:pPr>
            <w:proofErr w:type="spellStart"/>
            <w:r w:rsidRPr="00D361EA">
              <w:rPr>
                <w:rFonts w:cs="Arial"/>
                <w:sz w:val="20"/>
                <w:szCs w:val="20"/>
              </w:rPr>
              <w:t>SCANPatient</w:t>
            </w:r>
            <w:proofErr w:type="spellEnd"/>
            <w:r w:rsidRPr="00D361EA">
              <w:rPr>
                <w:rFonts w:cs="Arial"/>
                <w:sz w:val="20"/>
                <w:szCs w:val="20"/>
              </w:rPr>
              <w:t xml:space="preserve">: Synoptic reporting of CT scan Assessing </w:t>
            </w:r>
            <w:proofErr w:type="spellStart"/>
            <w:r w:rsidRPr="00D361EA">
              <w:rPr>
                <w:rFonts w:cs="Arial"/>
                <w:sz w:val="20"/>
                <w:szCs w:val="20"/>
              </w:rPr>
              <w:t>caNcer</w:t>
            </w:r>
            <w:proofErr w:type="spellEnd"/>
            <w:r w:rsidRPr="00D361EA">
              <w:rPr>
                <w:rFonts w:cs="Arial"/>
                <w:sz w:val="20"/>
                <w:szCs w:val="20"/>
              </w:rPr>
              <w:t xml:space="preserve"> of the Pancreas</w:t>
            </w:r>
          </w:p>
        </w:tc>
        <w:tc>
          <w:tcPr>
            <w:tcW w:w="4930" w:type="dxa"/>
            <w:shd w:val="clear" w:color="auto" w:fill="EAF1C1"/>
            <w:vAlign w:val="center"/>
          </w:tcPr>
          <w:p w14:paraId="04EBE799" w14:textId="5EEA0B63" w:rsidR="00D361EA" w:rsidRPr="00D361EA" w:rsidRDefault="00D361EA" w:rsidP="00B36013">
            <w:pPr>
              <w:rPr>
                <w:rFonts w:cs="Arial"/>
                <w:color w:val="000000"/>
                <w:sz w:val="20"/>
                <w:szCs w:val="20"/>
              </w:rPr>
            </w:pPr>
            <w:r w:rsidRPr="00D361EA">
              <w:rPr>
                <w:rFonts w:cs="Arial"/>
                <w:sz w:val="20"/>
                <w:szCs w:val="20"/>
              </w:rPr>
              <w:t xml:space="preserve">Classification of </w:t>
            </w:r>
            <w:proofErr w:type="spellStart"/>
            <w:r w:rsidRPr="00D361EA">
              <w:rPr>
                <w:rFonts w:cs="Arial"/>
                <w:sz w:val="20"/>
                <w:szCs w:val="20"/>
              </w:rPr>
              <w:t>resectability</w:t>
            </w:r>
            <w:proofErr w:type="spellEnd"/>
            <w:r w:rsidRPr="00D361EA">
              <w:rPr>
                <w:rFonts w:cs="Arial"/>
                <w:sz w:val="20"/>
                <w:szCs w:val="20"/>
              </w:rPr>
              <w:t xml:space="preserve"> in pancreas cancer is not standardised.  This novel project will validate and implement a world-first innovation in the management of patients with pancreatic cancer (PC). We will test a new, locally developed synoptic, radiological template in the routine reporting of CT scans based on an international consensus to accurately define the surgical </w:t>
            </w:r>
            <w:proofErr w:type="spellStart"/>
            <w:r w:rsidRPr="00D361EA">
              <w:rPr>
                <w:rFonts w:cs="Arial"/>
                <w:sz w:val="20"/>
                <w:szCs w:val="20"/>
              </w:rPr>
              <w:t>resectability</w:t>
            </w:r>
            <w:proofErr w:type="spellEnd"/>
            <w:r w:rsidRPr="00D361EA">
              <w:rPr>
                <w:rFonts w:cs="Arial"/>
                <w:sz w:val="20"/>
                <w:szCs w:val="20"/>
              </w:rPr>
              <w:t xml:space="preserve"> of </w:t>
            </w:r>
            <w:proofErr w:type="spellStart"/>
            <w:r w:rsidRPr="00D361EA">
              <w:rPr>
                <w:rFonts w:cs="Arial"/>
                <w:sz w:val="20"/>
                <w:szCs w:val="20"/>
              </w:rPr>
              <w:t>nonmetastatic</w:t>
            </w:r>
            <w:proofErr w:type="spellEnd"/>
            <w:r w:rsidRPr="00D361EA">
              <w:rPr>
                <w:rFonts w:cs="Arial"/>
                <w:sz w:val="20"/>
                <w:szCs w:val="20"/>
              </w:rPr>
              <w:t xml:space="preserve"> PC.  Properly assigning patients as </w:t>
            </w:r>
            <w:proofErr w:type="spellStart"/>
            <w:r w:rsidRPr="00D361EA">
              <w:rPr>
                <w:rFonts w:cs="Arial"/>
                <w:sz w:val="20"/>
                <w:szCs w:val="20"/>
              </w:rPr>
              <w:t>resectable</w:t>
            </w:r>
            <w:proofErr w:type="spellEnd"/>
            <w:r w:rsidRPr="00D361EA">
              <w:rPr>
                <w:rFonts w:cs="Arial"/>
                <w:sz w:val="20"/>
                <w:szCs w:val="20"/>
              </w:rPr>
              <w:t xml:space="preserve">, borderline or </w:t>
            </w:r>
            <w:proofErr w:type="spellStart"/>
            <w:r w:rsidRPr="00D361EA">
              <w:rPr>
                <w:rFonts w:cs="Arial"/>
                <w:sz w:val="20"/>
                <w:szCs w:val="20"/>
              </w:rPr>
              <w:t>unresectable</w:t>
            </w:r>
            <w:proofErr w:type="spellEnd"/>
            <w:r w:rsidRPr="00D361EA">
              <w:rPr>
                <w:rFonts w:cs="Arial"/>
                <w:sz w:val="20"/>
                <w:szCs w:val="20"/>
              </w:rPr>
              <w:t xml:space="preserve"> should improve outcomes for all patients with PC, ensuring optimal treatment is received.  Patients with </w:t>
            </w:r>
            <w:proofErr w:type="spellStart"/>
            <w:r w:rsidRPr="00D361EA">
              <w:rPr>
                <w:rFonts w:cs="Arial"/>
                <w:sz w:val="20"/>
                <w:szCs w:val="20"/>
              </w:rPr>
              <w:t>unresectable</w:t>
            </w:r>
            <w:proofErr w:type="spellEnd"/>
            <w:r w:rsidRPr="00D361EA">
              <w:rPr>
                <w:rFonts w:cs="Arial"/>
                <w:sz w:val="20"/>
                <w:szCs w:val="20"/>
              </w:rPr>
              <w:t xml:space="preserve"> cancers will not be subjected to futile surgery, whilst every opportunity to undergo complete resection is offered to those who may benefit.</w:t>
            </w:r>
          </w:p>
        </w:tc>
        <w:tc>
          <w:tcPr>
            <w:tcW w:w="1417" w:type="dxa"/>
            <w:shd w:val="clear" w:color="auto" w:fill="EAF1C1"/>
            <w:tcMar>
              <w:top w:w="0" w:type="dxa"/>
              <w:left w:w="108" w:type="dxa"/>
              <w:bottom w:w="0" w:type="dxa"/>
              <w:right w:w="108" w:type="dxa"/>
            </w:tcMar>
            <w:vAlign w:val="center"/>
          </w:tcPr>
          <w:p w14:paraId="1E653F35" w14:textId="3ACA7B60" w:rsidR="00D361EA" w:rsidRPr="00D361EA" w:rsidRDefault="00D361EA" w:rsidP="00B36013">
            <w:pPr>
              <w:rPr>
                <w:rFonts w:cs="Arial"/>
                <w:color w:val="000000"/>
                <w:sz w:val="20"/>
                <w:szCs w:val="20"/>
              </w:rPr>
            </w:pPr>
            <w:r w:rsidRPr="00D361EA">
              <w:rPr>
                <w:rFonts w:cs="Arial"/>
                <w:color w:val="000000"/>
                <w:sz w:val="20"/>
                <w:szCs w:val="20"/>
              </w:rPr>
              <w:t>Monash University</w:t>
            </w:r>
          </w:p>
        </w:tc>
        <w:tc>
          <w:tcPr>
            <w:tcW w:w="1276" w:type="dxa"/>
            <w:shd w:val="clear" w:color="auto" w:fill="EAF1C1"/>
            <w:tcMar>
              <w:top w:w="0" w:type="dxa"/>
              <w:left w:w="108" w:type="dxa"/>
              <w:bottom w:w="0" w:type="dxa"/>
              <w:right w:w="108" w:type="dxa"/>
            </w:tcMar>
            <w:vAlign w:val="center"/>
          </w:tcPr>
          <w:p w14:paraId="2D368855" w14:textId="1411BD43" w:rsidR="00D361EA" w:rsidRPr="00D361EA" w:rsidRDefault="00D361EA" w:rsidP="00B36013">
            <w:pPr>
              <w:rPr>
                <w:rFonts w:cs="Arial"/>
                <w:color w:val="333333"/>
                <w:sz w:val="20"/>
                <w:szCs w:val="20"/>
              </w:rPr>
            </w:pPr>
            <w:r w:rsidRPr="00D361EA">
              <w:rPr>
                <w:rFonts w:cs="Arial"/>
                <w:color w:val="333333"/>
                <w:sz w:val="20"/>
                <w:szCs w:val="20"/>
              </w:rPr>
              <w:t>2,931,686</w:t>
            </w:r>
          </w:p>
          <w:p w14:paraId="2018E193" w14:textId="77777777" w:rsidR="00D361EA" w:rsidRPr="00D361EA" w:rsidRDefault="00D361EA" w:rsidP="00B36013">
            <w:pPr>
              <w:rPr>
                <w:rFonts w:cs="Arial"/>
                <w:color w:val="333333"/>
                <w:sz w:val="20"/>
                <w:szCs w:val="20"/>
              </w:rPr>
            </w:pPr>
          </w:p>
        </w:tc>
      </w:tr>
      <w:tr w:rsidR="00290DFD" w:rsidRPr="00D361EA" w14:paraId="0C496C22" w14:textId="77777777" w:rsidTr="00F976DF">
        <w:trPr>
          <w:cantSplit/>
          <w:trHeight w:val="267"/>
        </w:trPr>
        <w:tc>
          <w:tcPr>
            <w:tcW w:w="1728" w:type="dxa"/>
            <w:tcMar>
              <w:top w:w="0" w:type="dxa"/>
              <w:left w:w="108" w:type="dxa"/>
              <w:bottom w:w="0" w:type="dxa"/>
              <w:right w:w="108" w:type="dxa"/>
            </w:tcMar>
            <w:vAlign w:val="center"/>
          </w:tcPr>
          <w:p w14:paraId="0FCB7BE1" w14:textId="77777777" w:rsidR="00D361EA" w:rsidRPr="00D361EA" w:rsidRDefault="00D361EA" w:rsidP="00B36013">
            <w:pPr>
              <w:rPr>
                <w:rFonts w:cs="Arial"/>
                <w:color w:val="000000"/>
                <w:sz w:val="20"/>
                <w:szCs w:val="20"/>
              </w:rPr>
            </w:pPr>
            <w:r w:rsidRPr="00D361EA">
              <w:rPr>
                <w:rFonts w:cs="Arial"/>
                <w:sz w:val="20"/>
                <w:szCs w:val="20"/>
              </w:rPr>
              <w:lastRenderedPageBreak/>
              <w:t>Strengthening care for rural children: stepped wedge trial in primary care</w:t>
            </w:r>
          </w:p>
        </w:tc>
        <w:tc>
          <w:tcPr>
            <w:tcW w:w="4930" w:type="dxa"/>
            <w:vAlign w:val="center"/>
          </w:tcPr>
          <w:p w14:paraId="1F7EFA93" w14:textId="46466828" w:rsidR="00D361EA" w:rsidRPr="00D361EA" w:rsidRDefault="00D361EA" w:rsidP="00B36013">
            <w:pPr>
              <w:spacing w:line="240" w:lineRule="auto"/>
              <w:rPr>
                <w:rFonts w:cs="Arial"/>
                <w:color w:val="000000"/>
                <w:sz w:val="20"/>
                <w:szCs w:val="20"/>
              </w:rPr>
            </w:pPr>
            <w:r w:rsidRPr="00D361EA">
              <w:rPr>
                <w:rFonts w:cs="Arial"/>
                <w:sz w:val="20"/>
                <w:szCs w:val="20"/>
              </w:rPr>
              <w:t>Across NSW and Victoria, 860,000 children, 30% of the States’ population, live in rural areas. Although 19% of these children live with a chronic illness, there are fewer GPs per capita and paediatric specialty care is often lacking. Strengthening Care for Rural Children (SC4RC), a model where paediatrician and GP’s work together in GP practices, aims to deliver and rigorously evaluate a primary health care system strengthening programme that can bridge the gaps in access to health services and health outcomes between children living in rural Australia and their urban peers. It aims to improve the health of children by increasing capacity of the existing rural GP workforce to assess and effectively manage paediatric conditions.</w:t>
            </w:r>
          </w:p>
        </w:tc>
        <w:tc>
          <w:tcPr>
            <w:tcW w:w="1417" w:type="dxa"/>
            <w:noWrap/>
            <w:tcMar>
              <w:top w:w="0" w:type="dxa"/>
              <w:left w:w="108" w:type="dxa"/>
              <w:bottom w:w="0" w:type="dxa"/>
              <w:right w:w="108" w:type="dxa"/>
            </w:tcMar>
            <w:vAlign w:val="center"/>
          </w:tcPr>
          <w:p w14:paraId="0C5C1652" w14:textId="69208443" w:rsidR="00D361EA" w:rsidRPr="00D361EA" w:rsidRDefault="00D361EA" w:rsidP="00B36013">
            <w:pPr>
              <w:rPr>
                <w:rFonts w:cs="Arial"/>
                <w:color w:val="000000"/>
                <w:sz w:val="20"/>
                <w:szCs w:val="20"/>
              </w:rPr>
            </w:pPr>
            <w:r w:rsidRPr="00D361EA">
              <w:rPr>
                <w:rFonts w:cs="Arial"/>
                <w:color w:val="000000"/>
                <w:sz w:val="20"/>
                <w:szCs w:val="20"/>
              </w:rPr>
              <w:t>University Of Melbourne</w:t>
            </w:r>
          </w:p>
        </w:tc>
        <w:tc>
          <w:tcPr>
            <w:tcW w:w="1276" w:type="dxa"/>
            <w:tcMar>
              <w:top w:w="0" w:type="dxa"/>
              <w:left w:w="108" w:type="dxa"/>
              <w:bottom w:w="0" w:type="dxa"/>
              <w:right w:w="108" w:type="dxa"/>
            </w:tcMar>
            <w:vAlign w:val="center"/>
          </w:tcPr>
          <w:p w14:paraId="43D10861" w14:textId="07966ACA" w:rsidR="00D361EA" w:rsidRPr="00D361EA" w:rsidRDefault="00D361EA" w:rsidP="00B36013">
            <w:pPr>
              <w:rPr>
                <w:rFonts w:cs="Arial"/>
                <w:color w:val="333333"/>
                <w:sz w:val="20"/>
                <w:szCs w:val="20"/>
              </w:rPr>
            </w:pPr>
            <w:r w:rsidRPr="00D361EA">
              <w:rPr>
                <w:rFonts w:cs="Arial"/>
                <w:color w:val="333333"/>
                <w:sz w:val="20"/>
                <w:szCs w:val="20"/>
              </w:rPr>
              <w:t>2,996,188</w:t>
            </w:r>
          </w:p>
          <w:p w14:paraId="453B3ABE" w14:textId="77777777" w:rsidR="00D361EA" w:rsidRPr="00D361EA" w:rsidRDefault="00D361EA" w:rsidP="00B36013">
            <w:pPr>
              <w:pStyle w:val="Default"/>
              <w:spacing w:line="252" w:lineRule="auto"/>
              <w:rPr>
                <w:sz w:val="20"/>
                <w:szCs w:val="20"/>
              </w:rPr>
            </w:pPr>
          </w:p>
        </w:tc>
      </w:tr>
      <w:tr w:rsidR="00290DFD" w:rsidRPr="00D361EA" w14:paraId="19E2CF50" w14:textId="77777777" w:rsidTr="00F976DF">
        <w:trPr>
          <w:cantSplit/>
          <w:trHeight w:val="143"/>
        </w:trPr>
        <w:tc>
          <w:tcPr>
            <w:tcW w:w="1728" w:type="dxa"/>
            <w:shd w:val="clear" w:color="auto" w:fill="EAF1C1"/>
            <w:tcMar>
              <w:top w:w="0" w:type="dxa"/>
              <w:left w:w="108" w:type="dxa"/>
              <w:bottom w:w="0" w:type="dxa"/>
              <w:right w:w="108" w:type="dxa"/>
            </w:tcMar>
            <w:vAlign w:val="center"/>
          </w:tcPr>
          <w:p w14:paraId="77C61769" w14:textId="77777777" w:rsidR="00D361EA" w:rsidRPr="00D361EA" w:rsidRDefault="00D361EA" w:rsidP="00B36013">
            <w:pPr>
              <w:rPr>
                <w:rFonts w:cs="Arial"/>
                <w:color w:val="000000"/>
                <w:sz w:val="20"/>
                <w:szCs w:val="20"/>
              </w:rPr>
            </w:pPr>
            <w:r w:rsidRPr="00D361EA">
              <w:rPr>
                <w:rFonts w:cs="Arial"/>
                <w:sz w:val="20"/>
                <w:szCs w:val="20"/>
              </w:rPr>
              <w:t xml:space="preserve">The Australian New Zealand </w:t>
            </w:r>
            <w:proofErr w:type="spellStart"/>
            <w:r w:rsidRPr="00D361EA">
              <w:rPr>
                <w:rFonts w:cs="Arial"/>
                <w:sz w:val="20"/>
                <w:szCs w:val="20"/>
              </w:rPr>
              <w:t>Oncofertility</w:t>
            </w:r>
            <w:proofErr w:type="spellEnd"/>
            <w:r w:rsidRPr="00D361EA">
              <w:rPr>
                <w:rFonts w:cs="Arial"/>
                <w:sz w:val="20"/>
                <w:szCs w:val="20"/>
              </w:rPr>
              <w:t xml:space="preserve"> Clinical Trials Network</w:t>
            </w:r>
          </w:p>
        </w:tc>
        <w:tc>
          <w:tcPr>
            <w:tcW w:w="4930" w:type="dxa"/>
            <w:shd w:val="clear" w:color="auto" w:fill="EAF1C1"/>
            <w:vAlign w:val="center"/>
          </w:tcPr>
          <w:p w14:paraId="1E981ACF" w14:textId="15FBDC2A" w:rsidR="00D361EA" w:rsidRPr="00D361EA" w:rsidRDefault="00D361EA" w:rsidP="00B36013">
            <w:pPr>
              <w:rPr>
                <w:rFonts w:cs="Arial"/>
                <w:color w:val="000000"/>
                <w:sz w:val="20"/>
                <w:szCs w:val="20"/>
              </w:rPr>
            </w:pPr>
            <w:r w:rsidRPr="00D361EA">
              <w:rPr>
                <w:rFonts w:cs="Arial"/>
                <w:sz w:val="20"/>
                <w:szCs w:val="20"/>
              </w:rPr>
              <w:t xml:space="preserve">Many children and young people diagnosed with cancer receive treatment that renders them infertile. This is of major concern to families.  This research will enable wide-scale implementation of new digital tools, guidance and models of </w:t>
            </w:r>
            <w:proofErr w:type="spellStart"/>
            <w:r w:rsidRPr="00D361EA">
              <w:rPr>
                <w:rFonts w:cs="Arial"/>
                <w:sz w:val="20"/>
                <w:szCs w:val="20"/>
              </w:rPr>
              <w:t>oncofertility</w:t>
            </w:r>
            <w:proofErr w:type="spellEnd"/>
            <w:r w:rsidRPr="00D361EA">
              <w:rPr>
                <w:rFonts w:cs="Arial"/>
                <w:sz w:val="20"/>
                <w:szCs w:val="20"/>
              </w:rPr>
              <w:t xml:space="preserve"> care across 9 Australian New Zealand Haematology Oncology (ANZCHOG) cancer centres in order to raise benchmarks of patient-centred </w:t>
            </w:r>
            <w:proofErr w:type="spellStart"/>
            <w:r w:rsidRPr="00D361EA">
              <w:rPr>
                <w:rFonts w:cs="Arial"/>
                <w:sz w:val="20"/>
                <w:szCs w:val="20"/>
              </w:rPr>
              <w:t>oncofertility</w:t>
            </w:r>
            <w:proofErr w:type="spellEnd"/>
            <w:r w:rsidRPr="00D361EA">
              <w:rPr>
                <w:rFonts w:cs="Arial"/>
                <w:sz w:val="20"/>
                <w:szCs w:val="20"/>
              </w:rPr>
              <w:t xml:space="preserve"> care. Families will receive discussion of the risks to fertility, and potential fertility preservation options (freezing of eggs sperm or gonadal tissue) in the critical window between cancer diagnosis and cancer treatment. This will offer clinicians new models of care and young cancer survivors the chance of future parenthood.</w:t>
            </w:r>
          </w:p>
        </w:tc>
        <w:tc>
          <w:tcPr>
            <w:tcW w:w="1417" w:type="dxa"/>
            <w:shd w:val="clear" w:color="auto" w:fill="EAF1C1"/>
            <w:noWrap/>
            <w:tcMar>
              <w:top w:w="0" w:type="dxa"/>
              <w:left w:w="108" w:type="dxa"/>
              <w:bottom w:w="0" w:type="dxa"/>
              <w:right w:w="108" w:type="dxa"/>
            </w:tcMar>
            <w:vAlign w:val="center"/>
          </w:tcPr>
          <w:p w14:paraId="057D06CB" w14:textId="655F9305" w:rsidR="00D361EA" w:rsidRPr="00D361EA" w:rsidRDefault="00D361EA" w:rsidP="00B36013">
            <w:pPr>
              <w:rPr>
                <w:rFonts w:cs="Arial"/>
                <w:color w:val="000000"/>
                <w:sz w:val="20"/>
                <w:szCs w:val="20"/>
              </w:rPr>
            </w:pPr>
            <w:r w:rsidRPr="00D361EA">
              <w:rPr>
                <w:rFonts w:cs="Arial"/>
                <w:color w:val="000000"/>
                <w:sz w:val="20"/>
                <w:szCs w:val="20"/>
              </w:rPr>
              <w:t>University Of Melbourne</w:t>
            </w:r>
          </w:p>
        </w:tc>
        <w:tc>
          <w:tcPr>
            <w:tcW w:w="1276" w:type="dxa"/>
            <w:shd w:val="clear" w:color="auto" w:fill="EAF1C1"/>
            <w:tcMar>
              <w:top w:w="0" w:type="dxa"/>
              <w:left w:w="108" w:type="dxa"/>
              <w:bottom w:w="0" w:type="dxa"/>
              <w:right w:w="108" w:type="dxa"/>
            </w:tcMar>
            <w:vAlign w:val="center"/>
          </w:tcPr>
          <w:p w14:paraId="287A3FBD" w14:textId="308B8ABF" w:rsidR="00D361EA" w:rsidRPr="00D361EA" w:rsidRDefault="00D361EA" w:rsidP="00B36013">
            <w:pPr>
              <w:rPr>
                <w:rFonts w:cs="Arial"/>
                <w:color w:val="333333"/>
                <w:sz w:val="20"/>
                <w:szCs w:val="20"/>
              </w:rPr>
            </w:pPr>
            <w:r w:rsidRPr="00D361EA">
              <w:rPr>
                <w:rFonts w:cs="Arial"/>
                <w:color w:val="333333"/>
                <w:sz w:val="20"/>
                <w:szCs w:val="20"/>
              </w:rPr>
              <w:t>2,999,970</w:t>
            </w:r>
          </w:p>
          <w:p w14:paraId="74EBECA8" w14:textId="77777777" w:rsidR="00D361EA" w:rsidRPr="00D361EA" w:rsidRDefault="00D361EA" w:rsidP="00B36013">
            <w:pPr>
              <w:pStyle w:val="Default"/>
              <w:spacing w:line="252" w:lineRule="auto"/>
              <w:rPr>
                <w:sz w:val="20"/>
                <w:szCs w:val="20"/>
              </w:rPr>
            </w:pPr>
          </w:p>
        </w:tc>
      </w:tr>
      <w:tr w:rsidR="00290DFD" w:rsidRPr="00D361EA" w14:paraId="7B031C91" w14:textId="77777777" w:rsidTr="00F976DF">
        <w:trPr>
          <w:cantSplit/>
          <w:trHeight w:val="143"/>
        </w:trPr>
        <w:tc>
          <w:tcPr>
            <w:tcW w:w="1728" w:type="dxa"/>
            <w:tcMar>
              <w:top w:w="0" w:type="dxa"/>
              <w:left w:w="108" w:type="dxa"/>
              <w:bottom w:w="0" w:type="dxa"/>
              <w:right w:w="108" w:type="dxa"/>
            </w:tcMar>
            <w:vAlign w:val="center"/>
          </w:tcPr>
          <w:p w14:paraId="53CABAAF" w14:textId="191240AD" w:rsidR="00D361EA" w:rsidRPr="00D361EA" w:rsidRDefault="00D361EA" w:rsidP="00B36013">
            <w:pPr>
              <w:rPr>
                <w:rFonts w:cs="Arial"/>
                <w:color w:val="000000"/>
                <w:sz w:val="20"/>
                <w:szCs w:val="20"/>
              </w:rPr>
            </w:pPr>
            <w:r w:rsidRPr="00D361EA">
              <w:rPr>
                <w:rFonts w:cs="Arial"/>
                <w:sz w:val="20"/>
                <w:szCs w:val="20"/>
              </w:rPr>
              <w:t xml:space="preserve">The Target Protein Trial </w:t>
            </w:r>
          </w:p>
        </w:tc>
        <w:tc>
          <w:tcPr>
            <w:tcW w:w="4930" w:type="dxa"/>
            <w:vAlign w:val="center"/>
          </w:tcPr>
          <w:p w14:paraId="2EFF749F" w14:textId="2AA0D747" w:rsidR="00D361EA" w:rsidRPr="00D361EA" w:rsidRDefault="00D361EA" w:rsidP="00B36013">
            <w:pPr>
              <w:rPr>
                <w:rFonts w:cs="Arial"/>
                <w:sz w:val="20"/>
                <w:szCs w:val="20"/>
              </w:rPr>
            </w:pPr>
            <w:r w:rsidRPr="00D361EA">
              <w:rPr>
                <w:rFonts w:cs="Arial"/>
                <w:sz w:val="20"/>
                <w:szCs w:val="20"/>
              </w:rPr>
              <w:t>Intensive Care Unit (ICU). This muscle wasting causes ‘ICU-acquired weakness’, which is associated with increased death and longer duration of time on a ventilator and in ICU and hospital. There is preliminary evidence that increasing protein content during ICU admission reduces muscle wasting.</w:t>
            </w:r>
            <w:r w:rsidR="00141F4C">
              <w:rPr>
                <w:rFonts w:cs="Arial"/>
                <w:sz w:val="20"/>
                <w:szCs w:val="20"/>
              </w:rPr>
              <w:t xml:space="preserve"> </w:t>
            </w:r>
            <w:r w:rsidRPr="00D361EA">
              <w:rPr>
                <w:rFonts w:cs="Arial"/>
                <w:sz w:val="20"/>
                <w:szCs w:val="20"/>
              </w:rPr>
              <w:t>This trial will answer the important question: Does giving more protein during ICU admission improve outcomes that are important to patients and the community?</w:t>
            </w:r>
          </w:p>
        </w:tc>
        <w:tc>
          <w:tcPr>
            <w:tcW w:w="1417" w:type="dxa"/>
            <w:noWrap/>
            <w:tcMar>
              <w:top w:w="0" w:type="dxa"/>
              <w:left w:w="108" w:type="dxa"/>
              <w:bottom w:w="0" w:type="dxa"/>
              <w:right w:w="108" w:type="dxa"/>
            </w:tcMar>
            <w:vAlign w:val="center"/>
          </w:tcPr>
          <w:p w14:paraId="2368AD82" w14:textId="4C493191" w:rsidR="00D361EA" w:rsidRPr="00D361EA" w:rsidRDefault="00D361EA" w:rsidP="00B36013">
            <w:pPr>
              <w:rPr>
                <w:rFonts w:cs="Arial"/>
                <w:color w:val="000000"/>
                <w:sz w:val="20"/>
                <w:szCs w:val="20"/>
              </w:rPr>
            </w:pPr>
            <w:r w:rsidRPr="00D361EA">
              <w:rPr>
                <w:rFonts w:cs="Arial"/>
                <w:sz w:val="20"/>
                <w:szCs w:val="20"/>
              </w:rPr>
              <w:t>University Of Melbourne</w:t>
            </w:r>
          </w:p>
        </w:tc>
        <w:tc>
          <w:tcPr>
            <w:tcW w:w="1276" w:type="dxa"/>
            <w:tcMar>
              <w:top w:w="0" w:type="dxa"/>
              <w:left w:w="108" w:type="dxa"/>
              <w:bottom w:w="0" w:type="dxa"/>
              <w:right w:w="108" w:type="dxa"/>
            </w:tcMar>
            <w:vAlign w:val="center"/>
          </w:tcPr>
          <w:p w14:paraId="01D51737" w14:textId="7456802C" w:rsidR="00D361EA" w:rsidRPr="00D361EA" w:rsidRDefault="00D361EA" w:rsidP="00B36013">
            <w:pPr>
              <w:rPr>
                <w:rFonts w:cs="Arial"/>
                <w:color w:val="333333"/>
                <w:sz w:val="20"/>
                <w:szCs w:val="20"/>
              </w:rPr>
            </w:pPr>
            <w:r w:rsidRPr="00D361EA">
              <w:rPr>
                <w:rFonts w:cs="Arial"/>
                <w:color w:val="333333"/>
                <w:sz w:val="20"/>
                <w:szCs w:val="20"/>
              </w:rPr>
              <w:t>1,894,446</w:t>
            </w:r>
          </w:p>
          <w:p w14:paraId="66E85B4A" w14:textId="77777777" w:rsidR="00D361EA" w:rsidRPr="00D361EA" w:rsidRDefault="00D361EA" w:rsidP="00B36013">
            <w:pPr>
              <w:rPr>
                <w:rFonts w:cs="Arial"/>
                <w:color w:val="333333"/>
                <w:sz w:val="20"/>
                <w:szCs w:val="20"/>
              </w:rPr>
            </w:pPr>
          </w:p>
        </w:tc>
      </w:tr>
      <w:tr w:rsidR="00290DFD" w:rsidRPr="00D361EA" w14:paraId="16F214F2" w14:textId="77777777" w:rsidTr="00F976DF">
        <w:trPr>
          <w:cantSplit/>
          <w:trHeight w:val="60"/>
        </w:trPr>
        <w:tc>
          <w:tcPr>
            <w:tcW w:w="1728" w:type="dxa"/>
            <w:shd w:val="clear" w:color="auto" w:fill="EAF1C1"/>
            <w:tcMar>
              <w:top w:w="0" w:type="dxa"/>
              <w:left w:w="108" w:type="dxa"/>
              <w:bottom w:w="0" w:type="dxa"/>
              <w:right w:w="108" w:type="dxa"/>
            </w:tcMar>
            <w:vAlign w:val="center"/>
          </w:tcPr>
          <w:p w14:paraId="416BF317" w14:textId="77777777" w:rsidR="00D361EA" w:rsidRPr="00D361EA" w:rsidRDefault="00D361EA" w:rsidP="00B36013">
            <w:pPr>
              <w:rPr>
                <w:rFonts w:cs="Arial"/>
                <w:color w:val="000000"/>
                <w:sz w:val="20"/>
                <w:szCs w:val="20"/>
              </w:rPr>
            </w:pPr>
            <w:r w:rsidRPr="00D361EA">
              <w:rPr>
                <w:rFonts w:cs="Arial"/>
                <w:sz w:val="20"/>
                <w:szCs w:val="20"/>
              </w:rPr>
              <w:lastRenderedPageBreak/>
              <w:t>Transforming Clinical Research to Improve Outcomes for Preterm Infants</w:t>
            </w:r>
          </w:p>
        </w:tc>
        <w:tc>
          <w:tcPr>
            <w:tcW w:w="4930" w:type="dxa"/>
            <w:shd w:val="clear" w:color="auto" w:fill="EAF1C1"/>
            <w:vAlign w:val="center"/>
          </w:tcPr>
          <w:p w14:paraId="74F60BA1" w14:textId="1D33A5D9" w:rsidR="00D361EA" w:rsidRPr="00D361EA" w:rsidRDefault="00D361EA" w:rsidP="00B36013">
            <w:pPr>
              <w:rPr>
                <w:rFonts w:cs="Arial"/>
                <w:color w:val="000000"/>
                <w:sz w:val="20"/>
                <w:szCs w:val="20"/>
              </w:rPr>
            </w:pPr>
            <w:r w:rsidRPr="00D361EA">
              <w:rPr>
                <w:rFonts w:cs="Arial"/>
                <w:sz w:val="20"/>
                <w:szCs w:val="20"/>
              </w:rPr>
              <w:t>15 million babies are born preterm each year. Preterm birth is the leading cause of death and disability among children &lt; 5 years. There is urgent need for interventions to reduce complications of prematurity and improve outcomes. Traditional trials are often resource intense and may take many years. Adaptive Platform Trials are innovative allowing multiple interventions to be evaluated simultaneously.  This project will develop an Australasian Adaptive Platform Trial to Improve Preterm Birth Outcomes. The project will identify research priorities and core outcomes important to families and the health service. It will build the infrastructure and expertise required to run the Platform trial and implement the findings into clinical practice.</w:t>
            </w:r>
          </w:p>
        </w:tc>
        <w:tc>
          <w:tcPr>
            <w:tcW w:w="1417" w:type="dxa"/>
            <w:shd w:val="clear" w:color="auto" w:fill="EAF1C1"/>
            <w:noWrap/>
            <w:tcMar>
              <w:top w:w="0" w:type="dxa"/>
              <w:left w:w="108" w:type="dxa"/>
              <w:bottom w:w="0" w:type="dxa"/>
              <w:right w:w="108" w:type="dxa"/>
            </w:tcMar>
            <w:vAlign w:val="center"/>
          </w:tcPr>
          <w:p w14:paraId="6559A27A" w14:textId="1929D5A6" w:rsidR="00D361EA" w:rsidRPr="00D361EA" w:rsidRDefault="00D361EA" w:rsidP="00B36013">
            <w:pPr>
              <w:rPr>
                <w:rFonts w:cs="Arial"/>
                <w:color w:val="000000"/>
                <w:sz w:val="20"/>
                <w:szCs w:val="20"/>
              </w:rPr>
            </w:pPr>
            <w:r w:rsidRPr="00D361EA">
              <w:rPr>
                <w:rFonts w:cs="Arial"/>
                <w:color w:val="000000"/>
                <w:sz w:val="20"/>
                <w:szCs w:val="20"/>
              </w:rPr>
              <w:t>University Of Melbourne</w:t>
            </w:r>
          </w:p>
        </w:tc>
        <w:tc>
          <w:tcPr>
            <w:tcW w:w="1276" w:type="dxa"/>
            <w:shd w:val="clear" w:color="auto" w:fill="EAF1C1"/>
            <w:tcMar>
              <w:top w:w="0" w:type="dxa"/>
              <w:left w:w="108" w:type="dxa"/>
              <w:bottom w:w="0" w:type="dxa"/>
              <w:right w:w="108" w:type="dxa"/>
            </w:tcMar>
            <w:vAlign w:val="center"/>
          </w:tcPr>
          <w:p w14:paraId="3ABB1C74" w14:textId="3580206E" w:rsidR="00D361EA" w:rsidRPr="00D361EA" w:rsidRDefault="00D361EA" w:rsidP="00B36013">
            <w:pPr>
              <w:rPr>
                <w:rFonts w:cs="Arial"/>
                <w:color w:val="333333"/>
                <w:sz w:val="20"/>
                <w:szCs w:val="20"/>
              </w:rPr>
            </w:pPr>
            <w:r w:rsidRPr="00D361EA">
              <w:rPr>
                <w:rFonts w:cs="Arial"/>
                <w:color w:val="333333"/>
                <w:sz w:val="20"/>
                <w:szCs w:val="20"/>
              </w:rPr>
              <w:t>2,642,199</w:t>
            </w:r>
          </w:p>
          <w:p w14:paraId="373F6AD4" w14:textId="77777777" w:rsidR="00D361EA" w:rsidRPr="00D361EA" w:rsidRDefault="00D361EA" w:rsidP="00B36013">
            <w:pPr>
              <w:pStyle w:val="Default"/>
              <w:spacing w:line="252" w:lineRule="auto"/>
              <w:rPr>
                <w:sz w:val="20"/>
                <w:szCs w:val="20"/>
              </w:rPr>
            </w:pPr>
          </w:p>
        </w:tc>
      </w:tr>
      <w:tr w:rsidR="00290DFD" w:rsidRPr="00D361EA" w14:paraId="63FBA5A0" w14:textId="77777777" w:rsidTr="00F976DF">
        <w:trPr>
          <w:cantSplit/>
          <w:trHeight w:val="60"/>
        </w:trPr>
        <w:tc>
          <w:tcPr>
            <w:tcW w:w="1728" w:type="dxa"/>
            <w:tcMar>
              <w:top w:w="0" w:type="dxa"/>
              <w:left w:w="108" w:type="dxa"/>
              <w:bottom w:w="0" w:type="dxa"/>
              <w:right w:w="108" w:type="dxa"/>
            </w:tcMar>
            <w:vAlign w:val="center"/>
          </w:tcPr>
          <w:p w14:paraId="601A37CB" w14:textId="77777777" w:rsidR="00D361EA" w:rsidRPr="00D361EA" w:rsidRDefault="00D361EA" w:rsidP="00B36013">
            <w:pPr>
              <w:rPr>
                <w:rFonts w:cs="Arial"/>
                <w:color w:val="000000"/>
                <w:sz w:val="20"/>
                <w:szCs w:val="20"/>
              </w:rPr>
            </w:pPr>
            <w:r w:rsidRPr="00D361EA">
              <w:rPr>
                <w:rFonts w:cs="Arial"/>
                <w:sz w:val="20"/>
                <w:szCs w:val="20"/>
              </w:rPr>
              <w:t xml:space="preserve">Validating cognitive screening for first-episode psychosis - </w:t>
            </w:r>
            <w:proofErr w:type="spellStart"/>
            <w:r w:rsidRPr="00D361EA">
              <w:rPr>
                <w:rFonts w:cs="Arial"/>
                <w:sz w:val="20"/>
                <w:szCs w:val="20"/>
              </w:rPr>
              <w:t>CogScreen</w:t>
            </w:r>
            <w:proofErr w:type="spellEnd"/>
          </w:p>
        </w:tc>
        <w:tc>
          <w:tcPr>
            <w:tcW w:w="4930" w:type="dxa"/>
            <w:vAlign w:val="center"/>
          </w:tcPr>
          <w:p w14:paraId="2BC58EA2" w14:textId="616E3465" w:rsidR="00D361EA" w:rsidRPr="00D361EA" w:rsidRDefault="00D361EA" w:rsidP="00B36013">
            <w:pPr>
              <w:rPr>
                <w:rFonts w:cs="Arial"/>
                <w:color w:val="000000"/>
                <w:sz w:val="20"/>
                <w:szCs w:val="20"/>
              </w:rPr>
            </w:pPr>
            <w:r w:rsidRPr="00D361EA">
              <w:rPr>
                <w:rFonts w:cs="Arial"/>
                <w:sz w:val="20"/>
                <w:szCs w:val="20"/>
              </w:rPr>
              <w:t xml:space="preserve">Cognitive impairment is common in first-episode psychosis (FEP) and predicts poorer patient outcomes. Clinical guidelines recommend routine cognitive screening of patients with psychosis so that treatment is in line with the cognitive needs of the patient. The problem is that there are no well-validated cognitive screening tools for clinical use in FEP. The </w:t>
            </w:r>
            <w:proofErr w:type="spellStart"/>
            <w:r w:rsidRPr="00D361EA">
              <w:rPr>
                <w:rFonts w:cs="Arial"/>
                <w:sz w:val="20"/>
                <w:szCs w:val="20"/>
              </w:rPr>
              <w:t>CogScreen</w:t>
            </w:r>
            <w:proofErr w:type="spellEnd"/>
            <w:r w:rsidRPr="00D361EA">
              <w:rPr>
                <w:rFonts w:cs="Arial"/>
                <w:sz w:val="20"/>
                <w:szCs w:val="20"/>
              </w:rPr>
              <w:t xml:space="preserve"> study will establish the most accurate cognitive screening tool for patients attending Australian early psychosis services. </w:t>
            </w:r>
            <w:proofErr w:type="spellStart"/>
            <w:r w:rsidRPr="00D361EA">
              <w:rPr>
                <w:rFonts w:cs="Arial"/>
                <w:sz w:val="20"/>
                <w:szCs w:val="20"/>
              </w:rPr>
              <w:t>CogScreen</w:t>
            </w:r>
            <w:proofErr w:type="spellEnd"/>
            <w:r w:rsidRPr="00D361EA">
              <w:rPr>
                <w:rFonts w:cs="Arial"/>
                <w:sz w:val="20"/>
                <w:szCs w:val="20"/>
              </w:rPr>
              <w:t xml:space="preserve"> will provide clinicians with a rapid and cost-effective way of identifying cognitive impairment in FEP patients, so that they can refine diagnosis and deliver more effective treatments and services, leading to better outcomes for patients.</w:t>
            </w:r>
          </w:p>
        </w:tc>
        <w:tc>
          <w:tcPr>
            <w:tcW w:w="1417" w:type="dxa"/>
            <w:noWrap/>
            <w:tcMar>
              <w:top w:w="0" w:type="dxa"/>
              <w:left w:w="108" w:type="dxa"/>
              <w:bottom w:w="0" w:type="dxa"/>
              <w:right w:w="108" w:type="dxa"/>
            </w:tcMar>
            <w:vAlign w:val="center"/>
          </w:tcPr>
          <w:p w14:paraId="68DB4335" w14:textId="1E2926E3" w:rsidR="00D361EA" w:rsidRPr="00D361EA" w:rsidRDefault="00D361EA" w:rsidP="00B36013">
            <w:pPr>
              <w:rPr>
                <w:rFonts w:cs="Arial"/>
                <w:color w:val="000000"/>
                <w:sz w:val="20"/>
                <w:szCs w:val="20"/>
              </w:rPr>
            </w:pPr>
            <w:r w:rsidRPr="00D361EA">
              <w:rPr>
                <w:rFonts w:cs="Arial"/>
                <w:color w:val="000000"/>
                <w:sz w:val="20"/>
                <w:szCs w:val="20"/>
              </w:rPr>
              <w:t>University Of Melbourne</w:t>
            </w:r>
          </w:p>
        </w:tc>
        <w:tc>
          <w:tcPr>
            <w:tcW w:w="1276" w:type="dxa"/>
            <w:tcMar>
              <w:top w:w="0" w:type="dxa"/>
              <w:left w:w="108" w:type="dxa"/>
              <w:bottom w:w="0" w:type="dxa"/>
              <w:right w:w="108" w:type="dxa"/>
            </w:tcMar>
            <w:vAlign w:val="center"/>
          </w:tcPr>
          <w:p w14:paraId="3EAE27A3" w14:textId="0F68ECF6" w:rsidR="00D361EA" w:rsidRPr="00D361EA" w:rsidRDefault="00D361EA" w:rsidP="00B36013">
            <w:pPr>
              <w:rPr>
                <w:rFonts w:cs="Arial"/>
                <w:color w:val="333333"/>
                <w:sz w:val="20"/>
                <w:szCs w:val="20"/>
              </w:rPr>
            </w:pPr>
            <w:r w:rsidRPr="00D361EA">
              <w:rPr>
                <w:rFonts w:cs="Arial"/>
                <w:color w:val="333333"/>
                <w:sz w:val="20"/>
                <w:szCs w:val="20"/>
              </w:rPr>
              <w:t>2,294,990</w:t>
            </w:r>
          </w:p>
          <w:p w14:paraId="3A337AD2" w14:textId="77777777" w:rsidR="00D361EA" w:rsidRPr="00D361EA" w:rsidRDefault="00D361EA" w:rsidP="00B36013">
            <w:pPr>
              <w:rPr>
                <w:rFonts w:cs="Arial"/>
                <w:color w:val="333333"/>
                <w:sz w:val="20"/>
                <w:szCs w:val="20"/>
              </w:rPr>
            </w:pPr>
          </w:p>
        </w:tc>
        <w:bookmarkEnd w:id="1"/>
      </w:tr>
    </w:tbl>
    <w:p w14:paraId="30FF6805" w14:textId="77777777" w:rsidR="00214ED1" w:rsidRPr="00AC00CA" w:rsidRDefault="00214ED1" w:rsidP="00214ED1">
      <w:pPr>
        <w:rPr>
          <w:rFonts w:ascii="Times New Roman" w:eastAsiaTheme="minorHAnsi" w:hAnsi="Times New Roman"/>
          <w:sz w:val="24"/>
        </w:rPr>
      </w:pPr>
    </w:p>
    <w:p w14:paraId="1B7CEA12" w14:textId="77777777" w:rsidR="00D361EA" w:rsidRPr="00B34CB3" w:rsidRDefault="00D361EA" w:rsidP="00214ED1">
      <w:pPr>
        <w:rPr>
          <w:rFonts w:eastAsia="Arial" w:cs="Arial"/>
          <w:sz w:val="20"/>
          <w:szCs w:val="20"/>
          <w:lang w:eastAsia="en-US" w:bidi="en-US"/>
        </w:rPr>
      </w:pPr>
    </w:p>
    <w:sectPr w:rsidR="00D361EA" w:rsidRPr="00B34CB3" w:rsidSect="00456C33">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86253" w14:textId="77777777" w:rsidR="00D1597E" w:rsidRDefault="00D1597E" w:rsidP="00F77677">
      <w:pPr>
        <w:spacing w:before="0" w:line="240" w:lineRule="auto"/>
      </w:pPr>
      <w:r>
        <w:separator/>
      </w:r>
    </w:p>
  </w:endnote>
  <w:endnote w:type="continuationSeparator" w:id="0">
    <w:p w14:paraId="62A44720" w14:textId="77777777" w:rsidR="00D1597E" w:rsidRDefault="00D1597E"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9681" w14:textId="77777777" w:rsidR="00D1597E" w:rsidRPr="00456C33" w:rsidRDefault="00D1597E" w:rsidP="00456C33">
    <w:pPr>
      <w:pStyle w:val="Footer"/>
    </w:pPr>
    <w:r w:rsidRPr="00456C33">
      <w:rPr>
        <w:color w:val="153A6E"/>
      </w:rPr>
      <w:t>Life Saving Research – Funding for medical research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05B6" w14:textId="77777777" w:rsidR="00D1597E" w:rsidRPr="00456C33" w:rsidRDefault="00D1597E" w:rsidP="00456C33">
    <w:pPr>
      <w:pStyle w:val="Footer"/>
    </w:pPr>
    <w:r w:rsidRPr="00456C33">
      <w:rPr>
        <w:color w:val="153A6E"/>
      </w:rPr>
      <w:t>Life Saving Research – Funding for medical research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16D2" w14:textId="77777777" w:rsidR="00D1597E" w:rsidRPr="00456C33" w:rsidRDefault="00D1597E" w:rsidP="00456C33">
    <w:pPr>
      <w:pStyle w:val="Footer"/>
    </w:pPr>
    <w:r w:rsidRPr="00456C33">
      <w:rPr>
        <w:color w:val="153A6E"/>
      </w:rPr>
      <w:t>Life Saving Research – Funding for medical research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7C74" w14:textId="77777777" w:rsidR="00D1597E" w:rsidRDefault="00D1597E" w:rsidP="00F77677">
      <w:pPr>
        <w:spacing w:before="0" w:line="240" w:lineRule="auto"/>
      </w:pPr>
      <w:r>
        <w:separator/>
      </w:r>
    </w:p>
  </w:footnote>
  <w:footnote w:type="continuationSeparator" w:id="0">
    <w:p w14:paraId="0AD09E54" w14:textId="77777777" w:rsidR="00D1597E" w:rsidRDefault="00D1597E"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962F" w14:textId="77777777" w:rsidR="00D1597E" w:rsidRDefault="00D1597E">
    <w:pPr>
      <w:pStyle w:val="Header"/>
    </w:pPr>
    <w:r w:rsidRPr="00BC78C8">
      <w:rPr>
        <w:noProof/>
      </w:rPr>
      <mc:AlternateContent>
        <mc:Choice Requires="wps">
          <w:drawing>
            <wp:anchor distT="0" distB="0" distL="114300" distR="114300" simplePos="0" relativeHeight="251672576" behindDoc="0" locked="0" layoutInCell="1" allowOverlap="1" wp14:anchorId="37F6839E" wp14:editId="07241BC5">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48DBD8F" w14:textId="77777777" w:rsidR="00D1597E" w:rsidRPr="003667E5" w:rsidRDefault="00D1597E"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6839E"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148DBD8F" w14:textId="77777777" w:rsidR="00D1597E" w:rsidRPr="003667E5" w:rsidRDefault="00D1597E"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v:textbox>
              <w10:wrap type="square" anchory="page"/>
            </v:shape>
          </w:pict>
        </mc:Fallback>
      </mc:AlternateContent>
    </w:r>
    <w:r w:rsidRPr="00BB6B25">
      <w:rPr>
        <w:noProof/>
      </w:rPr>
      <mc:AlternateContent>
        <mc:Choice Requires="wps">
          <w:drawing>
            <wp:anchor distT="0" distB="0" distL="114300" distR="114300" simplePos="0" relativeHeight="251664384" behindDoc="0" locked="0" layoutInCell="1" allowOverlap="1" wp14:anchorId="0F4A001A" wp14:editId="24F2AD61">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F5EC5"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" fillcolor="#acc02a" stroked="f" strokeweight="2pt">
              <w10:wrap anchorx="page" anchory="page"/>
            </v:rect>
          </w:pict>
        </mc:Fallback>
      </mc:AlternateContent>
    </w:r>
    <w:r w:rsidRPr="00BB6B25">
      <w:rPr>
        <w:noProof/>
      </w:rPr>
      <mc:AlternateContent>
        <mc:Choice Requires="wps">
          <w:drawing>
            <wp:anchor distT="0" distB="0" distL="114300" distR="114300" simplePos="0" relativeHeight="251663360" behindDoc="1" locked="0" layoutInCell="1" allowOverlap="1" wp14:anchorId="0CF2241B" wp14:editId="405FC652">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CC02A"/>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85759"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" filled="f" strokecolor="#acc02a"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9A939" w14:textId="77777777" w:rsidR="00D1597E" w:rsidRDefault="00D1597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35481F91" wp14:editId="2AEFC71B">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651DA32" w14:textId="77777777" w:rsidR="00D1597E" w:rsidRPr="003667E5" w:rsidRDefault="00D1597E"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81F91"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5651DA32" w14:textId="77777777" w:rsidR="00D1597E" w:rsidRPr="003667E5" w:rsidRDefault="00D1597E" w:rsidP="00F53C8E">
                    <w:pPr>
                      <w:spacing w:before="0" w:line="160" w:lineRule="exact"/>
                      <w:jc w:val="right"/>
                      <w:rPr>
                        <w:color w:val="FFFFFF" w:themeColor="background1"/>
                        <w:sz w:val="32"/>
                        <w:szCs w:val="32"/>
                      </w:rPr>
                    </w:pPr>
                    <w:r w:rsidRPr="002A39D2">
                      <w:rPr>
                        <w:color w:val="FFFFFF" w:themeColor="background1"/>
                        <w:sz w:val="32"/>
                        <w:szCs w:val="32"/>
                      </w:rPr>
                      <w:t>LIFE SAVING AND JOB CREATING MEDICAL RESEARCH</w:t>
                    </w:r>
                  </w:p>
                </w:txbxContent>
              </v:textbox>
              <w10:wrap type="square" anchory="page"/>
            </v:shape>
          </w:pict>
        </mc:Fallback>
      </mc:AlternateContent>
    </w:r>
    <w:r>
      <w:rPr>
        <w:noProof/>
        <w:color w:val="808080" w:themeColor="background1" w:themeShade="80"/>
      </w:rPr>
      <mc:AlternateContent>
        <mc:Choice Requires="wps">
          <w:drawing>
            <wp:anchor distT="0" distB="0" distL="114300" distR="114300" simplePos="0" relativeHeight="251659264" behindDoc="0" locked="0" layoutInCell="1" allowOverlap="1" wp14:anchorId="4BB630F2" wp14:editId="2780A176">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F44BB"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" fillcolor="#acc02a" stroked="f" strokeweight="2pt">
              <w10:wrap anchorx="page" anchory="page"/>
            </v:rect>
          </w:pict>
        </mc:Fallback>
      </mc:AlternateContent>
    </w:r>
    <w:r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0CBEF4C7" wp14:editId="14C11FA8">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CC02A"/>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1815D"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" filled="f" strokecolor="#acc02a"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FB10" w14:textId="77777777" w:rsidR="00D1597E" w:rsidRDefault="00D1597E">
    <w:pPr>
      <w:pStyle w:val="Header"/>
    </w:pPr>
    <w:r w:rsidRPr="00BC78C8">
      <w:rPr>
        <w:noProof/>
      </w:rPr>
      <w:drawing>
        <wp:anchor distT="0" distB="0" distL="114300" distR="114300" simplePos="0" relativeHeight="251654140" behindDoc="0" locked="0" layoutInCell="1" allowOverlap="1" wp14:anchorId="4FE82DB2" wp14:editId="2D0EA1F6">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oat of Arms, Budget 2022-2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Pr="00BC78C8">
      <w:rPr>
        <w:noProof/>
      </w:rPr>
      <mc:AlternateContent>
        <mc:Choice Requires="wps">
          <w:drawing>
            <wp:anchor distT="0" distB="0" distL="114300" distR="114300" simplePos="0" relativeHeight="251670528" behindDoc="0" locked="0" layoutInCell="1" allowOverlap="1" wp14:anchorId="12B5A914" wp14:editId="5E2418B7">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Life Saving and Job Creating Medical Research"/>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0106189" w14:textId="77777777" w:rsidR="00D1597E" w:rsidRPr="003667E5" w:rsidRDefault="00D1597E" w:rsidP="00746E44">
                          <w:pPr>
                            <w:spacing w:before="0" w:line="160" w:lineRule="exact"/>
                            <w:jc w:val="right"/>
                            <w:rPr>
                              <w:color w:val="FFFFFF" w:themeColor="background1"/>
                              <w:sz w:val="32"/>
                              <w:szCs w:val="32"/>
                            </w:rPr>
                          </w:pPr>
                          <w:r>
                            <w:rPr>
                              <w:color w:val="FFFFFF" w:themeColor="background1"/>
                              <w:sz w:val="32"/>
                              <w:szCs w:val="32"/>
                            </w:rPr>
                            <w:t>LIFE SAVING AND JOB CREATING MEDICAL RESEARCH</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5A914" id="_x0000_t202" coordsize="21600,21600" o:spt="202" path="m,l,21600r21600,l21600,xe">
              <v:stroke joinstyle="miter"/>
              <v:path gradientshapeok="t" o:connecttype="rect"/>
            </v:shapetype>
            <v:shape id="Text Box 19" o:spid="_x0000_s1028" type="#_x0000_t202" alt="Banner of category Life Saving and Job Creating Medical Research"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" filled="f" stroked="f">
              <v:textbox style="layout-flow:vertical-ideographic">
                <w:txbxContent>
                  <w:p w14:paraId="50106189" w14:textId="77777777" w:rsidR="00D1597E" w:rsidRPr="003667E5" w:rsidRDefault="00D1597E" w:rsidP="00746E44">
                    <w:pPr>
                      <w:spacing w:before="0" w:line="160" w:lineRule="exact"/>
                      <w:jc w:val="right"/>
                      <w:rPr>
                        <w:color w:val="FFFFFF" w:themeColor="background1"/>
                        <w:sz w:val="32"/>
                        <w:szCs w:val="32"/>
                      </w:rPr>
                    </w:pPr>
                    <w:r>
                      <w:rPr>
                        <w:color w:val="FFFFFF" w:themeColor="background1"/>
                        <w:sz w:val="32"/>
                        <w:szCs w:val="32"/>
                      </w:rPr>
                      <w:t>LIFE SAVING AND JOB CREATING MEDICAL RESEARCH</w:t>
                    </w:r>
                  </w:p>
                </w:txbxContent>
              </v:textbox>
              <w10:wrap type="square" anchory="page"/>
            </v:shape>
          </w:pict>
        </mc:Fallback>
      </mc:AlternateContent>
    </w:r>
    <w:r w:rsidRPr="00BC78C8">
      <w:rPr>
        <w:noProof/>
      </w:rPr>
      <mc:AlternateContent>
        <mc:Choice Requires="wps">
          <w:drawing>
            <wp:anchor distT="0" distB="0" distL="114300" distR="114300" simplePos="0" relativeHeight="251669504" behindDoc="0" locked="0" layoutInCell="1" allowOverlap="1" wp14:anchorId="29D50404" wp14:editId="6C07D7A1">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CC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9349B"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" fillcolor="#acc02a" stroked="f" strokeweight="2pt">
              <w10:wrap anchorx="page" anchory="page"/>
            </v:rect>
          </w:pict>
        </mc:Fallback>
      </mc:AlternateContent>
    </w:r>
    <w:r w:rsidRPr="00BC78C8">
      <w:rPr>
        <w:noProof/>
      </w:rPr>
      <mc:AlternateContent>
        <mc:Choice Requires="wps">
          <w:drawing>
            <wp:anchor distT="0" distB="0" distL="114300" distR="114300" simplePos="0" relativeHeight="251668480" behindDoc="1" locked="0" layoutInCell="1" allowOverlap="1" wp14:anchorId="03E834F3" wp14:editId="7E4412AF">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CC02A"/>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A2FA"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" filled="f" strokecolor="#acc02a"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1A52612"/>
    <w:multiLevelType w:val="hybridMultilevel"/>
    <w:tmpl w:val="164A8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F266CA"/>
    <w:multiLevelType w:val="hybridMultilevel"/>
    <w:tmpl w:val="36908B10"/>
    <w:lvl w:ilvl="0" w:tplc="EEBA197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A44925"/>
    <w:multiLevelType w:val="hybridMultilevel"/>
    <w:tmpl w:val="FE8AC0D0"/>
    <w:lvl w:ilvl="0" w:tplc="9A6C95B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1577D"/>
    <w:multiLevelType w:val="hybridMultilevel"/>
    <w:tmpl w:val="2C841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2F29EA"/>
    <w:multiLevelType w:val="hybridMultilevel"/>
    <w:tmpl w:val="4E521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5B1604"/>
    <w:multiLevelType w:val="hybridMultilevel"/>
    <w:tmpl w:val="87E4D1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65216802"/>
    <w:multiLevelType w:val="hybridMultilevel"/>
    <w:tmpl w:val="A8BE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371E97"/>
    <w:multiLevelType w:val="hybridMultilevel"/>
    <w:tmpl w:val="FB545C02"/>
    <w:lvl w:ilvl="0" w:tplc="EE164E8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8"/>
  </w:num>
  <w:num w:numId="7">
    <w:abstractNumId w:val="5"/>
  </w:num>
  <w:num w:numId="8">
    <w:abstractNumId w:val="3"/>
  </w:num>
  <w:num w:numId="9">
    <w:abstractNumId w:val="6"/>
  </w:num>
  <w:num w:numId="10">
    <w:abstractNumId w:val="7"/>
  </w:num>
  <w:num w:numId="11">
    <w:abstractNumId w:val="10"/>
  </w:num>
  <w:num w:numId="12">
    <w:abstractNumId w:val="4"/>
  </w:num>
  <w:num w:numId="13">
    <w:abstractNumId w:val="5"/>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80"/>
    <w:rsid w:val="000029CE"/>
    <w:rsid w:val="00003743"/>
    <w:rsid w:val="00012DDA"/>
    <w:rsid w:val="0003117D"/>
    <w:rsid w:val="00036E48"/>
    <w:rsid w:val="00037BFE"/>
    <w:rsid w:val="000476A6"/>
    <w:rsid w:val="00060243"/>
    <w:rsid w:val="00062DC7"/>
    <w:rsid w:val="00067456"/>
    <w:rsid w:val="00092079"/>
    <w:rsid w:val="000A2BE8"/>
    <w:rsid w:val="000A35FD"/>
    <w:rsid w:val="000C3238"/>
    <w:rsid w:val="000D3B7B"/>
    <w:rsid w:val="000E1AE5"/>
    <w:rsid w:val="000E4DAD"/>
    <w:rsid w:val="000F2EBF"/>
    <w:rsid w:val="000F442D"/>
    <w:rsid w:val="00112D0C"/>
    <w:rsid w:val="00122663"/>
    <w:rsid w:val="00123DBE"/>
    <w:rsid w:val="001322F3"/>
    <w:rsid w:val="00141F4C"/>
    <w:rsid w:val="00153116"/>
    <w:rsid w:val="00156177"/>
    <w:rsid w:val="00156C97"/>
    <w:rsid w:val="00164D18"/>
    <w:rsid w:val="0017128B"/>
    <w:rsid w:val="00190C20"/>
    <w:rsid w:val="00190E05"/>
    <w:rsid w:val="00196331"/>
    <w:rsid w:val="001B3443"/>
    <w:rsid w:val="001B3F49"/>
    <w:rsid w:val="001C6FA9"/>
    <w:rsid w:val="001D095A"/>
    <w:rsid w:val="001F6960"/>
    <w:rsid w:val="002119DA"/>
    <w:rsid w:val="00214ED1"/>
    <w:rsid w:val="00220D62"/>
    <w:rsid w:val="00224B16"/>
    <w:rsid w:val="0025254C"/>
    <w:rsid w:val="00290DFD"/>
    <w:rsid w:val="002A2017"/>
    <w:rsid w:val="002A39D2"/>
    <w:rsid w:val="002B3A9A"/>
    <w:rsid w:val="002D0E19"/>
    <w:rsid w:val="002D3BDB"/>
    <w:rsid w:val="002E575C"/>
    <w:rsid w:val="002F3711"/>
    <w:rsid w:val="002F3AE3"/>
    <w:rsid w:val="0030786C"/>
    <w:rsid w:val="00312CA7"/>
    <w:rsid w:val="0032762A"/>
    <w:rsid w:val="00332E8C"/>
    <w:rsid w:val="0034275D"/>
    <w:rsid w:val="00387B8D"/>
    <w:rsid w:val="00392F59"/>
    <w:rsid w:val="003D124E"/>
    <w:rsid w:val="003D17F9"/>
    <w:rsid w:val="003E4225"/>
    <w:rsid w:val="00404761"/>
    <w:rsid w:val="00432CAE"/>
    <w:rsid w:val="00440060"/>
    <w:rsid w:val="004537C5"/>
    <w:rsid w:val="00456C33"/>
    <w:rsid w:val="00457F1F"/>
    <w:rsid w:val="004638EA"/>
    <w:rsid w:val="00480D9C"/>
    <w:rsid w:val="004867E2"/>
    <w:rsid w:val="00496EAA"/>
    <w:rsid w:val="004B0C2D"/>
    <w:rsid w:val="004B5E85"/>
    <w:rsid w:val="004C4A79"/>
    <w:rsid w:val="004C556A"/>
    <w:rsid w:val="004D04B6"/>
    <w:rsid w:val="004F79BE"/>
    <w:rsid w:val="005134EF"/>
    <w:rsid w:val="00531FEF"/>
    <w:rsid w:val="00545812"/>
    <w:rsid w:val="00547B0B"/>
    <w:rsid w:val="00560073"/>
    <w:rsid w:val="00580194"/>
    <w:rsid w:val="00591CAB"/>
    <w:rsid w:val="0060074A"/>
    <w:rsid w:val="00613945"/>
    <w:rsid w:val="00646243"/>
    <w:rsid w:val="00656763"/>
    <w:rsid w:val="006927C3"/>
    <w:rsid w:val="006B03BA"/>
    <w:rsid w:val="006B37B6"/>
    <w:rsid w:val="006C2BB0"/>
    <w:rsid w:val="006C46EB"/>
    <w:rsid w:val="00713FBD"/>
    <w:rsid w:val="00714E9E"/>
    <w:rsid w:val="00724B94"/>
    <w:rsid w:val="00743F14"/>
    <w:rsid w:val="00746E44"/>
    <w:rsid w:val="007A27B4"/>
    <w:rsid w:val="007B62CE"/>
    <w:rsid w:val="007C3C90"/>
    <w:rsid w:val="007D655C"/>
    <w:rsid w:val="00807623"/>
    <w:rsid w:val="008163DE"/>
    <w:rsid w:val="008264EB"/>
    <w:rsid w:val="0083047C"/>
    <w:rsid w:val="00832991"/>
    <w:rsid w:val="00856C2F"/>
    <w:rsid w:val="00873A3F"/>
    <w:rsid w:val="00882951"/>
    <w:rsid w:val="00886F01"/>
    <w:rsid w:val="008F2E23"/>
    <w:rsid w:val="00905865"/>
    <w:rsid w:val="00916E1C"/>
    <w:rsid w:val="0095032C"/>
    <w:rsid w:val="00953B0F"/>
    <w:rsid w:val="00987756"/>
    <w:rsid w:val="009974AF"/>
    <w:rsid w:val="009C4D8E"/>
    <w:rsid w:val="00A15D0A"/>
    <w:rsid w:val="00A234EB"/>
    <w:rsid w:val="00A30968"/>
    <w:rsid w:val="00A33281"/>
    <w:rsid w:val="00A365D5"/>
    <w:rsid w:val="00A370A4"/>
    <w:rsid w:val="00A4512D"/>
    <w:rsid w:val="00A54667"/>
    <w:rsid w:val="00A63558"/>
    <w:rsid w:val="00A705AF"/>
    <w:rsid w:val="00A81F44"/>
    <w:rsid w:val="00AB5DC4"/>
    <w:rsid w:val="00AF1D73"/>
    <w:rsid w:val="00AF55BC"/>
    <w:rsid w:val="00B34CB3"/>
    <w:rsid w:val="00B36013"/>
    <w:rsid w:val="00B42851"/>
    <w:rsid w:val="00B53881"/>
    <w:rsid w:val="00B73AA3"/>
    <w:rsid w:val="00B93231"/>
    <w:rsid w:val="00B93FB1"/>
    <w:rsid w:val="00B95E87"/>
    <w:rsid w:val="00BA0398"/>
    <w:rsid w:val="00BA3805"/>
    <w:rsid w:val="00BB1B5E"/>
    <w:rsid w:val="00BB6B25"/>
    <w:rsid w:val="00BC3FFB"/>
    <w:rsid w:val="00BC6210"/>
    <w:rsid w:val="00BC78C8"/>
    <w:rsid w:val="00C013F0"/>
    <w:rsid w:val="00C15E58"/>
    <w:rsid w:val="00C3768B"/>
    <w:rsid w:val="00C51060"/>
    <w:rsid w:val="00C65279"/>
    <w:rsid w:val="00C72023"/>
    <w:rsid w:val="00C80038"/>
    <w:rsid w:val="00CB0960"/>
    <w:rsid w:val="00CB5B1A"/>
    <w:rsid w:val="00CB7179"/>
    <w:rsid w:val="00D07726"/>
    <w:rsid w:val="00D13B9A"/>
    <w:rsid w:val="00D1597E"/>
    <w:rsid w:val="00D30B80"/>
    <w:rsid w:val="00D361EA"/>
    <w:rsid w:val="00D425BA"/>
    <w:rsid w:val="00D46877"/>
    <w:rsid w:val="00D54385"/>
    <w:rsid w:val="00D607A2"/>
    <w:rsid w:val="00D75D82"/>
    <w:rsid w:val="00DB0D51"/>
    <w:rsid w:val="00DB4628"/>
    <w:rsid w:val="00DC0D6D"/>
    <w:rsid w:val="00DD6EBA"/>
    <w:rsid w:val="00E16383"/>
    <w:rsid w:val="00E30F6C"/>
    <w:rsid w:val="00E37E83"/>
    <w:rsid w:val="00E413B5"/>
    <w:rsid w:val="00E44652"/>
    <w:rsid w:val="00E454A1"/>
    <w:rsid w:val="00E608ED"/>
    <w:rsid w:val="00E70C08"/>
    <w:rsid w:val="00E763E3"/>
    <w:rsid w:val="00EA6F57"/>
    <w:rsid w:val="00ED1C0F"/>
    <w:rsid w:val="00ED2467"/>
    <w:rsid w:val="00F010C8"/>
    <w:rsid w:val="00F01AC6"/>
    <w:rsid w:val="00F32F8A"/>
    <w:rsid w:val="00F41080"/>
    <w:rsid w:val="00F53C8E"/>
    <w:rsid w:val="00F71961"/>
    <w:rsid w:val="00F77677"/>
    <w:rsid w:val="00F84400"/>
    <w:rsid w:val="00F93440"/>
    <w:rsid w:val="00F93C58"/>
    <w:rsid w:val="00F976DF"/>
    <w:rsid w:val="00FA3E49"/>
    <w:rsid w:val="00FC2D96"/>
    <w:rsid w:val="00FC4A0D"/>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B734B5C"/>
  <w15:docId w15:val="{77942859-8764-4EAA-AEF0-121C273F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387B8D"/>
    <w:pPr>
      <w:spacing w:line="281" w:lineRule="auto"/>
      <w:outlineLvl w:val="0"/>
    </w:pPr>
    <w:rPr>
      <w:b/>
    </w:rPr>
  </w:style>
  <w:style w:type="paragraph" w:styleId="Heading2">
    <w:name w:val="heading 2"/>
    <w:basedOn w:val="Normal"/>
    <w:next w:val="Normal"/>
    <w:link w:val="Heading2Char"/>
    <w:uiPriority w:val="9"/>
    <w:unhideWhenUsed/>
    <w:qFormat/>
    <w:rsid w:val="00387B8D"/>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387B8D"/>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387B8D"/>
    <w:pPr>
      <w:keepNext/>
      <w:keepLines/>
      <w:outlineLvl w:val="3"/>
    </w:pPr>
    <w:rPr>
      <w:rFonts w:eastAsia="MS Gothic"/>
      <w:i/>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387B8D"/>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387B8D"/>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aliases w:val="Recommendation,List Paragraph1,List Paragraph11,List Paragraph2,CV text,Dot pt,F5 List Paragraph,FooterText,L,List Paragraph111,Medium Grid 1 - Accent 21,NFP GP Bulleted List,Numbered Paragraph,Paragraphe de liste1,Table text,numbered,列出段"/>
    <w:basedOn w:val="Normal"/>
    <w:link w:val="ListParagraphChar"/>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387B8D"/>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387B8D"/>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387B8D"/>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387B8D"/>
    <w:rPr>
      <w:rFonts w:ascii="Arial" w:eastAsia="MS Gothic" w:hAnsi="Arial"/>
      <w:i/>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Tableheader">
    <w:name w:val="Table header"/>
    <w:basedOn w:val="Normal"/>
    <w:qFormat/>
    <w:rsid w:val="00F41080"/>
    <w:pPr>
      <w:spacing w:line="240" w:lineRule="auto"/>
      <w:jc w:val="center"/>
    </w:pPr>
    <w:rPr>
      <w:rFonts w:eastAsia="Times New Roman" w:cs="Arial"/>
      <w:b/>
      <w:color w:val="FFFFFF" w:themeColor="background1"/>
      <w:sz w:val="19"/>
      <w:szCs w:val="20"/>
    </w:rPr>
  </w:style>
  <w:style w:type="paragraph" w:customStyle="1" w:styleId="Tablenormal0">
    <w:name w:val="Table normal"/>
    <w:basedOn w:val="Normal"/>
    <w:qFormat/>
    <w:rsid w:val="00F41080"/>
    <w:pPr>
      <w:spacing w:line="240" w:lineRule="auto"/>
    </w:pPr>
    <w:rPr>
      <w:rFonts w:eastAsia="Times New Roman" w:cs="Arial"/>
      <w:color w:val="000000"/>
      <w:sz w:val="19"/>
      <w:szCs w:val="20"/>
    </w:rPr>
  </w:style>
  <w:style w:type="paragraph" w:customStyle="1" w:styleId="Tablebullet">
    <w:name w:val="Table bullet"/>
    <w:basedOn w:val="Tablenormal0"/>
    <w:qFormat/>
    <w:rsid w:val="00F41080"/>
    <w:pPr>
      <w:numPr>
        <w:numId w:val="7"/>
      </w:numPr>
    </w:pPr>
  </w:style>
  <w:style w:type="paragraph" w:customStyle="1" w:styleId="Default">
    <w:name w:val="Default"/>
    <w:basedOn w:val="Normal"/>
    <w:rsid w:val="00F41080"/>
    <w:pPr>
      <w:autoSpaceDE w:val="0"/>
      <w:autoSpaceDN w:val="0"/>
      <w:spacing w:before="0" w:line="240" w:lineRule="auto"/>
    </w:pPr>
    <w:rPr>
      <w:rFonts w:eastAsiaTheme="minorHAnsi" w:cs="Arial"/>
      <w:color w:val="000000"/>
      <w:sz w:val="24"/>
      <w:lang w:eastAsia="en-US"/>
    </w:rPr>
  </w:style>
  <w:style w:type="character" w:customStyle="1" w:styleId="ListParagraphChar">
    <w:name w:val="List Paragraph Char"/>
    <w:aliases w:val="Recommendation Char,List Paragraph1 Char,List Paragraph11 Char,List Paragraph2 Char,CV text Char,Dot pt Char,F5 List Paragraph Char,FooterText Char,L Char,List Paragraph111 Char,Medium Grid 1 - Accent 21 Char,Numbered Paragraph Char"/>
    <w:basedOn w:val="DefaultParagraphFont"/>
    <w:link w:val="ListParagraph"/>
    <w:uiPriority w:val="34"/>
    <w:qFormat/>
    <w:locked/>
    <w:rsid w:val="00F41080"/>
    <w:rPr>
      <w:rFonts w:ascii="Arial" w:hAnsi="Arial"/>
      <w:sz w:val="21"/>
    </w:rPr>
  </w:style>
  <w:style w:type="character" w:styleId="CommentReference">
    <w:name w:val="annotation reference"/>
    <w:basedOn w:val="DefaultParagraphFont"/>
    <w:semiHidden/>
    <w:unhideWhenUsed/>
    <w:rsid w:val="000476A6"/>
    <w:rPr>
      <w:sz w:val="16"/>
      <w:szCs w:val="16"/>
    </w:rPr>
  </w:style>
  <w:style w:type="paragraph" w:styleId="CommentText">
    <w:name w:val="annotation text"/>
    <w:basedOn w:val="Normal"/>
    <w:link w:val="CommentTextChar"/>
    <w:semiHidden/>
    <w:unhideWhenUsed/>
    <w:rsid w:val="000476A6"/>
    <w:pPr>
      <w:spacing w:line="240" w:lineRule="auto"/>
    </w:pPr>
    <w:rPr>
      <w:sz w:val="20"/>
      <w:szCs w:val="20"/>
    </w:rPr>
  </w:style>
  <w:style w:type="character" w:customStyle="1" w:styleId="CommentTextChar">
    <w:name w:val="Comment Text Char"/>
    <w:basedOn w:val="DefaultParagraphFont"/>
    <w:link w:val="CommentText"/>
    <w:semiHidden/>
    <w:rsid w:val="000476A6"/>
    <w:rPr>
      <w:rFonts w:ascii="Arial" w:hAnsi="Arial"/>
      <w:sz w:val="20"/>
      <w:szCs w:val="20"/>
    </w:rPr>
  </w:style>
  <w:style w:type="paragraph" w:styleId="CommentSubject">
    <w:name w:val="annotation subject"/>
    <w:basedOn w:val="CommentText"/>
    <w:next w:val="CommentText"/>
    <w:link w:val="CommentSubjectChar"/>
    <w:semiHidden/>
    <w:unhideWhenUsed/>
    <w:rsid w:val="000476A6"/>
    <w:rPr>
      <w:b/>
      <w:bCs/>
    </w:rPr>
  </w:style>
  <w:style w:type="character" w:customStyle="1" w:styleId="CommentSubjectChar">
    <w:name w:val="Comment Subject Char"/>
    <w:basedOn w:val="CommentTextChar"/>
    <w:link w:val="CommentSubject"/>
    <w:semiHidden/>
    <w:rsid w:val="000476A6"/>
    <w:rPr>
      <w:rFonts w:ascii="Arial" w:hAnsi="Arial"/>
      <w:b/>
      <w:bCs/>
      <w:sz w:val="20"/>
      <w:szCs w:val="20"/>
    </w:rPr>
  </w:style>
  <w:style w:type="paragraph" w:styleId="BodyText">
    <w:name w:val="Body Text"/>
    <w:basedOn w:val="Normal"/>
    <w:link w:val="BodyTextChar"/>
    <w:uiPriority w:val="1"/>
    <w:unhideWhenUsed/>
    <w:qFormat/>
    <w:rsid w:val="00D1597E"/>
    <w:pPr>
      <w:widowControl w:val="0"/>
      <w:autoSpaceDE w:val="0"/>
      <w:autoSpaceDN w:val="0"/>
      <w:spacing w:before="0" w:line="240" w:lineRule="auto"/>
    </w:pPr>
    <w:rPr>
      <w:rFonts w:eastAsia="Arial" w:cs="Arial"/>
      <w:sz w:val="20"/>
      <w:szCs w:val="20"/>
      <w:lang w:eastAsia="en-US" w:bidi="en-US"/>
    </w:rPr>
  </w:style>
  <w:style w:type="character" w:customStyle="1" w:styleId="BodyTextChar">
    <w:name w:val="Body Text Char"/>
    <w:basedOn w:val="DefaultParagraphFont"/>
    <w:link w:val="BodyText"/>
    <w:uiPriority w:val="1"/>
    <w:rsid w:val="00D1597E"/>
    <w:rPr>
      <w:rFonts w:ascii="Arial" w:eastAsia="Arial" w:hAnsi="Arial" w:cs="Arial"/>
      <w:sz w:val="20"/>
      <w:szCs w:val="20"/>
      <w:lang w:eastAsia="en-US" w:bidi="en-US"/>
    </w:rPr>
  </w:style>
  <w:style w:type="paragraph" w:styleId="Revision">
    <w:name w:val="Revision"/>
    <w:hidden/>
    <w:uiPriority w:val="99"/>
    <w:semiHidden/>
    <w:rsid w:val="00E454A1"/>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93">
      <w:bodyDiv w:val="1"/>
      <w:marLeft w:val="0"/>
      <w:marRight w:val="0"/>
      <w:marTop w:val="0"/>
      <w:marBottom w:val="0"/>
      <w:divBdr>
        <w:top w:val="none" w:sz="0" w:space="0" w:color="auto"/>
        <w:left w:val="none" w:sz="0" w:space="0" w:color="auto"/>
        <w:bottom w:val="none" w:sz="0" w:space="0" w:color="auto"/>
        <w:right w:val="none" w:sz="0" w:space="0" w:color="auto"/>
      </w:divBdr>
    </w:div>
    <w:div w:id="109515375">
      <w:bodyDiv w:val="1"/>
      <w:marLeft w:val="0"/>
      <w:marRight w:val="0"/>
      <w:marTop w:val="0"/>
      <w:marBottom w:val="0"/>
      <w:divBdr>
        <w:top w:val="none" w:sz="0" w:space="0" w:color="auto"/>
        <w:left w:val="none" w:sz="0" w:space="0" w:color="auto"/>
        <w:bottom w:val="none" w:sz="0" w:space="0" w:color="auto"/>
        <w:right w:val="none" w:sz="0" w:space="0" w:color="auto"/>
      </w:divBdr>
    </w:div>
    <w:div w:id="612596946">
      <w:bodyDiv w:val="1"/>
      <w:marLeft w:val="0"/>
      <w:marRight w:val="0"/>
      <w:marTop w:val="0"/>
      <w:marBottom w:val="0"/>
      <w:divBdr>
        <w:top w:val="none" w:sz="0" w:space="0" w:color="auto"/>
        <w:left w:val="none" w:sz="0" w:space="0" w:color="auto"/>
        <w:bottom w:val="none" w:sz="0" w:space="0" w:color="auto"/>
        <w:right w:val="none" w:sz="0" w:space="0" w:color="auto"/>
      </w:divBdr>
    </w:div>
    <w:div w:id="640188349">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843133521">
      <w:bodyDiv w:val="1"/>
      <w:marLeft w:val="0"/>
      <w:marRight w:val="0"/>
      <w:marTop w:val="0"/>
      <w:marBottom w:val="0"/>
      <w:divBdr>
        <w:top w:val="none" w:sz="0" w:space="0" w:color="auto"/>
        <w:left w:val="none" w:sz="0" w:space="0" w:color="auto"/>
        <w:bottom w:val="none" w:sz="0" w:space="0" w:color="auto"/>
        <w:right w:val="none" w:sz="0" w:space="0" w:color="auto"/>
      </w:divBdr>
    </w:div>
    <w:div w:id="921135977">
      <w:bodyDiv w:val="1"/>
      <w:marLeft w:val="0"/>
      <w:marRight w:val="0"/>
      <w:marTop w:val="0"/>
      <w:marBottom w:val="0"/>
      <w:divBdr>
        <w:top w:val="none" w:sz="0" w:space="0" w:color="auto"/>
        <w:left w:val="none" w:sz="0" w:space="0" w:color="auto"/>
        <w:bottom w:val="none" w:sz="0" w:space="0" w:color="auto"/>
        <w:right w:val="none" w:sz="0" w:space="0" w:color="auto"/>
      </w:divBdr>
    </w:div>
    <w:div w:id="924993259">
      <w:bodyDiv w:val="1"/>
      <w:marLeft w:val="0"/>
      <w:marRight w:val="0"/>
      <w:marTop w:val="0"/>
      <w:marBottom w:val="0"/>
      <w:divBdr>
        <w:top w:val="none" w:sz="0" w:space="0" w:color="auto"/>
        <w:left w:val="none" w:sz="0" w:space="0" w:color="auto"/>
        <w:bottom w:val="none" w:sz="0" w:space="0" w:color="auto"/>
        <w:right w:val="none" w:sz="0" w:space="0" w:color="auto"/>
      </w:divBdr>
    </w:div>
    <w:div w:id="941644557">
      <w:bodyDiv w:val="1"/>
      <w:marLeft w:val="0"/>
      <w:marRight w:val="0"/>
      <w:marTop w:val="0"/>
      <w:marBottom w:val="0"/>
      <w:divBdr>
        <w:top w:val="none" w:sz="0" w:space="0" w:color="auto"/>
        <w:left w:val="none" w:sz="0" w:space="0" w:color="auto"/>
        <w:bottom w:val="none" w:sz="0" w:space="0" w:color="auto"/>
        <w:right w:val="none" w:sz="0" w:space="0" w:color="auto"/>
      </w:divBdr>
    </w:div>
    <w:div w:id="945624858">
      <w:bodyDiv w:val="1"/>
      <w:marLeft w:val="0"/>
      <w:marRight w:val="0"/>
      <w:marTop w:val="0"/>
      <w:marBottom w:val="0"/>
      <w:divBdr>
        <w:top w:val="none" w:sz="0" w:space="0" w:color="auto"/>
        <w:left w:val="none" w:sz="0" w:space="0" w:color="auto"/>
        <w:bottom w:val="none" w:sz="0" w:space="0" w:color="auto"/>
        <w:right w:val="none" w:sz="0" w:space="0" w:color="auto"/>
      </w:divBdr>
    </w:div>
    <w:div w:id="1136682705">
      <w:bodyDiv w:val="1"/>
      <w:marLeft w:val="0"/>
      <w:marRight w:val="0"/>
      <w:marTop w:val="0"/>
      <w:marBottom w:val="0"/>
      <w:divBdr>
        <w:top w:val="none" w:sz="0" w:space="0" w:color="auto"/>
        <w:left w:val="none" w:sz="0" w:space="0" w:color="auto"/>
        <w:bottom w:val="none" w:sz="0" w:space="0" w:color="auto"/>
        <w:right w:val="none" w:sz="0" w:space="0" w:color="auto"/>
      </w:divBdr>
    </w:div>
    <w:div w:id="1246766900">
      <w:bodyDiv w:val="1"/>
      <w:marLeft w:val="0"/>
      <w:marRight w:val="0"/>
      <w:marTop w:val="0"/>
      <w:marBottom w:val="0"/>
      <w:divBdr>
        <w:top w:val="none" w:sz="0" w:space="0" w:color="auto"/>
        <w:left w:val="none" w:sz="0" w:space="0" w:color="auto"/>
        <w:bottom w:val="none" w:sz="0" w:space="0" w:color="auto"/>
        <w:right w:val="none" w:sz="0" w:space="0" w:color="auto"/>
      </w:divBdr>
    </w:div>
    <w:div w:id="1312321844">
      <w:bodyDiv w:val="1"/>
      <w:marLeft w:val="0"/>
      <w:marRight w:val="0"/>
      <w:marTop w:val="0"/>
      <w:marBottom w:val="0"/>
      <w:divBdr>
        <w:top w:val="none" w:sz="0" w:space="0" w:color="auto"/>
        <w:left w:val="none" w:sz="0" w:space="0" w:color="auto"/>
        <w:bottom w:val="none" w:sz="0" w:space="0" w:color="auto"/>
        <w:right w:val="none" w:sz="0" w:space="0" w:color="auto"/>
      </w:divBdr>
    </w:div>
    <w:div w:id="1326131531">
      <w:bodyDiv w:val="1"/>
      <w:marLeft w:val="0"/>
      <w:marRight w:val="0"/>
      <w:marTop w:val="0"/>
      <w:marBottom w:val="0"/>
      <w:divBdr>
        <w:top w:val="none" w:sz="0" w:space="0" w:color="auto"/>
        <w:left w:val="none" w:sz="0" w:space="0" w:color="auto"/>
        <w:bottom w:val="none" w:sz="0" w:space="0" w:color="auto"/>
        <w:right w:val="none" w:sz="0" w:space="0" w:color="auto"/>
      </w:divBdr>
    </w:div>
    <w:div w:id="1365835968">
      <w:bodyDiv w:val="1"/>
      <w:marLeft w:val="0"/>
      <w:marRight w:val="0"/>
      <w:marTop w:val="0"/>
      <w:marBottom w:val="0"/>
      <w:divBdr>
        <w:top w:val="none" w:sz="0" w:space="0" w:color="auto"/>
        <w:left w:val="none" w:sz="0" w:space="0" w:color="auto"/>
        <w:bottom w:val="none" w:sz="0" w:space="0" w:color="auto"/>
        <w:right w:val="none" w:sz="0" w:space="0" w:color="auto"/>
      </w:divBdr>
    </w:div>
    <w:div w:id="1413891459">
      <w:bodyDiv w:val="1"/>
      <w:marLeft w:val="0"/>
      <w:marRight w:val="0"/>
      <w:marTop w:val="0"/>
      <w:marBottom w:val="0"/>
      <w:divBdr>
        <w:top w:val="none" w:sz="0" w:space="0" w:color="auto"/>
        <w:left w:val="none" w:sz="0" w:space="0" w:color="auto"/>
        <w:bottom w:val="none" w:sz="0" w:space="0" w:color="auto"/>
        <w:right w:val="none" w:sz="0" w:space="0" w:color="auto"/>
      </w:divBdr>
    </w:div>
    <w:div w:id="1429884721">
      <w:bodyDiv w:val="1"/>
      <w:marLeft w:val="0"/>
      <w:marRight w:val="0"/>
      <w:marTop w:val="0"/>
      <w:marBottom w:val="0"/>
      <w:divBdr>
        <w:top w:val="none" w:sz="0" w:space="0" w:color="auto"/>
        <w:left w:val="none" w:sz="0" w:space="0" w:color="auto"/>
        <w:bottom w:val="none" w:sz="0" w:space="0" w:color="auto"/>
        <w:right w:val="none" w:sz="0" w:space="0" w:color="auto"/>
      </w:divBdr>
    </w:div>
    <w:div w:id="1467429852">
      <w:bodyDiv w:val="1"/>
      <w:marLeft w:val="0"/>
      <w:marRight w:val="0"/>
      <w:marTop w:val="0"/>
      <w:marBottom w:val="0"/>
      <w:divBdr>
        <w:top w:val="none" w:sz="0" w:space="0" w:color="auto"/>
        <w:left w:val="none" w:sz="0" w:space="0" w:color="auto"/>
        <w:bottom w:val="none" w:sz="0" w:space="0" w:color="auto"/>
        <w:right w:val="none" w:sz="0" w:space="0" w:color="auto"/>
      </w:divBdr>
    </w:div>
    <w:div w:id="1592079747">
      <w:bodyDiv w:val="1"/>
      <w:marLeft w:val="0"/>
      <w:marRight w:val="0"/>
      <w:marTop w:val="0"/>
      <w:marBottom w:val="0"/>
      <w:divBdr>
        <w:top w:val="none" w:sz="0" w:space="0" w:color="auto"/>
        <w:left w:val="none" w:sz="0" w:space="0" w:color="auto"/>
        <w:bottom w:val="none" w:sz="0" w:space="0" w:color="auto"/>
        <w:right w:val="none" w:sz="0" w:space="0" w:color="auto"/>
      </w:divBdr>
    </w:div>
    <w:div w:id="1602488419">
      <w:bodyDiv w:val="1"/>
      <w:marLeft w:val="0"/>
      <w:marRight w:val="0"/>
      <w:marTop w:val="0"/>
      <w:marBottom w:val="0"/>
      <w:divBdr>
        <w:top w:val="none" w:sz="0" w:space="0" w:color="auto"/>
        <w:left w:val="none" w:sz="0" w:space="0" w:color="auto"/>
        <w:bottom w:val="none" w:sz="0" w:space="0" w:color="auto"/>
        <w:right w:val="none" w:sz="0" w:space="0" w:color="auto"/>
      </w:divBdr>
    </w:div>
    <w:div w:id="1782917163">
      <w:bodyDiv w:val="1"/>
      <w:marLeft w:val="0"/>
      <w:marRight w:val="0"/>
      <w:marTop w:val="0"/>
      <w:marBottom w:val="0"/>
      <w:divBdr>
        <w:top w:val="none" w:sz="0" w:space="0" w:color="auto"/>
        <w:left w:val="none" w:sz="0" w:space="0" w:color="auto"/>
        <w:bottom w:val="none" w:sz="0" w:space="0" w:color="auto"/>
        <w:right w:val="none" w:sz="0" w:space="0" w:color="auto"/>
      </w:divBdr>
    </w:div>
    <w:div w:id="1798142397">
      <w:bodyDiv w:val="1"/>
      <w:marLeft w:val="0"/>
      <w:marRight w:val="0"/>
      <w:marTop w:val="0"/>
      <w:marBottom w:val="0"/>
      <w:divBdr>
        <w:top w:val="none" w:sz="0" w:space="0" w:color="auto"/>
        <w:left w:val="none" w:sz="0" w:space="0" w:color="auto"/>
        <w:bottom w:val="none" w:sz="0" w:space="0" w:color="auto"/>
        <w:right w:val="none" w:sz="0" w:space="0" w:color="auto"/>
      </w:divBdr>
    </w:div>
    <w:div w:id="1842893695">
      <w:bodyDiv w:val="1"/>
      <w:marLeft w:val="0"/>
      <w:marRight w:val="0"/>
      <w:marTop w:val="0"/>
      <w:marBottom w:val="0"/>
      <w:divBdr>
        <w:top w:val="none" w:sz="0" w:space="0" w:color="auto"/>
        <w:left w:val="none" w:sz="0" w:space="0" w:color="auto"/>
        <w:bottom w:val="none" w:sz="0" w:space="0" w:color="auto"/>
        <w:right w:val="none" w:sz="0" w:space="0" w:color="auto"/>
      </w:divBdr>
    </w:div>
    <w:div w:id="1872067072">
      <w:bodyDiv w:val="1"/>
      <w:marLeft w:val="0"/>
      <w:marRight w:val="0"/>
      <w:marTop w:val="0"/>
      <w:marBottom w:val="0"/>
      <w:divBdr>
        <w:top w:val="none" w:sz="0" w:space="0" w:color="auto"/>
        <w:left w:val="none" w:sz="0" w:space="0" w:color="auto"/>
        <w:bottom w:val="none" w:sz="0" w:space="0" w:color="auto"/>
        <w:right w:val="none" w:sz="0" w:space="0" w:color="auto"/>
      </w:divBdr>
    </w:div>
    <w:div w:id="1937323249">
      <w:bodyDiv w:val="1"/>
      <w:marLeft w:val="0"/>
      <w:marRight w:val="0"/>
      <w:marTop w:val="0"/>
      <w:marBottom w:val="0"/>
      <w:divBdr>
        <w:top w:val="none" w:sz="0" w:space="0" w:color="auto"/>
        <w:left w:val="none" w:sz="0" w:space="0" w:color="auto"/>
        <w:bottom w:val="none" w:sz="0" w:space="0" w:color="auto"/>
        <w:right w:val="none" w:sz="0" w:space="0" w:color="auto"/>
      </w:divBdr>
    </w:div>
    <w:div w:id="1985237292">
      <w:bodyDiv w:val="1"/>
      <w:marLeft w:val="0"/>
      <w:marRight w:val="0"/>
      <w:marTop w:val="0"/>
      <w:marBottom w:val="0"/>
      <w:divBdr>
        <w:top w:val="none" w:sz="0" w:space="0" w:color="auto"/>
        <w:left w:val="none" w:sz="0" w:space="0" w:color="auto"/>
        <w:bottom w:val="none" w:sz="0" w:space="0" w:color="auto"/>
        <w:right w:val="none" w:sz="0" w:space="0" w:color="auto"/>
      </w:divBdr>
    </w:div>
    <w:div w:id="2064477803">
      <w:bodyDiv w:val="1"/>
      <w:marLeft w:val="0"/>
      <w:marRight w:val="0"/>
      <w:marTop w:val="0"/>
      <w:marBottom w:val="0"/>
      <w:divBdr>
        <w:top w:val="none" w:sz="0" w:space="0" w:color="auto"/>
        <w:left w:val="none" w:sz="0" w:space="0" w:color="auto"/>
        <w:bottom w:val="none" w:sz="0" w:space="0" w:color="auto"/>
        <w:right w:val="none" w:sz="0" w:space="0" w:color="auto"/>
      </w:divBdr>
    </w:div>
    <w:div w:id="2076004721">
      <w:bodyDiv w:val="1"/>
      <w:marLeft w:val="0"/>
      <w:marRight w:val="0"/>
      <w:marTop w:val="0"/>
      <w:marBottom w:val="0"/>
      <w:divBdr>
        <w:top w:val="none" w:sz="0" w:space="0" w:color="auto"/>
        <w:left w:val="none" w:sz="0" w:space="0" w:color="auto"/>
        <w:bottom w:val="none" w:sz="0" w:space="0" w:color="auto"/>
        <w:right w:val="none" w:sz="0" w:space="0" w:color="auto"/>
      </w:divBdr>
    </w:div>
    <w:div w:id="2080981024">
      <w:bodyDiv w:val="1"/>
      <w:marLeft w:val="0"/>
      <w:marRight w:val="0"/>
      <w:marTop w:val="0"/>
      <w:marBottom w:val="0"/>
      <w:divBdr>
        <w:top w:val="none" w:sz="0" w:space="0" w:color="auto"/>
        <w:left w:val="none" w:sz="0" w:space="0" w:color="auto"/>
        <w:bottom w:val="none" w:sz="0" w:space="0" w:color="auto"/>
        <w:right w:val="none" w:sz="0" w:space="0" w:color="auto"/>
      </w:divBdr>
    </w:div>
    <w:div w:id="20935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2197-DC00-494B-B4D1-68E541C7FD5B}"/>
</file>

<file path=customXml/itemProps2.xml><?xml version="1.0" encoding="utf-8"?>
<ds:datastoreItem xmlns:ds="http://schemas.openxmlformats.org/officeDocument/2006/customXml" ds:itemID="{D4FB8EB4-D0A2-43A2-B46B-A782D47620FB}">
  <ds:schemaRefs>
    <ds:schemaRef ds:uri="66b98d56-25b7-479b-bf58-c8a0702ccf2c"/>
    <ds:schemaRef ds:uri="http://purl.org/dc/elements/1.1/"/>
    <ds:schemaRef ds:uri="http://schemas.microsoft.com/office/2006/metadata/properties"/>
    <ds:schemaRef ds:uri="http://schemas.openxmlformats.org/package/2006/metadata/core-properties"/>
    <ds:schemaRef ds:uri="http://purl.org/dc/terms/"/>
    <ds:schemaRef ds:uri="3e9090f6-0245-48e3-bd19-46cc0b4d31f0"/>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2B404D4-986E-4B40-BD67-07CE4757B9D1}">
  <ds:schemaRefs>
    <ds:schemaRef ds:uri="http://schemas.microsoft.com/sharepoint/v3/contenttype/forms"/>
  </ds:schemaRefs>
</ds:datastoreItem>
</file>

<file path=customXml/itemProps4.xml><?xml version="1.0" encoding="utf-8"?>
<ds:datastoreItem xmlns:ds="http://schemas.openxmlformats.org/officeDocument/2006/customXml" ds:itemID="{FDF8090D-133B-4505-AC51-5BCB422C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3247</Words>
  <Characters>19628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35 - Life Saving Research – Funding for medical research - Budget 2022-23 fact sheet</vt:lpstr>
    </vt:vector>
  </TitlesOfParts>
  <Manager/>
  <Company>Australian Government Department of Health</Company>
  <LinksUpToDate>false</LinksUpToDate>
  <CharactersWithSpaces>22830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 Life Saving Research – Funding for medical research - Budget 2022-23 fact sheet</dc:title>
  <dc:subject>Budget 2022-23</dc:subject>
  <dc:creator>Australian Government Department of Health</dc:creator>
  <cp:keywords>Budget 2022-23</cp:keywords>
  <dc:description/>
  <cp:lastModifiedBy>HOOD, Jodi</cp:lastModifiedBy>
  <cp:revision>3</cp:revision>
  <cp:lastPrinted>2022-03-28T10:26:00Z</cp:lastPrinted>
  <dcterms:created xsi:type="dcterms:W3CDTF">2022-03-28T10:24:00Z</dcterms:created>
  <dcterms:modified xsi:type="dcterms:W3CDTF">2022-03-28T10:26:00Z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