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C9D3B" w14:textId="77777777" w:rsidR="00C35E73" w:rsidRPr="00A9403F" w:rsidRDefault="00C35E73" w:rsidP="00C35E73">
      <w:pPr>
        <w:pStyle w:val="Title"/>
      </w:pPr>
      <w:r w:rsidRPr="00A9403F">
        <w:t>Preventive health – Addressing the impact of alcohol and other drugs</w:t>
      </w:r>
      <w:bookmarkStart w:id="0" w:name="_GoBack"/>
      <w:bookmarkEnd w:id="0"/>
    </w:p>
    <w:p w14:paraId="33C8B33B" w14:textId="5240C49F" w:rsidR="00C35E73" w:rsidRPr="00A9403F" w:rsidRDefault="00C35E73" w:rsidP="00C35E73">
      <w:pPr>
        <w:pStyle w:val="IntroPara"/>
        <w:spacing w:line="276" w:lineRule="auto"/>
        <w:ind w:right="-144"/>
        <w:rPr>
          <w:rFonts w:eastAsia="MS Mincho"/>
          <w:szCs w:val="23"/>
          <w:lang w:val="en-US"/>
        </w:rPr>
      </w:pPr>
      <w:r w:rsidRPr="00A9403F">
        <w:rPr>
          <w:rFonts w:eastAsia="MS Mincho"/>
          <w:szCs w:val="23"/>
          <w:lang w:val="en-US"/>
        </w:rPr>
        <w:t xml:space="preserve">The Australian Government will </w:t>
      </w:r>
      <w:r w:rsidR="00665276" w:rsidRPr="00A9403F">
        <w:rPr>
          <w:rFonts w:eastAsia="MS Mincho"/>
          <w:szCs w:val="23"/>
          <w:lang w:val="en-US"/>
        </w:rPr>
        <w:t>invest</w:t>
      </w:r>
      <w:r w:rsidR="00EB4C26" w:rsidRPr="00A9403F">
        <w:rPr>
          <w:rFonts w:eastAsia="MS Mincho"/>
          <w:szCs w:val="23"/>
          <w:lang w:val="en-US"/>
        </w:rPr>
        <w:t xml:space="preserve"> $</w:t>
      </w:r>
      <w:r w:rsidR="00621FF4" w:rsidRPr="00A9403F">
        <w:rPr>
          <w:rFonts w:eastAsia="MS Mincho"/>
          <w:szCs w:val="23"/>
          <w:lang w:val="en-US"/>
        </w:rPr>
        <w:t xml:space="preserve">372.4 </w:t>
      </w:r>
      <w:r w:rsidR="00665276" w:rsidRPr="00A9403F">
        <w:rPr>
          <w:rFonts w:eastAsia="MS Mincho"/>
          <w:szCs w:val="23"/>
          <w:lang w:val="en-US"/>
        </w:rPr>
        <w:t xml:space="preserve">million to help </w:t>
      </w:r>
      <w:r w:rsidRPr="00A9403F">
        <w:rPr>
          <w:rFonts w:eastAsia="MS Mincho"/>
          <w:szCs w:val="23"/>
          <w:lang w:val="en-US"/>
        </w:rPr>
        <w:t xml:space="preserve">build safe </w:t>
      </w:r>
      <w:r w:rsidR="00665276" w:rsidRPr="00A9403F">
        <w:rPr>
          <w:rFonts w:eastAsia="MS Mincho"/>
          <w:szCs w:val="23"/>
          <w:lang w:val="en-US"/>
        </w:rPr>
        <w:t xml:space="preserve">and healthy communities by reducing </w:t>
      </w:r>
      <w:r w:rsidRPr="00A9403F">
        <w:rPr>
          <w:rFonts w:eastAsia="MS Mincho"/>
          <w:szCs w:val="23"/>
          <w:lang w:val="en-US"/>
        </w:rPr>
        <w:t>the impact of drug and alcohol use.</w:t>
      </w:r>
    </w:p>
    <w:p w14:paraId="3590AD42" w14:textId="77777777" w:rsidR="00C35E73" w:rsidRPr="00A9403F" w:rsidRDefault="00665276" w:rsidP="00C35E73">
      <w:pPr>
        <w:pStyle w:val="IntroPara"/>
        <w:spacing w:line="276" w:lineRule="auto"/>
        <w:rPr>
          <w:rFonts w:eastAsia="MS Mincho"/>
          <w:szCs w:val="23"/>
          <w:lang w:val="en-US"/>
        </w:rPr>
      </w:pPr>
      <w:r w:rsidRPr="00A9403F">
        <w:rPr>
          <w:rFonts w:eastAsia="MS Mincho"/>
          <w:szCs w:val="23"/>
          <w:lang w:val="en-US"/>
        </w:rPr>
        <w:t>Our</w:t>
      </w:r>
      <w:r w:rsidR="00C35E73" w:rsidRPr="00A9403F">
        <w:rPr>
          <w:rFonts w:eastAsia="MS Mincho"/>
          <w:szCs w:val="23"/>
          <w:lang w:val="en-US"/>
        </w:rPr>
        <w:t xml:space="preserve"> Government is supporting certainty of funding for alcohol and other drug (AOD) treatment services </w:t>
      </w:r>
      <w:r w:rsidR="002D5A6D" w:rsidRPr="00A9403F">
        <w:rPr>
          <w:rFonts w:eastAsia="MS Mincho"/>
          <w:szCs w:val="23"/>
          <w:lang w:val="en-US"/>
        </w:rPr>
        <w:t>through</w:t>
      </w:r>
      <w:r w:rsidR="00C35E73" w:rsidRPr="00A9403F">
        <w:rPr>
          <w:rFonts w:eastAsia="MS Mincho"/>
          <w:szCs w:val="23"/>
          <w:lang w:val="en-US"/>
        </w:rPr>
        <w:t>:</w:t>
      </w:r>
    </w:p>
    <w:p w14:paraId="0A539A1E" w14:textId="62C1335F" w:rsidR="008B5BC4" w:rsidRPr="00A9403F" w:rsidRDefault="008B5BC4" w:rsidP="008B5BC4">
      <w:pPr>
        <w:pStyle w:val="IntroPara"/>
        <w:numPr>
          <w:ilvl w:val="0"/>
          <w:numId w:val="7"/>
        </w:numPr>
        <w:spacing w:line="276" w:lineRule="auto"/>
        <w:rPr>
          <w:rFonts w:eastAsia="MS Mincho"/>
          <w:szCs w:val="23"/>
          <w:lang w:val="en-US"/>
        </w:rPr>
      </w:pPr>
      <w:r w:rsidRPr="00A9403F">
        <w:rPr>
          <w:rFonts w:eastAsia="Arial" w:cs="Arial"/>
        </w:rPr>
        <w:t>$</w:t>
      </w:r>
      <w:r w:rsidR="007F4A57" w:rsidRPr="00A9403F">
        <w:rPr>
          <w:rFonts w:eastAsia="Arial" w:cs="Arial"/>
        </w:rPr>
        <w:t>343.6</w:t>
      </w:r>
      <w:r w:rsidRPr="00A9403F">
        <w:rPr>
          <w:rFonts w:eastAsia="Arial" w:cs="Arial"/>
        </w:rPr>
        <w:t xml:space="preserve"> million in ongoing support for the National Ice Action Strategy (NIAS) and delivery of critical drug and alcohol treatment services, prevention programs and research activities</w:t>
      </w:r>
    </w:p>
    <w:p w14:paraId="444C1BE8" w14:textId="332E5020" w:rsidR="008B5BC4" w:rsidRPr="00A9403F" w:rsidRDefault="008B5BC4" w:rsidP="008B5BC4">
      <w:pPr>
        <w:pStyle w:val="IntroPara"/>
        <w:numPr>
          <w:ilvl w:val="0"/>
          <w:numId w:val="7"/>
        </w:numPr>
        <w:spacing w:line="276" w:lineRule="auto"/>
        <w:rPr>
          <w:rFonts w:eastAsia="MS Mincho"/>
          <w:szCs w:val="23"/>
          <w:lang w:val="en-US"/>
        </w:rPr>
      </w:pPr>
      <w:r w:rsidRPr="00A9403F">
        <w:t>$</w:t>
      </w:r>
      <w:r w:rsidR="007F4A57" w:rsidRPr="00A9403F">
        <w:t>19.6</w:t>
      </w:r>
      <w:r w:rsidRPr="00A9403F">
        <w:t xml:space="preserve"> million for the expansion of the national Take Home Naloxone (THN) program, which will see the opioid overdose-reversing medication available at no cost and without a prescription in all Australian states and territories</w:t>
      </w:r>
      <w:r w:rsidR="00EB4C26" w:rsidRPr="00A9403F">
        <w:t>,</w:t>
      </w:r>
      <w:r w:rsidRPr="00A9403F">
        <w:t xml:space="preserve"> and</w:t>
      </w:r>
    </w:p>
    <w:p w14:paraId="36D77729" w14:textId="4E529D62" w:rsidR="002D5A6D" w:rsidRPr="00A9403F" w:rsidRDefault="002D5A6D" w:rsidP="00AB377C">
      <w:pPr>
        <w:pStyle w:val="IntroPara"/>
        <w:numPr>
          <w:ilvl w:val="0"/>
          <w:numId w:val="7"/>
        </w:numPr>
        <w:spacing w:line="276" w:lineRule="auto"/>
        <w:rPr>
          <w:rFonts w:eastAsia="MS Mincho"/>
          <w:szCs w:val="23"/>
          <w:lang w:val="en-US"/>
        </w:rPr>
      </w:pPr>
      <w:r w:rsidRPr="00A9403F">
        <w:rPr>
          <w:rFonts w:eastAsia="MS Mincho"/>
          <w:szCs w:val="23"/>
          <w:lang w:val="en-US"/>
        </w:rPr>
        <w:t xml:space="preserve">the </w:t>
      </w:r>
      <w:r w:rsidR="00C01F0A" w:rsidRPr="00A9403F">
        <w:rPr>
          <w:rFonts w:eastAsia="MS Mincho"/>
          <w:szCs w:val="23"/>
          <w:lang w:val="en-US"/>
        </w:rPr>
        <w:t>continued funding</w:t>
      </w:r>
      <w:r w:rsidRPr="00A9403F">
        <w:rPr>
          <w:rFonts w:eastAsia="MS Mincho"/>
          <w:szCs w:val="23"/>
          <w:lang w:val="en-US"/>
        </w:rPr>
        <w:t xml:space="preserve"> of </w:t>
      </w:r>
      <w:r w:rsidR="00776A04">
        <w:rPr>
          <w:rFonts w:eastAsia="Calibri" w:cs="Times New Roman"/>
        </w:rPr>
        <w:t>four</w:t>
      </w:r>
      <w:r w:rsidRPr="00A9403F">
        <w:rPr>
          <w:rFonts w:eastAsia="Calibri" w:cs="Times New Roman"/>
        </w:rPr>
        <w:t xml:space="preserve"> critical drug and alcohol prevention and support programs, </w:t>
      </w:r>
      <w:r w:rsidR="00C01F0A" w:rsidRPr="00A9403F">
        <w:rPr>
          <w:rFonts w:eastAsia="Calibri" w:cs="Times New Roman"/>
        </w:rPr>
        <w:t xml:space="preserve">and renewed funding to SMART Recovery, </w:t>
      </w:r>
      <w:r w:rsidRPr="00A9403F">
        <w:rPr>
          <w:rFonts w:eastAsia="Calibri" w:cs="Times New Roman"/>
        </w:rPr>
        <w:t xml:space="preserve">which directly support the aims of the </w:t>
      </w:r>
      <w:r w:rsidRPr="00A9403F">
        <w:rPr>
          <w:rFonts w:eastAsia="Calibri" w:cs="Times New Roman"/>
          <w:i/>
        </w:rPr>
        <w:t>National Preventive Health Strategy 2021</w:t>
      </w:r>
      <w:r w:rsidR="00665276" w:rsidRPr="00A9403F">
        <w:rPr>
          <w:rFonts w:eastAsia="Calibri" w:cs="Times New Roman"/>
          <w:i/>
        </w:rPr>
        <w:t>–</w:t>
      </w:r>
      <w:r w:rsidRPr="00A9403F">
        <w:rPr>
          <w:rFonts w:eastAsia="Calibri" w:cs="Times New Roman"/>
          <w:i/>
        </w:rPr>
        <w:t>2030</w:t>
      </w:r>
      <w:r w:rsidRPr="00A9403F">
        <w:rPr>
          <w:rFonts w:eastAsia="Calibri" w:cs="Times New Roman"/>
        </w:rPr>
        <w:t xml:space="preserve"> and </w:t>
      </w:r>
      <w:r w:rsidRPr="00A9403F">
        <w:rPr>
          <w:rFonts w:eastAsia="Calibri" w:cs="Times New Roman"/>
          <w:i/>
        </w:rPr>
        <w:t>National Drug Strategy 2017</w:t>
      </w:r>
      <w:r w:rsidR="00665276" w:rsidRPr="00A9403F">
        <w:rPr>
          <w:rFonts w:eastAsia="Calibri" w:cs="Times New Roman"/>
          <w:i/>
        </w:rPr>
        <w:t>–</w:t>
      </w:r>
      <w:r w:rsidRPr="00A9403F">
        <w:rPr>
          <w:rFonts w:eastAsia="Calibri" w:cs="Times New Roman"/>
          <w:i/>
        </w:rPr>
        <w:t>26</w:t>
      </w:r>
      <w:r w:rsidR="00B06688" w:rsidRPr="00A9403F">
        <w:rPr>
          <w:rFonts w:eastAsia="Calibri" w:cs="Times New Roman"/>
        </w:rPr>
        <w:t xml:space="preserve">, at </w:t>
      </w:r>
      <w:r w:rsidR="00665276" w:rsidRPr="00A9403F">
        <w:rPr>
          <w:rFonts w:eastAsia="Calibri" w:cs="Times New Roman"/>
        </w:rPr>
        <w:t>a</w:t>
      </w:r>
      <w:r w:rsidR="00B06688" w:rsidRPr="00A9403F">
        <w:rPr>
          <w:rFonts w:eastAsia="Calibri" w:cs="Times New Roman"/>
        </w:rPr>
        <w:t xml:space="preserve"> cost of $</w:t>
      </w:r>
      <w:r w:rsidR="007F4A57" w:rsidRPr="00A9403F">
        <w:rPr>
          <w:rFonts w:eastAsia="Calibri" w:cs="Times New Roman"/>
        </w:rPr>
        <w:t>9.2</w:t>
      </w:r>
      <w:r w:rsidR="00B06688" w:rsidRPr="00A9403F">
        <w:rPr>
          <w:rFonts w:eastAsia="Calibri" w:cs="Times New Roman"/>
        </w:rPr>
        <w:t xml:space="preserve"> million</w:t>
      </w:r>
      <w:r w:rsidRPr="00A9403F">
        <w:rPr>
          <w:rFonts w:eastAsia="Calibri" w:cs="Times New Roman"/>
        </w:rPr>
        <w:t>:</w:t>
      </w:r>
    </w:p>
    <w:p w14:paraId="03033E9C" w14:textId="77777777" w:rsidR="002D5A6D" w:rsidRPr="00A9403F" w:rsidRDefault="002D5A6D" w:rsidP="002D5A6D">
      <w:pPr>
        <w:pStyle w:val="IntroPara"/>
        <w:numPr>
          <w:ilvl w:val="1"/>
          <w:numId w:val="7"/>
        </w:numPr>
        <w:spacing w:line="276" w:lineRule="auto"/>
        <w:rPr>
          <w:rFonts w:eastAsia="MS Mincho"/>
          <w:szCs w:val="23"/>
          <w:lang w:val="en-US"/>
        </w:rPr>
      </w:pPr>
      <w:r w:rsidRPr="00A9403F">
        <w:rPr>
          <w:rFonts w:eastAsia="MS Mincho"/>
          <w:szCs w:val="23"/>
          <w:lang w:val="en-US"/>
        </w:rPr>
        <w:t xml:space="preserve">Alcohol and Drug Foundation (ADF) </w:t>
      </w:r>
      <w:r w:rsidR="00665276" w:rsidRPr="00A9403F">
        <w:rPr>
          <w:rFonts w:eastAsia="MS Mincho"/>
          <w:szCs w:val="23"/>
          <w:lang w:val="en-US"/>
        </w:rPr>
        <w:t>-</w:t>
      </w:r>
      <w:r w:rsidRPr="00A9403F">
        <w:rPr>
          <w:rFonts w:eastAsia="MS Mincho"/>
          <w:szCs w:val="23"/>
          <w:lang w:val="en-US"/>
        </w:rPr>
        <w:t xml:space="preserve"> Good Sports program</w:t>
      </w:r>
    </w:p>
    <w:p w14:paraId="2E858A90" w14:textId="77777777" w:rsidR="002D5A6D" w:rsidRPr="00A9403F" w:rsidRDefault="002D5A6D" w:rsidP="002D5A6D">
      <w:pPr>
        <w:pStyle w:val="IntroPara"/>
        <w:numPr>
          <w:ilvl w:val="1"/>
          <w:numId w:val="7"/>
        </w:numPr>
        <w:spacing w:line="276" w:lineRule="auto"/>
        <w:rPr>
          <w:rFonts w:eastAsia="MS Mincho"/>
          <w:szCs w:val="23"/>
          <w:lang w:val="en-US"/>
        </w:rPr>
      </w:pPr>
      <w:r w:rsidRPr="00A9403F">
        <w:rPr>
          <w:rFonts w:eastAsia="MS Mincho"/>
          <w:szCs w:val="23"/>
          <w:lang w:val="en-US"/>
        </w:rPr>
        <w:t>ADF – Reducing harm from illicit drug</w:t>
      </w:r>
      <w:r w:rsidR="00665276" w:rsidRPr="00A9403F">
        <w:rPr>
          <w:rFonts w:eastAsia="MS Mincho"/>
          <w:szCs w:val="23"/>
          <w:lang w:val="en-US"/>
        </w:rPr>
        <w:t>s through support for families</w:t>
      </w:r>
    </w:p>
    <w:p w14:paraId="54219061" w14:textId="77777777" w:rsidR="002D5A6D" w:rsidRPr="00A9403F" w:rsidRDefault="002D5A6D" w:rsidP="002D5A6D">
      <w:pPr>
        <w:pStyle w:val="IntroPara"/>
        <w:numPr>
          <w:ilvl w:val="1"/>
          <w:numId w:val="7"/>
        </w:numPr>
        <w:spacing w:line="276" w:lineRule="auto"/>
        <w:rPr>
          <w:rFonts w:eastAsia="MS Mincho"/>
          <w:szCs w:val="23"/>
          <w:lang w:val="en-US"/>
        </w:rPr>
      </w:pPr>
      <w:r w:rsidRPr="00A9403F">
        <w:rPr>
          <w:rFonts w:eastAsia="MS Mincho"/>
          <w:szCs w:val="23"/>
          <w:lang w:val="en-US"/>
        </w:rPr>
        <w:t>Hello Sunday Mo</w:t>
      </w:r>
      <w:r w:rsidR="00665276" w:rsidRPr="00A9403F">
        <w:rPr>
          <w:rFonts w:eastAsia="MS Mincho"/>
          <w:szCs w:val="23"/>
          <w:lang w:val="en-US"/>
        </w:rPr>
        <w:t>rning (HSM) – Daybreak program, and</w:t>
      </w:r>
    </w:p>
    <w:p w14:paraId="26ACB075" w14:textId="77777777" w:rsidR="002D5A6D" w:rsidRPr="00A9403F" w:rsidRDefault="002D5A6D" w:rsidP="002D5A6D">
      <w:pPr>
        <w:pStyle w:val="IntroPara"/>
        <w:numPr>
          <w:ilvl w:val="1"/>
          <w:numId w:val="7"/>
        </w:numPr>
        <w:spacing w:line="276" w:lineRule="auto"/>
        <w:rPr>
          <w:rFonts w:eastAsia="MS Mincho"/>
          <w:szCs w:val="23"/>
          <w:lang w:val="en-US"/>
        </w:rPr>
      </w:pPr>
      <w:r w:rsidRPr="00A9403F">
        <w:rPr>
          <w:rFonts w:eastAsia="MS Mincho"/>
          <w:szCs w:val="23"/>
          <w:lang w:val="en-US"/>
        </w:rPr>
        <w:t>SMART Recovery – onlin</w:t>
      </w:r>
      <w:r w:rsidR="00B06688" w:rsidRPr="00A9403F">
        <w:rPr>
          <w:rFonts w:eastAsia="MS Mincho"/>
          <w:szCs w:val="23"/>
          <w:lang w:val="en-US"/>
        </w:rPr>
        <w:t>e platform</w:t>
      </w:r>
      <w:r w:rsidR="00665276" w:rsidRPr="00A9403F">
        <w:rPr>
          <w:rFonts w:eastAsia="MS Mincho"/>
          <w:szCs w:val="23"/>
          <w:lang w:val="en-US"/>
        </w:rPr>
        <w:t>.</w:t>
      </w:r>
    </w:p>
    <w:p w14:paraId="6681DAAA" w14:textId="1A770439" w:rsidR="00C01F0A" w:rsidRPr="00A9403F" w:rsidRDefault="000F3E45" w:rsidP="000F3E45">
      <w:pPr>
        <w:pStyle w:val="IntroPara"/>
        <w:rPr>
          <w:rFonts w:cs="Arial"/>
          <w:szCs w:val="23"/>
        </w:rPr>
      </w:pPr>
      <w:r w:rsidRPr="00A9403F">
        <w:rPr>
          <w:rFonts w:cs="Arial"/>
          <w:szCs w:val="23"/>
        </w:rPr>
        <w:t>Over the past decade</w:t>
      </w:r>
      <w:r w:rsidR="00912E8B" w:rsidRPr="00A9403F">
        <w:rPr>
          <w:rFonts w:cs="Arial"/>
          <w:szCs w:val="23"/>
        </w:rPr>
        <w:t>,</w:t>
      </w:r>
      <w:r w:rsidRPr="00A9403F">
        <w:rPr>
          <w:rFonts w:cs="Arial"/>
          <w:szCs w:val="23"/>
        </w:rPr>
        <w:t xml:space="preserve"> significant developments in prevent</w:t>
      </w:r>
      <w:r w:rsidR="00C01F0A" w:rsidRPr="00A9403F">
        <w:rPr>
          <w:rFonts w:cs="Arial"/>
          <w:szCs w:val="23"/>
        </w:rPr>
        <w:t xml:space="preserve">ing </w:t>
      </w:r>
      <w:r w:rsidRPr="00A9403F">
        <w:rPr>
          <w:rFonts w:cs="Arial"/>
          <w:szCs w:val="23"/>
        </w:rPr>
        <w:t xml:space="preserve">drug and alcohol </w:t>
      </w:r>
      <w:r w:rsidR="00EA77AD" w:rsidRPr="00A9403F">
        <w:rPr>
          <w:rFonts w:cs="Arial"/>
          <w:szCs w:val="23"/>
        </w:rPr>
        <w:t>harms</w:t>
      </w:r>
      <w:r w:rsidR="00C01F0A" w:rsidRPr="00A9403F">
        <w:rPr>
          <w:rFonts w:cs="Arial"/>
          <w:szCs w:val="23"/>
        </w:rPr>
        <w:t xml:space="preserve"> include the </w:t>
      </w:r>
      <w:r w:rsidR="00C01F0A" w:rsidRPr="00A9403F">
        <w:rPr>
          <w:rFonts w:cs="Arial"/>
          <w:i/>
          <w:szCs w:val="23"/>
        </w:rPr>
        <w:t xml:space="preserve">National </w:t>
      </w:r>
      <w:proofErr w:type="spellStart"/>
      <w:r w:rsidR="00C01F0A" w:rsidRPr="00A9403F">
        <w:rPr>
          <w:rFonts w:cs="Arial"/>
          <w:i/>
          <w:szCs w:val="23"/>
        </w:rPr>
        <w:t>Fetal</w:t>
      </w:r>
      <w:proofErr w:type="spellEnd"/>
      <w:r w:rsidR="00C01F0A" w:rsidRPr="00A9403F">
        <w:rPr>
          <w:rFonts w:cs="Arial"/>
          <w:i/>
          <w:szCs w:val="23"/>
        </w:rPr>
        <w:t xml:space="preserve"> Alcohol Spectrum Disorder (F</w:t>
      </w:r>
      <w:r w:rsidR="00CA687E" w:rsidRPr="00A9403F">
        <w:rPr>
          <w:rFonts w:cs="Arial"/>
          <w:i/>
          <w:szCs w:val="23"/>
        </w:rPr>
        <w:t>ASD) Strategic Action Plan 2018–</w:t>
      </w:r>
      <w:r w:rsidR="00C01F0A" w:rsidRPr="00A9403F">
        <w:rPr>
          <w:rFonts w:cs="Arial"/>
          <w:i/>
          <w:szCs w:val="23"/>
        </w:rPr>
        <w:t>2028</w:t>
      </w:r>
      <w:r w:rsidR="00C01F0A" w:rsidRPr="00A9403F">
        <w:rPr>
          <w:rFonts w:cs="Arial"/>
          <w:szCs w:val="23"/>
        </w:rPr>
        <w:t>, which has improved the prevention, diagnosis,</w:t>
      </w:r>
      <w:r w:rsidR="00912E8B" w:rsidRPr="00A9403F">
        <w:rPr>
          <w:rFonts w:cs="Arial"/>
          <w:szCs w:val="23"/>
        </w:rPr>
        <w:t xml:space="preserve"> support and management of FASD;</w:t>
      </w:r>
      <w:r w:rsidR="00C01F0A" w:rsidRPr="00A9403F">
        <w:rPr>
          <w:rFonts w:cs="Arial"/>
          <w:szCs w:val="23"/>
        </w:rPr>
        <w:t xml:space="preserve"> the </w:t>
      </w:r>
      <w:r w:rsidR="00912E8B" w:rsidRPr="00A9403F">
        <w:rPr>
          <w:rFonts w:cs="Arial"/>
          <w:szCs w:val="23"/>
        </w:rPr>
        <w:t>NIAS, which has enabled more than 600 additional drug and alcohol treatment projects across Australia since 2016</w:t>
      </w:r>
      <w:r w:rsidR="00CA687E" w:rsidRPr="00A9403F">
        <w:rPr>
          <w:rFonts w:cs="Arial"/>
          <w:szCs w:val="23"/>
        </w:rPr>
        <w:t>–</w:t>
      </w:r>
      <w:r w:rsidR="00912E8B" w:rsidRPr="00A9403F">
        <w:rPr>
          <w:rFonts w:cs="Arial"/>
          <w:szCs w:val="23"/>
        </w:rPr>
        <w:t>17;</w:t>
      </w:r>
      <w:r w:rsidR="00C01F0A" w:rsidRPr="00A9403F">
        <w:rPr>
          <w:rFonts w:cs="Arial"/>
          <w:szCs w:val="23"/>
        </w:rPr>
        <w:t xml:space="preserve"> and the national Good Sports Program, </w:t>
      </w:r>
      <w:r w:rsidR="00912E8B" w:rsidRPr="00A9403F">
        <w:rPr>
          <w:rFonts w:cs="Arial"/>
          <w:szCs w:val="23"/>
        </w:rPr>
        <w:t xml:space="preserve">which has grown into one of Australia’s largest preventive health initiatives. </w:t>
      </w:r>
    </w:p>
    <w:p w14:paraId="0E9E8D2A" w14:textId="77777777" w:rsidR="00A9403F" w:rsidRDefault="00A9403F">
      <w:pPr>
        <w:spacing w:before="0" w:line="240" w:lineRule="auto"/>
        <w:rPr>
          <w:rFonts w:eastAsia="MS Gothic"/>
          <w:b/>
          <w:bCs/>
          <w:color w:val="153A6E"/>
          <w:szCs w:val="26"/>
          <w:lang w:val="en-US"/>
        </w:rPr>
      </w:pPr>
      <w:r>
        <w:br w:type="page"/>
      </w:r>
    </w:p>
    <w:p w14:paraId="198163E6" w14:textId="3E84FB04" w:rsidR="00C35E73" w:rsidRPr="00A9403F" w:rsidRDefault="00C35E73" w:rsidP="00C35E73">
      <w:pPr>
        <w:pStyle w:val="Heading1"/>
      </w:pPr>
      <w:r w:rsidRPr="00A9403F">
        <w:lastRenderedPageBreak/>
        <w:t>Why is this important?</w:t>
      </w:r>
    </w:p>
    <w:p w14:paraId="13E21C1D" w14:textId="77777777" w:rsidR="00C83270" w:rsidRPr="00A9403F" w:rsidRDefault="00C83270" w:rsidP="00C35E73">
      <w:pPr>
        <w:rPr>
          <w:rFonts w:eastAsia="MS Mincho"/>
          <w:szCs w:val="21"/>
          <w:lang w:val="en-US"/>
        </w:rPr>
      </w:pPr>
      <w:r w:rsidRPr="00A9403F">
        <w:rPr>
          <w:rFonts w:eastAsia="MS Mincho"/>
          <w:szCs w:val="21"/>
          <w:lang w:val="en-US"/>
        </w:rPr>
        <w:t>The Australian Government is committed to building safe and healthy communities by reducing the impact of drug and alcohol misuse.</w:t>
      </w:r>
    </w:p>
    <w:p w14:paraId="645D48CB" w14:textId="2DC7D4F9" w:rsidR="00C35E73" w:rsidRPr="00A9403F" w:rsidRDefault="00C35E73" w:rsidP="00C35E73">
      <w:pPr>
        <w:rPr>
          <w:rFonts w:eastAsia="MS Mincho"/>
          <w:szCs w:val="21"/>
          <w:lang w:val="en-US"/>
        </w:rPr>
      </w:pPr>
      <w:r w:rsidRPr="00A9403F">
        <w:rPr>
          <w:rFonts w:eastAsia="MS Mincho"/>
          <w:szCs w:val="21"/>
          <w:lang w:val="en-US"/>
        </w:rPr>
        <w:t>Alcohol is a major cause of preventable harm in Austral</w:t>
      </w:r>
      <w:r w:rsidR="00B06688" w:rsidRPr="00A9403F">
        <w:rPr>
          <w:rFonts w:eastAsia="MS Mincho"/>
          <w:szCs w:val="21"/>
          <w:lang w:val="en-US"/>
        </w:rPr>
        <w:t xml:space="preserve">ia. In 2015, alcohol was the </w:t>
      </w:r>
      <w:r w:rsidR="00B116E9" w:rsidRPr="00A9403F">
        <w:rPr>
          <w:rFonts w:eastAsia="MS Mincho"/>
          <w:szCs w:val="21"/>
          <w:lang w:val="en-US"/>
        </w:rPr>
        <w:t>fifth</w:t>
      </w:r>
      <w:r w:rsidRPr="00A9403F">
        <w:rPr>
          <w:rFonts w:eastAsia="MS Mincho"/>
          <w:szCs w:val="21"/>
          <w:lang w:val="en-US"/>
        </w:rPr>
        <w:t xml:space="preserve"> leading risk factor contributing to about 4.5% of the disease burden across the country.</w:t>
      </w:r>
    </w:p>
    <w:p w14:paraId="69BE7FCA" w14:textId="77777777" w:rsidR="00C35E73" w:rsidRPr="00A9403F" w:rsidRDefault="00C35E73" w:rsidP="00C35E73">
      <w:pPr>
        <w:rPr>
          <w:rFonts w:eastAsia="MS Mincho"/>
          <w:szCs w:val="21"/>
          <w:lang w:val="en-US"/>
        </w:rPr>
      </w:pPr>
      <w:r w:rsidRPr="00A9403F">
        <w:rPr>
          <w:rFonts w:eastAsia="MS Mincho"/>
          <w:szCs w:val="21"/>
          <w:lang w:val="en-US"/>
        </w:rPr>
        <w:t xml:space="preserve">The use of methamphetamine or ice and other illicit drugs is a contributor to poor health outcomes, social dysfunction and criminality around Australia. </w:t>
      </w:r>
    </w:p>
    <w:p w14:paraId="10012072" w14:textId="00D3DB0F" w:rsidR="00E154DC" w:rsidRPr="00A9403F" w:rsidRDefault="00E154DC" w:rsidP="00C35E73">
      <w:pPr>
        <w:rPr>
          <w:rFonts w:eastAsia="MS Mincho"/>
          <w:szCs w:val="21"/>
          <w:lang w:val="en-US"/>
        </w:rPr>
      </w:pPr>
      <w:r w:rsidRPr="00A9403F">
        <w:rPr>
          <w:rFonts w:eastAsia="MS Mincho"/>
          <w:szCs w:val="21"/>
          <w:lang w:val="en-US"/>
        </w:rPr>
        <w:t xml:space="preserve">The Australian Government has provided approximately $450 million to the NIAS since </w:t>
      </w:r>
      <w:r w:rsidR="00EA77AD" w:rsidRPr="00A9403F">
        <w:rPr>
          <w:rFonts w:eastAsia="MS Mincho"/>
          <w:szCs w:val="21"/>
          <w:lang w:val="en-US"/>
        </w:rPr>
        <w:br/>
      </w:r>
      <w:r w:rsidRPr="00A9403F">
        <w:rPr>
          <w:rFonts w:eastAsia="MS Mincho"/>
          <w:szCs w:val="21"/>
          <w:lang w:val="en-US"/>
        </w:rPr>
        <w:t>2016–17</w:t>
      </w:r>
      <w:r w:rsidR="00CA687E" w:rsidRPr="00A9403F">
        <w:rPr>
          <w:rFonts w:eastAsia="MS Mincho"/>
          <w:szCs w:val="21"/>
          <w:lang w:val="en-US"/>
        </w:rPr>
        <w:t>. Budget 2022–</w:t>
      </w:r>
      <w:r w:rsidR="00A4612E" w:rsidRPr="00A9403F">
        <w:rPr>
          <w:rFonts w:eastAsia="MS Mincho"/>
          <w:szCs w:val="21"/>
          <w:lang w:val="en-US"/>
        </w:rPr>
        <w:t>23 brings total investment in the NIAS to</w:t>
      </w:r>
      <w:r w:rsidR="00621FF4" w:rsidRPr="00A9403F">
        <w:rPr>
          <w:rFonts w:eastAsia="MS Mincho"/>
          <w:szCs w:val="21"/>
          <w:lang w:val="en-US"/>
        </w:rPr>
        <w:t xml:space="preserve"> around</w:t>
      </w:r>
      <w:r w:rsidR="00A4612E" w:rsidRPr="00A9403F">
        <w:rPr>
          <w:rFonts w:eastAsia="MS Mincho"/>
          <w:szCs w:val="21"/>
          <w:lang w:val="en-US"/>
        </w:rPr>
        <w:t xml:space="preserve"> </w:t>
      </w:r>
      <w:r w:rsidR="00621FF4" w:rsidRPr="00A9403F">
        <w:rPr>
          <w:rFonts w:eastAsia="MS Mincho"/>
          <w:szCs w:val="21"/>
          <w:lang w:val="en-US"/>
        </w:rPr>
        <w:t>$765</w:t>
      </w:r>
      <w:r w:rsidR="00A4612E" w:rsidRPr="00A9403F">
        <w:rPr>
          <w:rFonts w:eastAsia="MS Mincho"/>
          <w:szCs w:val="21"/>
          <w:lang w:val="en-US"/>
        </w:rPr>
        <w:t xml:space="preserve"> million. </w:t>
      </w:r>
      <w:r w:rsidR="00CE0C30" w:rsidRPr="00A9403F">
        <w:rPr>
          <w:rFonts w:eastAsia="MS Mincho"/>
          <w:szCs w:val="21"/>
          <w:lang w:val="en-US"/>
        </w:rPr>
        <w:t xml:space="preserve">The </w:t>
      </w:r>
      <w:r w:rsidR="001A32C5" w:rsidRPr="00A9403F">
        <w:rPr>
          <w:rFonts w:eastAsia="MS Mincho"/>
          <w:szCs w:val="21"/>
          <w:lang w:val="en-US"/>
        </w:rPr>
        <w:t xml:space="preserve">recent </w:t>
      </w:r>
      <w:r w:rsidR="00CE0C30" w:rsidRPr="00A9403F">
        <w:rPr>
          <w:rFonts w:eastAsia="MS Mincho"/>
          <w:szCs w:val="21"/>
          <w:lang w:val="en-US"/>
        </w:rPr>
        <w:t>NIAS Evaluation Final Report concluded that the Government’s investment has made a significant contribution in reducing the demand, supply and harms from methamphetamines, along with alcohol and other drugs more broadly.</w:t>
      </w:r>
      <w:r w:rsidRPr="00A9403F">
        <w:rPr>
          <w:rFonts w:eastAsia="MS Mincho"/>
          <w:szCs w:val="21"/>
          <w:lang w:val="en-US"/>
        </w:rPr>
        <w:t xml:space="preserve"> </w:t>
      </w:r>
    </w:p>
    <w:p w14:paraId="5100D914" w14:textId="77777777" w:rsidR="00E75CE7" w:rsidRPr="00A9403F" w:rsidRDefault="00D03CB6" w:rsidP="00670967">
      <w:pPr>
        <w:rPr>
          <w:rFonts w:eastAsia="Calibri" w:cs="Times New Roman"/>
          <w:szCs w:val="21"/>
        </w:rPr>
      </w:pPr>
      <w:r w:rsidRPr="00A9403F">
        <w:rPr>
          <w:rFonts w:eastAsia="MS Mincho"/>
          <w:szCs w:val="21"/>
          <w:lang w:val="en-US"/>
        </w:rPr>
        <w:t xml:space="preserve">Australian Government funding </w:t>
      </w:r>
      <w:r w:rsidR="001A32C5" w:rsidRPr="00A9403F">
        <w:rPr>
          <w:rFonts w:eastAsia="MS Mincho"/>
          <w:szCs w:val="21"/>
          <w:lang w:val="en-US"/>
        </w:rPr>
        <w:t xml:space="preserve">will </w:t>
      </w:r>
      <w:r w:rsidR="001A32C5" w:rsidRPr="00A9403F">
        <w:rPr>
          <w:rFonts w:eastAsia="Calibri" w:cs="Times New Roman"/>
          <w:szCs w:val="21"/>
        </w:rPr>
        <w:t xml:space="preserve">ensure the programs can continue to achieve goals under </w:t>
      </w:r>
      <w:r w:rsidR="001A32C5" w:rsidRPr="00A9403F">
        <w:rPr>
          <w:rFonts w:eastAsia="MS Mincho"/>
          <w:szCs w:val="21"/>
          <w:lang w:val="en-US"/>
        </w:rPr>
        <w:t xml:space="preserve">the National Drug, National Alcohol and National Ice Action Strategies and build on gains from previous investment and outcomes. </w:t>
      </w:r>
    </w:p>
    <w:p w14:paraId="2894B0CE" w14:textId="42801B42" w:rsidR="00AB377C" w:rsidRPr="00A9403F" w:rsidRDefault="001A32C5" w:rsidP="00C35E73">
      <w:pPr>
        <w:rPr>
          <w:szCs w:val="21"/>
        </w:rPr>
      </w:pPr>
      <w:r w:rsidRPr="00A9403F">
        <w:rPr>
          <w:szCs w:val="21"/>
        </w:rPr>
        <w:t>Initial evaluation of</w:t>
      </w:r>
      <w:r w:rsidR="00AB377C" w:rsidRPr="00A9403F">
        <w:rPr>
          <w:szCs w:val="21"/>
        </w:rPr>
        <w:t xml:space="preserve"> </w:t>
      </w:r>
      <w:r w:rsidR="00670967" w:rsidRPr="00A9403F">
        <w:rPr>
          <w:szCs w:val="21"/>
        </w:rPr>
        <w:t xml:space="preserve">the </w:t>
      </w:r>
      <w:r w:rsidR="00B06688" w:rsidRPr="00A9403F">
        <w:rPr>
          <w:szCs w:val="21"/>
        </w:rPr>
        <w:t>THN</w:t>
      </w:r>
      <w:r w:rsidR="00670967" w:rsidRPr="00A9403F">
        <w:rPr>
          <w:szCs w:val="21"/>
        </w:rPr>
        <w:t xml:space="preserve"> program </w:t>
      </w:r>
      <w:r w:rsidRPr="00A9403F">
        <w:rPr>
          <w:szCs w:val="21"/>
        </w:rPr>
        <w:t xml:space="preserve">has found access to naloxone has helped, on average, to </w:t>
      </w:r>
      <w:r w:rsidR="00670967" w:rsidRPr="00A9403F">
        <w:rPr>
          <w:szCs w:val="21"/>
        </w:rPr>
        <w:t xml:space="preserve">reverse </w:t>
      </w:r>
      <w:r w:rsidR="00AB377C" w:rsidRPr="00A9403F">
        <w:rPr>
          <w:szCs w:val="21"/>
        </w:rPr>
        <w:t xml:space="preserve">the effects of opioid overdose at least </w:t>
      </w:r>
      <w:r w:rsidR="00CA687E" w:rsidRPr="00A9403F">
        <w:rPr>
          <w:szCs w:val="21"/>
        </w:rPr>
        <w:t>three</w:t>
      </w:r>
      <w:r w:rsidR="00AB377C" w:rsidRPr="00A9403F">
        <w:rPr>
          <w:szCs w:val="21"/>
        </w:rPr>
        <w:t xml:space="preserve"> </w:t>
      </w:r>
      <w:r w:rsidR="00670967" w:rsidRPr="00A9403F">
        <w:rPr>
          <w:szCs w:val="21"/>
        </w:rPr>
        <w:t>times a day</w:t>
      </w:r>
      <w:r w:rsidRPr="00A9403F">
        <w:rPr>
          <w:szCs w:val="21"/>
        </w:rPr>
        <w:t xml:space="preserve"> since it was introduced</w:t>
      </w:r>
      <w:r w:rsidR="00670967" w:rsidRPr="00A9403F">
        <w:rPr>
          <w:szCs w:val="21"/>
        </w:rPr>
        <w:t>, saving up to 1,6</w:t>
      </w:r>
      <w:r w:rsidRPr="00A9403F">
        <w:rPr>
          <w:szCs w:val="21"/>
        </w:rPr>
        <w:t>50</w:t>
      </w:r>
      <w:r w:rsidR="00670967" w:rsidRPr="00A9403F">
        <w:rPr>
          <w:szCs w:val="21"/>
        </w:rPr>
        <w:t xml:space="preserve"> Australian </w:t>
      </w:r>
      <w:r w:rsidR="00AB377C" w:rsidRPr="00A9403F">
        <w:rPr>
          <w:szCs w:val="21"/>
        </w:rPr>
        <w:t>lives</w:t>
      </w:r>
      <w:r w:rsidR="00670967" w:rsidRPr="00A9403F">
        <w:rPr>
          <w:szCs w:val="21"/>
        </w:rPr>
        <w:t xml:space="preserve">. The expansion of this program on a national level will </w:t>
      </w:r>
      <w:r w:rsidR="00A456BB" w:rsidRPr="00A9403F">
        <w:rPr>
          <w:szCs w:val="21"/>
        </w:rPr>
        <w:t xml:space="preserve">mean that </w:t>
      </w:r>
      <w:r w:rsidR="00AB377C" w:rsidRPr="00A9403F">
        <w:rPr>
          <w:rFonts w:cstheme="minorHAnsi"/>
          <w:szCs w:val="21"/>
        </w:rPr>
        <w:t>people at risk of, or likely to witness an opioid overdose, are more likely to have this life-saving drug on hand when they need it.</w:t>
      </w:r>
    </w:p>
    <w:p w14:paraId="6B4F8ED3" w14:textId="77777777" w:rsidR="00C35E73" w:rsidRPr="00A9403F" w:rsidRDefault="00C35E73" w:rsidP="00C35E73">
      <w:pPr>
        <w:pStyle w:val="Heading1"/>
        <w:rPr>
          <w:szCs w:val="21"/>
        </w:rPr>
      </w:pPr>
      <w:r w:rsidRPr="00A9403F">
        <w:rPr>
          <w:szCs w:val="21"/>
        </w:rPr>
        <w:t>Who will benefit?</w:t>
      </w:r>
    </w:p>
    <w:p w14:paraId="66271323" w14:textId="77777777" w:rsidR="00C35E73" w:rsidRPr="00A9403F" w:rsidRDefault="00C35E73" w:rsidP="00C35E73">
      <w:pPr>
        <w:rPr>
          <w:rFonts w:eastAsia="MS Mincho"/>
          <w:szCs w:val="21"/>
          <w:lang w:val="en-US"/>
        </w:rPr>
      </w:pPr>
      <w:r w:rsidRPr="00A9403F">
        <w:rPr>
          <w:rFonts w:eastAsia="MS Mincho"/>
          <w:szCs w:val="21"/>
          <w:lang w:val="en-US"/>
        </w:rPr>
        <w:t xml:space="preserve">Australians who are affected by drug and alcohol misuse will benefit from these measures. This investment will particularly support vulnerable Australians to have access to treatment for the most severe substance abuse disorders, including services for mental health and substance abuse disorders that have been exacerbated by COVID-19. </w:t>
      </w:r>
    </w:p>
    <w:p w14:paraId="04160182" w14:textId="66585C31" w:rsidR="00D03CB6" w:rsidRPr="00A9403F" w:rsidRDefault="00D03CB6" w:rsidP="00EA77AD">
      <w:pPr>
        <w:rPr>
          <w:rFonts w:eastAsia="MS Mincho"/>
          <w:szCs w:val="21"/>
          <w:lang w:val="en-US"/>
        </w:rPr>
      </w:pPr>
      <w:r w:rsidRPr="00A9403F">
        <w:rPr>
          <w:rFonts w:eastAsia="MS Mincho"/>
          <w:szCs w:val="21"/>
          <w:lang w:val="en-US"/>
        </w:rPr>
        <w:t>All Australians seeking help will benefit from the provision of support and information to the community and access to specialist drug and alcohol programs. Known high-risk population groups include Aboriginal and Torres Strait Islander people, individuals with a disability and people in rural and regional areas</w:t>
      </w:r>
      <w:r w:rsidR="00E154DC" w:rsidRPr="00A9403F">
        <w:rPr>
          <w:rFonts w:eastAsia="MS Mincho"/>
          <w:szCs w:val="21"/>
          <w:lang w:val="en-US"/>
        </w:rPr>
        <w:t xml:space="preserve"> who are disproportionately affected by </w:t>
      </w:r>
      <w:r w:rsidR="00EA77AD" w:rsidRPr="00A9403F">
        <w:rPr>
          <w:rFonts w:eastAsia="MS Mincho"/>
          <w:szCs w:val="21"/>
          <w:lang w:val="en-US"/>
        </w:rPr>
        <w:t>alcohol and other drugs</w:t>
      </w:r>
      <w:r w:rsidR="00E154DC" w:rsidRPr="00A9403F">
        <w:rPr>
          <w:rFonts w:eastAsia="MS Mincho"/>
          <w:szCs w:val="21"/>
          <w:lang w:val="en-US"/>
        </w:rPr>
        <w:t>.</w:t>
      </w:r>
    </w:p>
    <w:p w14:paraId="5B4478E5" w14:textId="77777777" w:rsidR="00CE0C30" w:rsidRPr="00A9403F" w:rsidRDefault="00B06688" w:rsidP="00EA77AD">
      <w:pPr>
        <w:rPr>
          <w:rFonts w:eastAsia="MS Mincho"/>
          <w:szCs w:val="21"/>
          <w:lang w:val="en-US"/>
        </w:rPr>
      </w:pPr>
      <w:r w:rsidRPr="00A9403F">
        <w:rPr>
          <w:rFonts w:eastAsia="MS Mincho"/>
          <w:szCs w:val="21"/>
          <w:lang w:val="en-US"/>
        </w:rPr>
        <w:t>A national THN program</w:t>
      </w:r>
      <w:r w:rsidR="00AB377C" w:rsidRPr="00A9403F">
        <w:rPr>
          <w:rFonts w:eastAsia="MS Mincho"/>
          <w:szCs w:val="21"/>
          <w:lang w:val="en-US"/>
        </w:rPr>
        <w:t xml:space="preserve"> will benefit individuals and people in contact with individuals at risk of opioid overdose, providers of </w:t>
      </w:r>
      <w:r w:rsidRPr="00A9403F">
        <w:rPr>
          <w:rFonts w:eastAsia="MS Mincho"/>
          <w:szCs w:val="21"/>
          <w:lang w:val="en-US"/>
        </w:rPr>
        <w:t>AOD</w:t>
      </w:r>
      <w:r w:rsidR="00AB377C" w:rsidRPr="00A9403F">
        <w:rPr>
          <w:rFonts w:eastAsia="MS Mincho"/>
          <w:szCs w:val="21"/>
          <w:lang w:val="en-US"/>
        </w:rPr>
        <w:t xml:space="preserve"> services, pharmacies, emergency departments and state and territory governments. </w:t>
      </w:r>
    </w:p>
    <w:p w14:paraId="6CDECA85" w14:textId="77777777" w:rsidR="00C35E73" w:rsidRPr="00A9403F" w:rsidRDefault="00C35E73" w:rsidP="00C35E73">
      <w:pPr>
        <w:pStyle w:val="Heading1"/>
        <w:rPr>
          <w:szCs w:val="21"/>
        </w:rPr>
      </w:pPr>
      <w:r w:rsidRPr="00A9403F">
        <w:rPr>
          <w:szCs w:val="21"/>
        </w:rPr>
        <w:t>How much will this cost?</w:t>
      </w:r>
    </w:p>
    <w:p w14:paraId="3A0C4EA5" w14:textId="22D0C792" w:rsidR="00C35E73" w:rsidRPr="00B06688" w:rsidRDefault="00C35E73" w:rsidP="00C35E73">
      <w:pPr>
        <w:rPr>
          <w:rFonts w:eastAsia="MS Mincho"/>
          <w:noProof/>
          <w:szCs w:val="21"/>
        </w:rPr>
      </w:pPr>
      <w:r w:rsidRPr="00A9403F">
        <w:rPr>
          <w:rFonts w:eastAsia="MS Mincho"/>
          <w:noProof/>
          <w:szCs w:val="21"/>
        </w:rPr>
        <w:t>The Australian Government is investing $</w:t>
      </w:r>
      <w:r w:rsidR="00621FF4" w:rsidRPr="00A9403F">
        <w:rPr>
          <w:rFonts w:eastAsia="MS Mincho"/>
          <w:noProof/>
          <w:szCs w:val="21"/>
        </w:rPr>
        <w:t>372.4</w:t>
      </w:r>
      <w:r w:rsidRPr="00A9403F">
        <w:rPr>
          <w:rFonts w:eastAsia="MS Mincho"/>
          <w:noProof/>
          <w:szCs w:val="21"/>
        </w:rPr>
        <w:t xml:space="preserve"> million over </w:t>
      </w:r>
      <w:r w:rsidR="00CA687E" w:rsidRPr="00A9403F">
        <w:rPr>
          <w:rFonts w:eastAsia="MS Mincho"/>
          <w:noProof/>
          <w:szCs w:val="21"/>
        </w:rPr>
        <w:t>four</w:t>
      </w:r>
      <w:r w:rsidR="00A456BB" w:rsidRPr="00A9403F">
        <w:rPr>
          <w:rFonts w:eastAsia="MS Mincho"/>
          <w:noProof/>
          <w:szCs w:val="21"/>
        </w:rPr>
        <w:t xml:space="preserve"> </w:t>
      </w:r>
      <w:r w:rsidRPr="00A9403F">
        <w:rPr>
          <w:rFonts w:eastAsia="MS Mincho"/>
          <w:noProof/>
          <w:szCs w:val="21"/>
        </w:rPr>
        <w:t xml:space="preserve">years, from </w:t>
      </w:r>
      <w:r w:rsidR="00621FF4" w:rsidRPr="00A9403F">
        <w:rPr>
          <w:rFonts w:eastAsia="MS Mincho"/>
          <w:noProof/>
          <w:szCs w:val="21"/>
        </w:rPr>
        <w:t>2022</w:t>
      </w:r>
      <w:r w:rsidR="00CA687E" w:rsidRPr="00A9403F">
        <w:rPr>
          <w:rFonts w:eastAsia="MS Mincho"/>
          <w:noProof/>
          <w:szCs w:val="21"/>
        </w:rPr>
        <w:t>–</w:t>
      </w:r>
      <w:r w:rsidR="00621FF4" w:rsidRPr="00A9403F">
        <w:rPr>
          <w:rFonts w:eastAsia="MS Mincho"/>
          <w:noProof/>
          <w:szCs w:val="21"/>
        </w:rPr>
        <w:t>23</w:t>
      </w:r>
      <w:r w:rsidR="00EB4C26" w:rsidRPr="00A9403F">
        <w:rPr>
          <w:rFonts w:eastAsia="MS Mincho"/>
          <w:noProof/>
          <w:szCs w:val="21"/>
        </w:rPr>
        <w:t xml:space="preserve"> </w:t>
      </w:r>
      <w:r w:rsidR="00A9403F">
        <w:rPr>
          <w:rFonts w:eastAsia="MS Mincho"/>
          <w:noProof/>
          <w:szCs w:val="21"/>
        </w:rPr>
        <w:br/>
      </w:r>
      <w:r w:rsidR="00EB4C26" w:rsidRPr="00A9403F">
        <w:rPr>
          <w:rFonts w:eastAsia="MS Mincho"/>
          <w:noProof/>
          <w:szCs w:val="21"/>
        </w:rPr>
        <w:t>to 2025–26</w:t>
      </w:r>
      <w:r w:rsidRPr="00A9403F">
        <w:rPr>
          <w:rFonts w:eastAsia="MS Mincho"/>
          <w:noProof/>
          <w:szCs w:val="21"/>
        </w:rPr>
        <w:t>.</w:t>
      </w:r>
    </w:p>
    <w:p w14:paraId="0531F360" w14:textId="77777777" w:rsidR="00C35E73" w:rsidRDefault="00C35E73" w:rsidP="00C35E73">
      <w:pPr>
        <w:rPr>
          <w:rFonts w:eastAsia="MS Mincho"/>
          <w:noProof/>
        </w:rPr>
      </w:pPr>
      <w:r>
        <w:rPr>
          <w:rFonts w:eastAsia="MS Mincho"/>
          <w:noProof/>
        </w:rPr>
        <w:t xml:space="preserve"> </w:t>
      </w:r>
    </w:p>
    <w:p w14:paraId="68525EC6" w14:textId="77777777" w:rsidR="004537C5" w:rsidRPr="00C35E73" w:rsidRDefault="004537C5" w:rsidP="00C35E73"/>
    <w:sectPr w:rsidR="004537C5" w:rsidRPr="00C35E73" w:rsidSect="0098387D">
      <w:headerReference w:type="even" r:id="rId11"/>
      <w:headerReference w:type="default" r:id="rId12"/>
      <w:footerReference w:type="even" r:id="rId13"/>
      <w:footerReference w:type="default" r:id="rId14"/>
      <w:headerReference w:type="first" r:id="rId15"/>
      <w:footerReference w:type="first" r:id="rId16"/>
      <w:pgSz w:w="11906" w:h="16838"/>
      <w:pgMar w:top="851" w:right="1985"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E631A" w14:textId="77777777" w:rsidR="00881F0C" w:rsidRDefault="00881F0C" w:rsidP="00F77677">
      <w:pPr>
        <w:spacing w:before="0" w:line="240" w:lineRule="auto"/>
      </w:pPr>
      <w:r>
        <w:separator/>
      </w:r>
    </w:p>
  </w:endnote>
  <w:endnote w:type="continuationSeparator" w:id="0">
    <w:p w14:paraId="75073A7B" w14:textId="77777777" w:rsidR="00881F0C" w:rsidRDefault="00881F0C" w:rsidP="00F776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53A6E"/>
      </w:rPr>
      <w:id w:val="-1695693410"/>
      <w:docPartObj>
        <w:docPartGallery w:val="Page Numbers (Bottom of Page)"/>
        <w:docPartUnique/>
      </w:docPartObj>
    </w:sdtPr>
    <w:sdtEndPr>
      <w:rPr>
        <w:noProof/>
      </w:rPr>
    </w:sdtEndPr>
    <w:sdtContent>
      <w:p w14:paraId="38FCBDF3" w14:textId="77777777" w:rsidR="00BC3FFB" w:rsidRPr="00BC3FFB" w:rsidRDefault="00C35E73" w:rsidP="00BC3FFB">
        <w:pPr>
          <w:tabs>
            <w:tab w:val="left" w:pos="0"/>
            <w:tab w:val="right" w:pos="8222"/>
          </w:tabs>
          <w:rPr>
            <w:color w:val="153A6E"/>
          </w:rPr>
        </w:pPr>
        <w:r w:rsidRPr="00C35E73">
          <w:rPr>
            <w:color w:val="153A6E"/>
          </w:rPr>
          <w:t>Preventive health – Addressing the impact of alcohol and other drugs</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53A6E"/>
      </w:rPr>
      <w:id w:val="-2070016970"/>
      <w:docPartObj>
        <w:docPartGallery w:val="Page Numbers (Bottom of Page)"/>
        <w:docPartUnique/>
      </w:docPartObj>
    </w:sdtPr>
    <w:sdtEndPr>
      <w:rPr>
        <w:noProof/>
      </w:rPr>
    </w:sdtEndPr>
    <w:sdtContent>
      <w:p w14:paraId="21793292" w14:textId="77777777" w:rsidR="00DD6EBA" w:rsidRPr="00A456BB" w:rsidRDefault="00A456BB" w:rsidP="00A456BB">
        <w:pPr>
          <w:tabs>
            <w:tab w:val="left" w:pos="0"/>
            <w:tab w:val="right" w:pos="8222"/>
          </w:tabs>
          <w:rPr>
            <w:color w:val="153A6E"/>
          </w:rPr>
        </w:pPr>
        <w:r w:rsidRPr="00C35E73">
          <w:rPr>
            <w:color w:val="153A6E"/>
          </w:rPr>
          <w:t>Preventive health – Addressing the impact of alcohol and other drugs</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53A6E"/>
      </w:rPr>
      <w:id w:val="-779258608"/>
      <w:docPartObj>
        <w:docPartGallery w:val="Page Numbers (Bottom of Page)"/>
        <w:docPartUnique/>
      </w:docPartObj>
    </w:sdtPr>
    <w:sdtEndPr>
      <w:rPr>
        <w:noProof/>
      </w:rPr>
    </w:sdtEndPr>
    <w:sdtContent>
      <w:p w14:paraId="16FFA870" w14:textId="77777777" w:rsidR="00BC3FFB" w:rsidRPr="00BC3FFB" w:rsidRDefault="00C35E73" w:rsidP="00BC3FFB">
        <w:pPr>
          <w:tabs>
            <w:tab w:val="left" w:pos="0"/>
            <w:tab w:val="right" w:pos="8222"/>
          </w:tabs>
          <w:rPr>
            <w:color w:val="153A6E"/>
          </w:rPr>
        </w:pPr>
        <w:r w:rsidRPr="00C35E73">
          <w:rPr>
            <w:color w:val="153A6E"/>
          </w:rPr>
          <w:t>Preventive health – Addressing the impact of alcohol and other drugs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62F87" w14:textId="77777777" w:rsidR="00881F0C" w:rsidRDefault="00881F0C" w:rsidP="00F77677">
      <w:pPr>
        <w:spacing w:before="0" w:line="240" w:lineRule="auto"/>
      </w:pPr>
      <w:r>
        <w:separator/>
      </w:r>
    </w:p>
  </w:footnote>
  <w:footnote w:type="continuationSeparator" w:id="0">
    <w:p w14:paraId="5AA937F1" w14:textId="77777777" w:rsidR="00881F0C" w:rsidRDefault="00881F0C" w:rsidP="00F776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DB052" w14:textId="77777777" w:rsidR="00BB6B25" w:rsidRDefault="00F53C8E">
    <w:pPr>
      <w:pStyle w:val="Header"/>
    </w:pPr>
    <w:r w:rsidRPr="00BC78C8">
      <w:rPr>
        <w:noProof/>
      </w:rPr>
      <mc:AlternateContent>
        <mc:Choice Requires="wps">
          <w:drawing>
            <wp:anchor distT="0" distB="0" distL="114300" distR="114300" simplePos="0" relativeHeight="251672576" behindDoc="0" locked="0" layoutInCell="1" allowOverlap="1" wp14:anchorId="0185A662" wp14:editId="7F4CB9C4">
              <wp:simplePos x="0" y="0"/>
              <wp:positionH relativeFrom="column">
                <wp:posOffset>6247130</wp:posOffset>
              </wp:positionH>
              <wp:positionV relativeFrom="page">
                <wp:posOffset>791845</wp:posOffset>
              </wp:positionV>
              <wp:extent cx="363220" cy="719963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6BC5A9D" w14:textId="77777777"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550A6" id="_x0000_t202" coordsize="21600,21600" o:spt="202" path="m,l,21600r21600,l21600,xe">
              <v:stroke joinstyle="miter"/>
              <v:path gradientshapeok="t" o:connecttype="rect"/>
            </v:shapetype>
            <v:shape id="Text Box 1" o:spid="_x0000_s1026" type="#_x0000_t202" style="position:absolute;margin-left:491.9pt;margin-top:62.35pt;width:28.6pt;height:566.9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" filled="f" stroked="f">
              <v:textbox style="layout-flow:vertical-ideographic">
                <w:txbxContent>
                  <w:p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3D7F8EF0" wp14:editId="619B606E">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A176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08649"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" fillcolor="#aa176d"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20CF5499" wp14:editId="4CED35FE">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AA17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BECE4" id="Rectangle 14" o:spid="_x0000_s1026"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" filled="f" strokecolor="#aa176d" strokeweight=".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B3129" w14:textId="77777777"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4624" behindDoc="0" locked="0" layoutInCell="1" allowOverlap="1" wp14:anchorId="433D24E5" wp14:editId="1BBD33F2">
              <wp:simplePos x="0" y="0"/>
              <wp:positionH relativeFrom="column">
                <wp:posOffset>6248400</wp:posOffset>
              </wp:positionH>
              <wp:positionV relativeFrom="page">
                <wp:posOffset>791845</wp:posOffset>
              </wp:positionV>
              <wp:extent cx="363220" cy="719963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8BB326B" w14:textId="77777777"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F41CA" id="_x0000_t202" coordsize="21600,21600" o:spt="202" path="m,l,21600r21600,l21600,xe">
              <v:stroke joinstyle="miter"/>
              <v:path gradientshapeok="t" o:connecttype="rect"/>
            </v:shapetype>
            <v:shape id="Text Box 2" o:spid="_x0000_s1027" type="#_x0000_t202" style="position:absolute;margin-left:492pt;margin-top:62.35pt;width:28.6pt;height:566.9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" filled="f" stroked="f">
              <v:textbox style="layout-flow:vertical-ideographic">
                <w:txbxContent>
                  <w:p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447E7AB8" wp14:editId="4336BA56">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A17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8E5AA"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" fillcolor="#aa176d"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259758C0" wp14:editId="3A34799E">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AA176D"/>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926C7"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" filled="f" strokecolor="#aa176d"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6FCE9" w14:textId="77777777" w:rsidR="00BC78C8" w:rsidRDefault="00EE4D53">
    <w:pPr>
      <w:pStyle w:val="Header"/>
    </w:pPr>
    <w:r w:rsidRPr="00BC78C8">
      <w:rPr>
        <w:noProof/>
      </w:rPr>
      <w:drawing>
        <wp:anchor distT="0" distB="0" distL="114300" distR="114300" simplePos="0" relativeHeight="251654140" behindDoc="0" locked="0" layoutInCell="1" allowOverlap="1" wp14:anchorId="0A2A8143" wp14:editId="5ABB56CC">
          <wp:simplePos x="0" y="0"/>
          <wp:positionH relativeFrom="column">
            <wp:posOffset>-10795</wp:posOffset>
          </wp:positionH>
          <wp:positionV relativeFrom="paragraph">
            <wp:posOffset>347980</wp:posOffset>
          </wp:positionV>
          <wp:extent cx="5616000" cy="749945"/>
          <wp:effectExtent l="0" t="0" r="3810" b="0"/>
          <wp:wrapSquare wrapText="bothSides"/>
          <wp:docPr id="20" name="Picture 20" descr="Australian Government Department of Health Coat of Arms and Budget 2022-23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49945"/>
                  </a:xfrm>
                  <a:prstGeom prst="rect">
                    <a:avLst/>
                  </a:prstGeom>
                </pic:spPr>
              </pic:pic>
            </a:graphicData>
          </a:graphic>
          <wp14:sizeRelH relativeFrom="margin">
            <wp14:pctWidth>0</wp14:pctWidth>
          </wp14:sizeRelH>
          <wp14:sizeRelV relativeFrom="margin">
            <wp14:pctHeight>0</wp14:pctHeight>
          </wp14:sizeRelV>
        </wp:anchor>
      </w:drawing>
    </w:r>
    <w:r w:rsidR="0095032C" w:rsidRPr="00BC78C8">
      <w:rPr>
        <w:noProof/>
      </w:rPr>
      <mc:AlternateContent>
        <mc:Choice Requires="wps">
          <w:drawing>
            <wp:anchor distT="0" distB="0" distL="114300" distR="114300" simplePos="0" relativeHeight="251670528" behindDoc="0" locked="0" layoutInCell="1" allowOverlap="1" wp14:anchorId="6DD9D871" wp14:editId="59514E60">
              <wp:simplePos x="0" y="0"/>
              <wp:positionH relativeFrom="column">
                <wp:posOffset>6240145</wp:posOffset>
              </wp:positionH>
              <wp:positionV relativeFrom="page">
                <wp:posOffset>791845</wp:posOffset>
              </wp:positionV>
              <wp:extent cx="363220" cy="7199630"/>
              <wp:effectExtent l="0" t="0" r="0" b="1270"/>
              <wp:wrapSquare wrapText="bothSides"/>
              <wp:docPr id="19" name="Text Box 19" descr="Banner of category Prioritising Mental Health, Preventive Health and Sport"/>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1070F61" w14:textId="77777777" w:rsidR="00BC78C8" w:rsidRPr="003667E5" w:rsidRDefault="00BC78C8" w:rsidP="00746E44">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E524A" id="_x0000_t202" coordsize="21600,21600" o:spt="202" path="m,l,21600r21600,l21600,xe">
              <v:stroke joinstyle="miter"/>
              <v:path gradientshapeok="t" o:connecttype="rect"/>
            </v:shapetype>
            <v:shape id="Text Box 19" o:spid="_x0000_s1028" type="#_x0000_t202" alt="Banner of category Prioritising Mental Health, Preventive Health and Sport" style="position:absolute;margin-left:491.35pt;margin-top:62.35pt;width:28.6pt;height:566.9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" filled="f" stroked="f">
              <v:textbox style="layout-flow:vertical-ideographic">
                <w:txbxContent>
                  <w:p w:rsidR="00BC78C8" w:rsidRPr="003667E5" w:rsidRDefault="00BC78C8" w:rsidP="00746E44">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v:textbox>
              <w10:wrap type="square" anchory="page"/>
            </v:shape>
          </w:pict>
        </mc:Fallback>
      </mc:AlternateContent>
    </w:r>
    <w:r w:rsidR="00BC3FFB" w:rsidRPr="00BC78C8">
      <w:rPr>
        <w:noProof/>
      </w:rPr>
      <mc:AlternateContent>
        <mc:Choice Requires="wps">
          <w:drawing>
            <wp:anchor distT="0" distB="0" distL="114300" distR="114300" simplePos="0" relativeHeight="251669504" behindDoc="0" locked="0" layoutInCell="1" allowOverlap="1" wp14:anchorId="1F38A54C" wp14:editId="5B2A2814">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A17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FE3D2"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" fillcolor="#aa176d" stroked="f" strokeweight="2pt">
              <w10:wrap anchorx="page" anchory="page"/>
            </v:rect>
          </w:pict>
        </mc:Fallback>
      </mc:AlternateContent>
    </w:r>
    <w:r w:rsidR="00BC78C8" w:rsidRPr="00BC78C8">
      <w:rPr>
        <w:noProof/>
      </w:rPr>
      <mc:AlternateContent>
        <mc:Choice Requires="wps">
          <w:drawing>
            <wp:anchor distT="0" distB="0" distL="114300" distR="114300" simplePos="0" relativeHeight="251668480" behindDoc="1" locked="0" layoutInCell="1" allowOverlap="1" wp14:anchorId="7B506E70" wp14:editId="57A9C376">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AA176D"/>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65F5"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" filled="f" strokecolor="#aa176d"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074F0D18"/>
    <w:multiLevelType w:val="hybridMultilevel"/>
    <w:tmpl w:val="C5BEA7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443404"/>
    <w:multiLevelType w:val="hybridMultilevel"/>
    <w:tmpl w:val="96188532"/>
    <w:lvl w:ilvl="0" w:tplc="E7CAF400">
      <w:start w:val="1"/>
      <w:numFmt w:val="bullet"/>
      <w:lvlText w:val=""/>
      <w:lvlJc w:val="left"/>
      <w:pPr>
        <w:ind w:left="720" w:hanging="360"/>
      </w:pPr>
      <w:rPr>
        <w:rFonts w:ascii="Symbol" w:hAnsi="Symbol" w:hint="default"/>
      </w:rPr>
    </w:lvl>
    <w:lvl w:ilvl="1" w:tplc="63F62D9C" w:tentative="1">
      <w:start w:val="1"/>
      <w:numFmt w:val="bullet"/>
      <w:lvlText w:val="o"/>
      <w:lvlJc w:val="left"/>
      <w:pPr>
        <w:ind w:left="1440" w:hanging="360"/>
      </w:pPr>
      <w:rPr>
        <w:rFonts w:ascii="Courier New" w:hAnsi="Courier New" w:cs="Courier New" w:hint="default"/>
      </w:rPr>
    </w:lvl>
    <w:lvl w:ilvl="2" w:tplc="0F2C5E34" w:tentative="1">
      <w:start w:val="1"/>
      <w:numFmt w:val="bullet"/>
      <w:lvlText w:val=""/>
      <w:lvlJc w:val="left"/>
      <w:pPr>
        <w:ind w:left="2160" w:hanging="360"/>
      </w:pPr>
      <w:rPr>
        <w:rFonts w:ascii="Wingdings" w:hAnsi="Wingdings" w:hint="default"/>
      </w:rPr>
    </w:lvl>
    <w:lvl w:ilvl="3" w:tplc="64F228E4" w:tentative="1">
      <w:start w:val="1"/>
      <w:numFmt w:val="bullet"/>
      <w:lvlText w:val=""/>
      <w:lvlJc w:val="left"/>
      <w:pPr>
        <w:ind w:left="2880" w:hanging="360"/>
      </w:pPr>
      <w:rPr>
        <w:rFonts w:ascii="Symbol" w:hAnsi="Symbol" w:hint="default"/>
      </w:rPr>
    </w:lvl>
    <w:lvl w:ilvl="4" w:tplc="265AC9F2" w:tentative="1">
      <w:start w:val="1"/>
      <w:numFmt w:val="bullet"/>
      <w:lvlText w:val="o"/>
      <w:lvlJc w:val="left"/>
      <w:pPr>
        <w:ind w:left="3600" w:hanging="360"/>
      </w:pPr>
      <w:rPr>
        <w:rFonts w:ascii="Courier New" w:hAnsi="Courier New" w:cs="Courier New" w:hint="default"/>
      </w:rPr>
    </w:lvl>
    <w:lvl w:ilvl="5" w:tplc="E40E773E" w:tentative="1">
      <w:start w:val="1"/>
      <w:numFmt w:val="bullet"/>
      <w:lvlText w:val=""/>
      <w:lvlJc w:val="left"/>
      <w:pPr>
        <w:ind w:left="4320" w:hanging="360"/>
      </w:pPr>
      <w:rPr>
        <w:rFonts w:ascii="Wingdings" w:hAnsi="Wingdings" w:hint="default"/>
      </w:rPr>
    </w:lvl>
    <w:lvl w:ilvl="6" w:tplc="1F52E090" w:tentative="1">
      <w:start w:val="1"/>
      <w:numFmt w:val="bullet"/>
      <w:lvlText w:val=""/>
      <w:lvlJc w:val="left"/>
      <w:pPr>
        <w:ind w:left="5040" w:hanging="360"/>
      </w:pPr>
      <w:rPr>
        <w:rFonts w:ascii="Symbol" w:hAnsi="Symbol" w:hint="default"/>
      </w:rPr>
    </w:lvl>
    <w:lvl w:ilvl="7" w:tplc="7898C718" w:tentative="1">
      <w:start w:val="1"/>
      <w:numFmt w:val="bullet"/>
      <w:lvlText w:val="o"/>
      <w:lvlJc w:val="left"/>
      <w:pPr>
        <w:ind w:left="5760" w:hanging="360"/>
      </w:pPr>
      <w:rPr>
        <w:rFonts w:ascii="Courier New" w:hAnsi="Courier New" w:cs="Courier New" w:hint="default"/>
      </w:rPr>
    </w:lvl>
    <w:lvl w:ilvl="8" w:tplc="9CDE7B08" w:tentative="1">
      <w:start w:val="1"/>
      <w:numFmt w:val="bullet"/>
      <w:lvlText w:val=""/>
      <w:lvlJc w:val="left"/>
      <w:pPr>
        <w:ind w:left="6480" w:hanging="360"/>
      </w:pPr>
      <w:rPr>
        <w:rFonts w:ascii="Wingdings" w:hAnsi="Wingdings" w:hint="default"/>
      </w:rPr>
    </w:lvl>
  </w:abstractNum>
  <w:abstractNum w:abstractNumId="5"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B3547"/>
    <w:multiLevelType w:val="hybridMultilevel"/>
    <w:tmpl w:val="5E508D60"/>
    <w:lvl w:ilvl="0" w:tplc="FE76BD86">
      <w:start w:val="1"/>
      <w:numFmt w:val="decimal"/>
      <w:pStyle w:val="CABList"/>
      <w:lvlText w:val="%1."/>
      <w:lvlJc w:val="left"/>
      <w:pPr>
        <w:ind w:left="720" w:hanging="360"/>
      </w:pPr>
      <w:rPr>
        <w:rFonts w:ascii="Arial" w:eastAsiaTheme="minorEastAsia" w:hAnsi="Arial" w:cstheme="minorBidi"/>
        <w:b w:val="0"/>
        <w:color w:val="auto"/>
      </w:rPr>
    </w:lvl>
    <w:lvl w:ilvl="1" w:tplc="5B623F64" w:tentative="1">
      <w:start w:val="1"/>
      <w:numFmt w:val="lowerLetter"/>
      <w:lvlText w:val="%2."/>
      <w:lvlJc w:val="left"/>
      <w:pPr>
        <w:ind w:left="1440" w:hanging="360"/>
      </w:pPr>
    </w:lvl>
    <w:lvl w:ilvl="2" w:tplc="4B6AB820" w:tentative="1">
      <w:start w:val="1"/>
      <w:numFmt w:val="lowerRoman"/>
      <w:lvlText w:val="%3."/>
      <w:lvlJc w:val="right"/>
      <w:pPr>
        <w:ind w:left="2160" w:hanging="180"/>
      </w:pPr>
    </w:lvl>
    <w:lvl w:ilvl="3" w:tplc="3E8845B6" w:tentative="1">
      <w:start w:val="1"/>
      <w:numFmt w:val="decimal"/>
      <w:lvlText w:val="%4."/>
      <w:lvlJc w:val="left"/>
      <w:pPr>
        <w:ind w:left="2880" w:hanging="360"/>
      </w:pPr>
    </w:lvl>
    <w:lvl w:ilvl="4" w:tplc="AF0A82A8" w:tentative="1">
      <w:start w:val="1"/>
      <w:numFmt w:val="lowerLetter"/>
      <w:lvlText w:val="%5."/>
      <w:lvlJc w:val="left"/>
      <w:pPr>
        <w:ind w:left="3600" w:hanging="360"/>
      </w:pPr>
    </w:lvl>
    <w:lvl w:ilvl="5" w:tplc="0E60BB56" w:tentative="1">
      <w:start w:val="1"/>
      <w:numFmt w:val="lowerRoman"/>
      <w:lvlText w:val="%6."/>
      <w:lvlJc w:val="right"/>
      <w:pPr>
        <w:ind w:left="4320" w:hanging="180"/>
      </w:pPr>
    </w:lvl>
    <w:lvl w:ilvl="6" w:tplc="4462EF0C" w:tentative="1">
      <w:start w:val="1"/>
      <w:numFmt w:val="decimal"/>
      <w:lvlText w:val="%7."/>
      <w:lvlJc w:val="left"/>
      <w:pPr>
        <w:ind w:left="5040" w:hanging="360"/>
      </w:pPr>
    </w:lvl>
    <w:lvl w:ilvl="7" w:tplc="68ACF6B4" w:tentative="1">
      <w:start w:val="1"/>
      <w:numFmt w:val="lowerLetter"/>
      <w:lvlText w:val="%8."/>
      <w:lvlJc w:val="left"/>
      <w:pPr>
        <w:ind w:left="5760" w:hanging="360"/>
      </w:pPr>
    </w:lvl>
    <w:lvl w:ilvl="8" w:tplc="18086CAC" w:tentative="1">
      <w:start w:val="1"/>
      <w:numFmt w:val="lowerRoman"/>
      <w:lvlText w:val="%9."/>
      <w:lvlJc w:val="right"/>
      <w:pPr>
        <w:ind w:left="6480" w:hanging="180"/>
      </w:pPr>
    </w:lvl>
  </w:abstractNum>
  <w:abstractNum w:abstractNumId="7" w15:restartNumberingAfterBreak="0">
    <w:nsid w:val="76F26231"/>
    <w:multiLevelType w:val="hybridMultilevel"/>
    <w:tmpl w:val="C5889A8E"/>
    <w:lvl w:ilvl="0" w:tplc="398AD02A">
      <w:start w:val="1"/>
      <w:numFmt w:val="bullet"/>
      <w:pStyle w:val="CABBulletList"/>
      <w:lvlText w:val=""/>
      <w:lvlJc w:val="left"/>
      <w:pPr>
        <w:ind w:left="284" w:hanging="284"/>
      </w:pPr>
      <w:rPr>
        <w:rFonts w:ascii="Symbol" w:hAnsi="Symbol" w:hint="default"/>
        <w:color w:val="auto"/>
      </w:rPr>
    </w:lvl>
    <w:lvl w:ilvl="1" w:tplc="73C6E676" w:tentative="1">
      <w:start w:val="1"/>
      <w:numFmt w:val="bullet"/>
      <w:lvlText w:val="o"/>
      <w:lvlJc w:val="left"/>
      <w:pPr>
        <w:ind w:left="1440" w:hanging="360"/>
      </w:pPr>
      <w:rPr>
        <w:rFonts w:ascii="Courier New" w:hAnsi="Courier New" w:hint="default"/>
      </w:rPr>
    </w:lvl>
    <w:lvl w:ilvl="2" w:tplc="0244482A" w:tentative="1">
      <w:start w:val="1"/>
      <w:numFmt w:val="bullet"/>
      <w:lvlText w:val=""/>
      <w:lvlJc w:val="left"/>
      <w:pPr>
        <w:ind w:left="2160" w:hanging="360"/>
      </w:pPr>
      <w:rPr>
        <w:rFonts w:ascii="Wingdings" w:hAnsi="Wingdings" w:hint="default"/>
      </w:rPr>
    </w:lvl>
    <w:lvl w:ilvl="3" w:tplc="0AEAF112" w:tentative="1">
      <w:start w:val="1"/>
      <w:numFmt w:val="bullet"/>
      <w:lvlText w:val=""/>
      <w:lvlJc w:val="left"/>
      <w:pPr>
        <w:ind w:left="2880" w:hanging="360"/>
      </w:pPr>
      <w:rPr>
        <w:rFonts w:ascii="Symbol" w:hAnsi="Symbol" w:hint="default"/>
      </w:rPr>
    </w:lvl>
    <w:lvl w:ilvl="4" w:tplc="03927682" w:tentative="1">
      <w:start w:val="1"/>
      <w:numFmt w:val="bullet"/>
      <w:lvlText w:val="o"/>
      <w:lvlJc w:val="left"/>
      <w:pPr>
        <w:ind w:left="3600" w:hanging="360"/>
      </w:pPr>
      <w:rPr>
        <w:rFonts w:ascii="Courier New" w:hAnsi="Courier New" w:hint="default"/>
      </w:rPr>
    </w:lvl>
    <w:lvl w:ilvl="5" w:tplc="B6E271C0" w:tentative="1">
      <w:start w:val="1"/>
      <w:numFmt w:val="bullet"/>
      <w:lvlText w:val=""/>
      <w:lvlJc w:val="left"/>
      <w:pPr>
        <w:ind w:left="4320" w:hanging="360"/>
      </w:pPr>
      <w:rPr>
        <w:rFonts w:ascii="Wingdings" w:hAnsi="Wingdings" w:hint="default"/>
      </w:rPr>
    </w:lvl>
    <w:lvl w:ilvl="6" w:tplc="63AC2934" w:tentative="1">
      <w:start w:val="1"/>
      <w:numFmt w:val="bullet"/>
      <w:lvlText w:val=""/>
      <w:lvlJc w:val="left"/>
      <w:pPr>
        <w:ind w:left="5040" w:hanging="360"/>
      </w:pPr>
      <w:rPr>
        <w:rFonts w:ascii="Symbol" w:hAnsi="Symbol" w:hint="default"/>
      </w:rPr>
    </w:lvl>
    <w:lvl w:ilvl="7" w:tplc="F62E081A" w:tentative="1">
      <w:start w:val="1"/>
      <w:numFmt w:val="bullet"/>
      <w:lvlText w:val="o"/>
      <w:lvlJc w:val="left"/>
      <w:pPr>
        <w:ind w:left="5760" w:hanging="360"/>
      </w:pPr>
      <w:rPr>
        <w:rFonts w:ascii="Courier New" w:hAnsi="Courier New" w:hint="default"/>
      </w:rPr>
    </w:lvl>
    <w:lvl w:ilvl="8" w:tplc="207C8684"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5"/>
  </w:num>
  <w:num w:numId="7">
    <w:abstractNumId w:val="3"/>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evenAndOddHeaders/>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F0C"/>
    <w:rsid w:val="00003743"/>
    <w:rsid w:val="00060243"/>
    <w:rsid w:val="00067456"/>
    <w:rsid w:val="000A35FD"/>
    <w:rsid w:val="000C23E0"/>
    <w:rsid w:val="000C3238"/>
    <w:rsid w:val="000D3B7B"/>
    <w:rsid w:val="000E4DAD"/>
    <w:rsid w:val="000F3E45"/>
    <w:rsid w:val="00150958"/>
    <w:rsid w:val="00153116"/>
    <w:rsid w:val="00156177"/>
    <w:rsid w:val="00190C20"/>
    <w:rsid w:val="001A32C5"/>
    <w:rsid w:val="001B3443"/>
    <w:rsid w:val="001D095A"/>
    <w:rsid w:val="002D5A6D"/>
    <w:rsid w:val="002F3AE3"/>
    <w:rsid w:val="003021EE"/>
    <w:rsid w:val="0030786C"/>
    <w:rsid w:val="00321C20"/>
    <w:rsid w:val="0032762A"/>
    <w:rsid w:val="0034275D"/>
    <w:rsid w:val="003D17F9"/>
    <w:rsid w:val="003E0A19"/>
    <w:rsid w:val="00440060"/>
    <w:rsid w:val="004537C5"/>
    <w:rsid w:val="0046085D"/>
    <w:rsid w:val="004867E2"/>
    <w:rsid w:val="004B0C2D"/>
    <w:rsid w:val="004D04B6"/>
    <w:rsid w:val="004E6A71"/>
    <w:rsid w:val="00531FEF"/>
    <w:rsid w:val="00545812"/>
    <w:rsid w:val="00560073"/>
    <w:rsid w:val="00591CAB"/>
    <w:rsid w:val="005A4CD4"/>
    <w:rsid w:val="005B3233"/>
    <w:rsid w:val="005F65AE"/>
    <w:rsid w:val="0060074A"/>
    <w:rsid w:val="00621FF4"/>
    <w:rsid w:val="0062554E"/>
    <w:rsid w:val="00656763"/>
    <w:rsid w:val="00665276"/>
    <w:rsid w:val="00670967"/>
    <w:rsid w:val="006C2BB0"/>
    <w:rsid w:val="006F167E"/>
    <w:rsid w:val="00724B94"/>
    <w:rsid w:val="00736332"/>
    <w:rsid w:val="00743F14"/>
    <w:rsid w:val="00746E44"/>
    <w:rsid w:val="00776233"/>
    <w:rsid w:val="00776A04"/>
    <w:rsid w:val="007B43EF"/>
    <w:rsid w:val="007F4A57"/>
    <w:rsid w:val="008264EB"/>
    <w:rsid w:val="00836E07"/>
    <w:rsid w:val="00881F0C"/>
    <w:rsid w:val="00882951"/>
    <w:rsid w:val="00884AC3"/>
    <w:rsid w:val="00886F01"/>
    <w:rsid w:val="008B5BC4"/>
    <w:rsid w:val="008F2E23"/>
    <w:rsid w:val="00905865"/>
    <w:rsid w:val="00912E8B"/>
    <w:rsid w:val="009342F5"/>
    <w:rsid w:val="00944AE8"/>
    <w:rsid w:val="0095032C"/>
    <w:rsid w:val="00953B0F"/>
    <w:rsid w:val="0098387D"/>
    <w:rsid w:val="009974AF"/>
    <w:rsid w:val="00A33281"/>
    <w:rsid w:val="00A365D5"/>
    <w:rsid w:val="00A4512D"/>
    <w:rsid w:val="00A456BB"/>
    <w:rsid w:val="00A4612E"/>
    <w:rsid w:val="00A63558"/>
    <w:rsid w:val="00A705AF"/>
    <w:rsid w:val="00A92C1B"/>
    <w:rsid w:val="00A9403F"/>
    <w:rsid w:val="00AB377C"/>
    <w:rsid w:val="00AB5DC4"/>
    <w:rsid w:val="00AC0B3F"/>
    <w:rsid w:val="00B06688"/>
    <w:rsid w:val="00B116E9"/>
    <w:rsid w:val="00B42851"/>
    <w:rsid w:val="00B53881"/>
    <w:rsid w:val="00B73AA3"/>
    <w:rsid w:val="00B95E87"/>
    <w:rsid w:val="00BA0398"/>
    <w:rsid w:val="00BA3805"/>
    <w:rsid w:val="00BB1B5E"/>
    <w:rsid w:val="00BB6B25"/>
    <w:rsid w:val="00BC3FFB"/>
    <w:rsid w:val="00BC5CAB"/>
    <w:rsid w:val="00BC6210"/>
    <w:rsid w:val="00BC78C8"/>
    <w:rsid w:val="00C013F0"/>
    <w:rsid w:val="00C01F0A"/>
    <w:rsid w:val="00C35E73"/>
    <w:rsid w:val="00C51060"/>
    <w:rsid w:val="00C65279"/>
    <w:rsid w:val="00C80038"/>
    <w:rsid w:val="00C81CB2"/>
    <w:rsid w:val="00C83270"/>
    <w:rsid w:val="00CA687E"/>
    <w:rsid w:val="00CB0960"/>
    <w:rsid w:val="00CB5B1A"/>
    <w:rsid w:val="00CB7179"/>
    <w:rsid w:val="00CE0C30"/>
    <w:rsid w:val="00D03CB6"/>
    <w:rsid w:val="00D13B9A"/>
    <w:rsid w:val="00D425BA"/>
    <w:rsid w:val="00D917DD"/>
    <w:rsid w:val="00DD6EBA"/>
    <w:rsid w:val="00E0683D"/>
    <w:rsid w:val="00E154DC"/>
    <w:rsid w:val="00E16383"/>
    <w:rsid w:val="00E37E83"/>
    <w:rsid w:val="00E608ED"/>
    <w:rsid w:val="00E75CE7"/>
    <w:rsid w:val="00EA77AD"/>
    <w:rsid w:val="00EB4C26"/>
    <w:rsid w:val="00EB65CB"/>
    <w:rsid w:val="00ED1C0F"/>
    <w:rsid w:val="00ED2467"/>
    <w:rsid w:val="00EE4D53"/>
    <w:rsid w:val="00F53C8E"/>
    <w:rsid w:val="00F71961"/>
    <w:rsid w:val="00F76906"/>
    <w:rsid w:val="00F77677"/>
    <w:rsid w:val="00F84400"/>
    <w:rsid w:val="00F93440"/>
    <w:rsid w:val="00F96057"/>
    <w:rsid w:val="00FC2D96"/>
    <w:rsid w:val="00FC5EAC"/>
    <w:rsid w:val="00FE24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383A300"/>
  <w15:docId w15:val="{E655305D-9E29-4F17-8274-89649897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E73"/>
    <w:pPr>
      <w:spacing w:before="120" w:line="270" w:lineRule="auto"/>
    </w:pPr>
    <w:rPr>
      <w:rFonts w:ascii="Arial" w:hAnsi="Arial"/>
      <w:sz w:val="21"/>
    </w:rPr>
  </w:style>
  <w:style w:type="paragraph" w:styleId="Heading1">
    <w:name w:val="heading 1"/>
    <w:basedOn w:val="Heading2"/>
    <w:next w:val="Normal"/>
    <w:link w:val="Heading1Char"/>
    <w:uiPriority w:val="9"/>
    <w:qFormat/>
    <w:rsid w:val="00F96057"/>
    <w:pPr>
      <w:outlineLvl w:val="0"/>
    </w:pPr>
    <w:rPr>
      <w:b/>
    </w:rPr>
  </w:style>
  <w:style w:type="paragraph" w:styleId="Heading2">
    <w:name w:val="heading 2"/>
    <w:basedOn w:val="Normal"/>
    <w:next w:val="Normal"/>
    <w:link w:val="Heading2Char"/>
    <w:uiPriority w:val="9"/>
    <w:unhideWhenUsed/>
    <w:qFormat/>
    <w:rsid w:val="00F96057"/>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F96057"/>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F96057"/>
    <w:pPr>
      <w:keepNext/>
      <w:keepLines/>
      <w:outlineLvl w:val="3"/>
    </w:pPr>
    <w:rPr>
      <w:rFonts w:eastAsia="MS Gothic"/>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F96057"/>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F96057"/>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F96057"/>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F96057"/>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F96057"/>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F96057"/>
    <w:rPr>
      <w:rFonts w:ascii="Arial" w:eastAsia="MS Gothic" w:hAnsi="Arial"/>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paragraph" w:customStyle="1" w:styleId="CABList">
    <w:name w:val="CAB List"/>
    <w:basedOn w:val="BodyText"/>
    <w:uiPriority w:val="98"/>
    <w:qFormat/>
    <w:rsid w:val="00D03CB6"/>
    <w:pPr>
      <w:numPr>
        <w:numId w:val="9"/>
      </w:numPr>
      <w:tabs>
        <w:tab w:val="num" w:pos="360"/>
        <w:tab w:val="left" w:pos="4253"/>
      </w:tabs>
      <w:spacing w:after="0" w:line="240" w:lineRule="auto"/>
      <w:ind w:left="0" w:firstLine="0"/>
    </w:pPr>
    <w:rPr>
      <w:rFonts w:eastAsiaTheme="minorHAnsi"/>
      <w:sz w:val="22"/>
      <w:szCs w:val="22"/>
      <w:lang w:eastAsia="en-US"/>
    </w:rPr>
  </w:style>
  <w:style w:type="paragraph" w:styleId="BodyText">
    <w:name w:val="Body Text"/>
    <w:basedOn w:val="Normal"/>
    <w:link w:val="BodyTextChar"/>
    <w:unhideWhenUsed/>
    <w:rsid w:val="00D03CB6"/>
    <w:pPr>
      <w:spacing w:after="120"/>
    </w:pPr>
  </w:style>
  <w:style w:type="character" w:customStyle="1" w:styleId="BodyTextChar">
    <w:name w:val="Body Text Char"/>
    <w:basedOn w:val="DefaultParagraphFont"/>
    <w:link w:val="BodyText"/>
    <w:rsid w:val="00D03CB6"/>
    <w:rPr>
      <w:rFonts w:ascii="Arial" w:hAnsi="Arial"/>
      <w:sz w:val="21"/>
    </w:rPr>
  </w:style>
  <w:style w:type="paragraph" w:customStyle="1" w:styleId="Spacer">
    <w:name w:val="Spacer"/>
    <w:uiPriority w:val="98"/>
    <w:semiHidden/>
    <w:rsid w:val="00E75CE7"/>
    <w:rPr>
      <w:rFonts w:ascii="Arial" w:eastAsiaTheme="minorHAnsi" w:hAnsi="Arial"/>
      <w:sz w:val="4"/>
      <w:szCs w:val="4"/>
      <w:lang w:eastAsia="en-US"/>
    </w:rPr>
  </w:style>
  <w:style w:type="paragraph" w:customStyle="1" w:styleId="CABBulletList">
    <w:name w:val="CAB Bullet List"/>
    <w:basedOn w:val="ListParagraph"/>
    <w:uiPriority w:val="98"/>
    <w:qFormat/>
    <w:rsid w:val="00E75CE7"/>
    <w:pPr>
      <w:numPr>
        <w:numId w:val="10"/>
      </w:numPr>
      <w:tabs>
        <w:tab w:val="left" w:pos="851"/>
      </w:tabs>
      <w:spacing w:before="60" w:after="60" w:line="240" w:lineRule="auto"/>
      <w:ind w:left="850" w:hanging="288"/>
    </w:pPr>
    <w:rPr>
      <w:rFonts w:eastAsiaTheme="minorHAnsi"/>
      <w:sz w:val="22"/>
      <w:szCs w:val="22"/>
      <w:lang w:eastAsia="en-US"/>
    </w:rPr>
  </w:style>
  <w:style w:type="paragraph" w:customStyle="1" w:styleId="CABNETParagraph">
    <w:name w:val="CABNET Paragraph."/>
    <w:basedOn w:val="Normal"/>
    <w:link w:val="CABNETParagraphChar"/>
    <w:uiPriority w:val="98"/>
    <w:qFormat/>
    <w:rsid w:val="00E75CE7"/>
    <w:pPr>
      <w:spacing w:after="120" w:line="240" w:lineRule="auto"/>
    </w:pPr>
    <w:rPr>
      <w:rFonts w:eastAsiaTheme="minorHAnsi" w:cstheme="minorHAnsi"/>
      <w:sz w:val="22"/>
      <w:szCs w:val="22"/>
      <w:lang w:eastAsia="en-US"/>
    </w:rPr>
  </w:style>
  <w:style w:type="character" w:customStyle="1" w:styleId="CABNETParagraphChar">
    <w:name w:val="CABNET Paragraph. Char"/>
    <w:basedOn w:val="DefaultParagraphFont"/>
    <w:link w:val="CABNETParagraph"/>
    <w:uiPriority w:val="98"/>
    <w:rsid w:val="00E75CE7"/>
    <w:rPr>
      <w:rFonts w:ascii="Arial" w:eastAsiaTheme="minorHAnsi" w:hAnsi="Arial" w:cstheme="minorHAnsi"/>
      <w:sz w:val="22"/>
      <w:szCs w:val="22"/>
      <w:lang w:eastAsia="en-US"/>
    </w:rPr>
  </w:style>
  <w:style w:type="paragraph" w:customStyle="1" w:styleId="CABParagraph">
    <w:name w:val="CAB Paragraph"/>
    <w:basedOn w:val="BodyText"/>
    <w:link w:val="CABParagraphChar"/>
    <w:uiPriority w:val="98"/>
    <w:qFormat/>
    <w:rsid w:val="00E75CE7"/>
    <w:pPr>
      <w:spacing w:after="0" w:line="240" w:lineRule="auto"/>
    </w:pPr>
    <w:rPr>
      <w:rFonts w:eastAsiaTheme="minorHAnsi"/>
      <w:sz w:val="22"/>
      <w:szCs w:val="22"/>
      <w:lang w:eastAsia="en-US"/>
    </w:rPr>
  </w:style>
  <w:style w:type="character" w:customStyle="1" w:styleId="CABParagraphChar">
    <w:name w:val="CAB Paragraph Char"/>
    <w:basedOn w:val="DefaultParagraphFont"/>
    <w:link w:val="CABParagraph"/>
    <w:uiPriority w:val="98"/>
    <w:rsid w:val="00E75CE7"/>
    <w:rPr>
      <w:rFonts w:ascii="Arial" w:eastAsiaTheme="minorHAnsi" w:hAnsi="Arial"/>
      <w:sz w:val="22"/>
      <w:szCs w:val="22"/>
      <w:lang w:eastAsia="en-US"/>
    </w:rPr>
  </w:style>
  <w:style w:type="paragraph" w:customStyle="1" w:styleId="CAB-NumberedParagraph">
    <w:name w:val="CAB - Numbered Paragraph"/>
    <w:basedOn w:val="Normal"/>
    <w:uiPriority w:val="98"/>
    <w:rsid w:val="00E75CE7"/>
    <w:pPr>
      <w:spacing w:after="120" w:line="240" w:lineRule="auto"/>
      <w:ind w:left="567" w:hanging="567"/>
    </w:pPr>
    <w:rPr>
      <w:rFonts w:eastAsiaTheme="minorHAnsi"/>
      <w:sz w:val="22"/>
      <w:szCs w:val="22"/>
      <w:lang w:eastAsia="en-US"/>
    </w:rPr>
  </w:style>
  <w:style w:type="paragraph" w:styleId="FootnoteText">
    <w:name w:val="footnote text"/>
    <w:aliases w:val="(NECG) Footnote Text"/>
    <w:basedOn w:val="Normal"/>
    <w:link w:val="FootnoteTextChar"/>
    <w:uiPriority w:val="99"/>
    <w:unhideWhenUsed/>
    <w:rsid w:val="00E75CE7"/>
    <w:pPr>
      <w:spacing w:before="0" w:line="240" w:lineRule="auto"/>
    </w:pPr>
    <w:rPr>
      <w:rFonts w:eastAsiaTheme="minorHAnsi"/>
      <w:sz w:val="20"/>
      <w:szCs w:val="20"/>
      <w:lang w:eastAsia="en-US"/>
    </w:rPr>
  </w:style>
  <w:style w:type="character" w:customStyle="1" w:styleId="FootnoteTextChar">
    <w:name w:val="Footnote Text Char"/>
    <w:aliases w:val="(NECG) Footnote Text Char"/>
    <w:basedOn w:val="DefaultParagraphFont"/>
    <w:link w:val="FootnoteText"/>
    <w:uiPriority w:val="99"/>
    <w:rsid w:val="00E75CE7"/>
    <w:rPr>
      <w:rFonts w:ascii="Arial" w:eastAsiaTheme="minorHAnsi" w:hAnsi="Arial"/>
      <w:sz w:val="20"/>
      <w:szCs w:val="20"/>
      <w:lang w:eastAsia="en-US"/>
    </w:rPr>
  </w:style>
  <w:style w:type="character" w:styleId="FootnoteReference">
    <w:name w:val="footnote reference"/>
    <w:basedOn w:val="DefaultParagraphFont"/>
    <w:uiPriority w:val="99"/>
    <w:unhideWhenUsed/>
    <w:rsid w:val="00E75CE7"/>
    <w:rPr>
      <w:vertAlign w:val="superscript"/>
    </w:rPr>
  </w:style>
  <w:style w:type="character" w:styleId="CommentReference">
    <w:name w:val="annotation reference"/>
    <w:basedOn w:val="DefaultParagraphFont"/>
    <w:uiPriority w:val="99"/>
    <w:semiHidden/>
    <w:unhideWhenUsed/>
    <w:rsid w:val="00AB377C"/>
    <w:rPr>
      <w:sz w:val="16"/>
      <w:szCs w:val="16"/>
    </w:rPr>
  </w:style>
  <w:style w:type="character" w:styleId="Hyperlink">
    <w:name w:val="Hyperlink"/>
    <w:aliases w:val="Hyperlink Cab"/>
    <w:basedOn w:val="DefaultParagraphFont"/>
    <w:uiPriority w:val="99"/>
    <w:qFormat/>
    <w:rsid w:val="00AB377C"/>
    <w:rPr>
      <w:color w:val="0000FF" w:themeColor="hyperlink"/>
      <w:u w:val="single"/>
    </w:rPr>
  </w:style>
  <w:style w:type="paragraph" w:styleId="CommentText">
    <w:name w:val="annotation text"/>
    <w:basedOn w:val="Normal"/>
    <w:link w:val="CommentTextChar"/>
    <w:semiHidden/>
    <w:unhideWhenUsed/>
    <w:rsid w:val="008B5BC4"/>
    <w:pPr>
      <w:spacing w:line="240" w:lineRule="auto"/>
    </w:pPr>
    <w:rPr>
      <w:sz w:val="20"/>
      <w:szCs w:val="20"/>
    </w:rPr>
  </w:style>
  <w:style w:type="character" w:customStyle="1" w:styleId="CommentTextChar">
    <w:name w:val="Comment Text Char"/>
    <w:basedOn w:val="DefaultParagraphFont"/>
    <w:link w:val="CommentText"/>
    <w:semiHidden/>
    <w:rsid w:val="008B5BC4"/>
    <w:rPr>
      <w:rFonts w:ascii="Arial" w:hAnsi="Arial"/>
      <w:sz w:val="20"/>
      <w:szCs w:val="20"/>
    </w:rPr>
  </w:style>
  <w:style w:type="paragraph" w:styleId="CommentSubject">
    <w:name w:val="annotation subject"/>
    <w:basedOn w:val="CommentText"/>
    <w:next w:val="CommentText"/>
    <w:link w:val="CommentSubjectChar"/>
    <w:semiHidden/>
    <w:unhideWhenUsed/>
    <w:rsid w:val="008B5BC4"/>
    <w:rPr>
      <w:b/>
      <w:bCs/>
    </w:rPr>
  </w:style>
  <w:style w:type="character" w:customStyle="1" w:styleId="CommentSubjectChar">
    <w:name w:val="Comment Subject Char"/>
    <w:basedOn w:val="CommentTextChar"/>
    <w:link w:val="CommentSubject"/>
    <w:semiHidden/>
    <w:rsid w:val="008B5BC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567552">
      <w:bodyDiv w:val="1"/>
      <w:marLeft w:val="0"/>
      <w:marRight w:val="0"/>
      <w:marTop w:val="0"/>
      <w:marBottom w:val="0"/>
      <w:divBdr>
        <w:top w:val="none" w:sz="0" w:space="0" w:color="auto"/>
        <w:left w:val="none" w:sz="0" w:space="0" w:color="auto"/>
        <w:bottom w:val="none" w:sz="0" w:space="0" w:color="auto"/>
        <w:right w:val="none" w:sz="0" w:space="0" w:color="auto"/>
      </w:divBdr>
    </w:div>
    <w:div w:id="16660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7" ma:contentTypeDescription="Create a new document." ma:contentTypeScope="" ma:versionID="620c82d65eeb8f090d11754bdd0736d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cc2523ee962dc282a10ad7b94902e2e7"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A4DD7-2A4B-46A8-B382-6C2C22A9B700}"/>
</file>

<file path=customXml/itemProps2.xml><?xml version="1.0" encoding="utf-8"?>
<ds:datastoreItem xmlns:ds="http://schemas.openxmlformats.org/officeDocument/2006/customXml" ds:itemID="{073BB72E-0182-435C-8EA8-D16C7E06E388}">
  <ds:schemaRefs>
    <ds:schemaRef ds:uri="http://schemas.microsoft.com/sharepoint/v3/contenttype/forms"/>
  </ds:schemaRefs>
</ds:datastoreItem>
</file>

<file path=customXml/itemProps3.xml><?xml version="1.0" encoding="utf-8"?>
<ds:datastoreItem xmlns:ds="http://schemas.openxmlformats.org/officeDocument/2006/customXml" ds:itemID="{E002D018-54DC-4E89-9DB3-7FEF8E018E71}">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3e9090f6-0245-48e3-bd19-46cc0b4d31f0"/>
    <ds:schemaRef ds:uri="66b98d56-25b7-479b-bf58-c8a0702ccf2c"/>
    <ds:schemaRef ds:uri="http://www.w3.org/XML/1998/namespace"/>
  </ds:schemaRefs>
</ds:datastoreItem>
</file>

<file path=customXml/itemProps4.xml><?xml version="1.0" encoding="utf-8"?>
<ds:datastoreItem xmlns:ds="http://schemas.openxmlformats.org/officeDocument/2006/customXml" ds:itemID="{9544446A-44AD-4EE4-9309-DA9CACA64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661</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28 - Preventive health – Addressing the impact of alcohol and other drugs - Budget 2022-23 fact sheet</vt:lpstr>
    </vt:vector>
  </TitlesOfParts>
  <Manager/>
  <Company>Australian Government Department of Health</Company>
  <LinksUpToDate>false</LinksUpToDate>
  <CharactersWithSpaces>4316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 Preventive health – Addressing the impact of alcohol and other drugs - Budget 2022-23 fact sheet</dc:title>
  <dc:subject>Budget 2022-23</dc:subject>
  <dc:creator>Australian Government Department of Health</dc:creator>
  <cp:keywords>Budget 2022-23</cp:keywords>
  <dc:description/>
  <cp:lastModifiedBy>Fairhall, Brad</cp:lastModifiedBy>
  <cp:revision>6</cp:revision>
  <cp:lastPrinted>2020-09-01T06:21:00Z</cp:lastPrinted>
  <dcterms:created xsi:type="dcterms:W3CDTF">2022-03-26T05:50:00Z</dcterms:created>
  <dcterms:modified xsi:type="dcterms:W3CDTF">2022-03-28T09:04:00Z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y fmtid="{D5CDD505-2E9C-101B-9397-08002B2CF9AE}" pid="3" name="Order">
    <vt:i4>100</vt:i4>
  </property>
</Properties>
</file>