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C06FD" w14:textId="77777777" w:rsidR="00485B56" w:rsidRPr="001D4559" w:rsidRDefault="001B420A" w:rsidP="001D4559">
      <w:pPr>
        <w:pStyle w:val="Title"/>
        <w:rPr>
          <w:sz w:val="36"/>
          <w:szCs w:val="36"/>
        </w:rPr>
      </w:pPr>
      <w:bookmarkStart w:id="0" w:name="_Toc83808543"/>
      <w:bookmarkStart w:id="1" w:name="_Toc95837842"/>
      <w:bookmarkStart w:id="2" w:name="_Toc95839121"/>
      <w:r w:rsidRPr="001D4559">
        <w:rPr>
          <w:sz w:val="36"/>
          <w:szCs w:val="36"/>
        </w:rPr>
        <w:t>Q</w:t>
      </w:r>
      <w:r w:rsidR="00485B56" w:rsidRPr="001D4559">
        <w:rPr>
          <w:sz w:val="36"/>
          <w:szCs w:val="36"/>
        </w:rPr>
        <w:t xml:space="preserve">uestions </w:t>
      </w:r>
      <w:r w:rsidRPr="001D4559">
        <w:rPr>
          <w:sz w:val="36"/>
          <w:szCs w:val="36"/>
        </w:rPr>
        <w:t>&amp;</w:t>
      </w:r>
      <w:r w:rsidR="00485B56" w:rsidRPr="001D4559">
        <w:rPr>
          <w:sz w:val="36"/>
          <w:szCs w:val="36"/>
        </w:rPr>
        <w:t xml:space="preserve"> </w:t>
      </w:r>
      <w:r w:rsidRPr="001D4559">
        <w:rPr>
          <w:sz w:val="36"/>
          <w:szCs w:val="36"/>
        </w:rPr>
        <w:t>A</w:t>
      </w:r>
      <w:r w:rsidR="00485B56" w:rsidRPr="001D4559">
        <w:rPr>
          <w:sz w:val="36"/>
          <w:szCs w:val="36"/>
        </w:rPr>
        <w:t>nswers</w:t>
      </w:r>
      <w:bookmarkEnd w:id="0"/>
      <w:bookmarkEnd w:id="1"/>
      <w:bookmarkEnd w:id="2"/>
    </w:p>
    <w:p w14:paraId="77F8C944" w14:textId="738C145B" w:rsidR="00265D5F" w:rsidRPr="001D4559" w:rsidRDefault="009821DB" w:rsidP="001D4559">
      <w:pPr>
        <w:pStyle w:val="Title"/>
        <w:rPr>
          <w:sz w:val="36"/>
          <w:szCs w:val="36"/>
        </w:rPr>
      </w:pPr>
      <w:bookmarkStart w:id="3" w:name="_Toc83808544"/>
      <w:bookmarkStart w:id="4" w:name="_Toc95837843"/>
      <w:bookmarkStart w:id="5" w:name="_Toc95839122"/>
      <w:r w:rsidRPr="001D4559">
        <w:rPr>
          <w:sz w:val="36"/>
          <w:szCs w:val="36"/>
        </w:rPr>
        <w:t>Improved Payment Arrangements</w:t>
      </w:r>
      <w:bookmarkEnd w:id="3"/>
      <w:r w:rsidR="006F4553">
        <w:rPr>
          <w:sz w:val="36"/>
          <w:szCs w:val="36"/>
        </w:rPr>
        <w:t xml:space="preserve"> (IPA)</w:t>
      </w:r>
      <w:bookmarkEnd w:id="4"/>
      <w:bookmarkEnd w:id="5"/>
    </w:p>
    <w:sdt>
      <w:sdtPr>
        <w:rPr>
          <w:b w:val="0"/>
          <w:bCs w:val="0"/>
          <w:color w:val="auto"/>
          <w:sz w:val="22"/>
          <w:szCs w:val="20"/>
          <w:lang w:val="en-AU"/>
        </w:rPr>
        <w:id w:val="561456693"/>
        <w:docPartObj>
          <w:docPartGallery w:val="Table of Contents"/>
          <w:docPartUnique/>
        </w:docPartObj>
      </w:sdtPr>
      <w:sdtEndPr>
        <w:rPr>
          <w:noProof/>
        </w:rPr>
      </w:sdtEndPr>
      <w:sdtContent>
        <w:p w14:paraId="396DE417" w14:textId="77777777" w:rsidR="00394F47" w:rsidRDefault="0042219F" w:rsidP="00681BE3">
          <w:pPr>
            <w:pStyle w:val="TOCHeading"/>
            <w:rPr>
              <w:noProof/>
            </w:rPr>
          </w:pPr>
          <w:r>
            <w:t>Contents</w:t>
          </w:r>
          <w:r>
            <w:fldChar w:fldCharType="begin"/>
          </w:r>
          <w:r>
            <w:instrText xml:space="preserve"> TOC \o "1-1" \h \z \u </w:instrText>
          </w:r>
          <w:r>
            <w:fldChar w:fldCharType="separate"/>
          </w:r>
        </w:p>
        <w:p w14:paraId="62B7E243" w14:textId="3920E76B" w:rsidR="00394F47" w:rsidRDefault="0054516C">
          <w:pPr>
            <w:pStyle w:val="TOC1"/>
            <w:rPr>
              <w:rFonts w:eastAsiaTheme="minorEastAsia" w:cstheme="minorBidi"/>
              <w:noProof/>
              <w:szCs w:val="22"/>
              <w:lang w:eastAsia="en-AU"/>
            </w:rPr>
          </w:pPr>
          <w:hyperlink w:anchor="_Toc95839123" w:history="1">
            <w:r w:rsidR="00394F47" w:rsidRPr="00A377C7">
              <w:rPr>
                <w:rStyle w:val="Hyperlink"/>
                <w:noProof/>
              </w:rPr>
              <w:t>Definitions</w:t>
            </w:r>
            <w:r w:rsidR="00394F47">
              <w:rPr>
                <w:noProof/>
                <w:webHidden/>
              </w:rPr>
              <w:tab/>
            </w:r>
            <w:r w:rsidR="00394F47">
              <w:rPr>
                <w:noProof/>
                <w:webHidden/>
              </w:rPr>
              <w:fldChar w:fldCharType="begin"/>
            </w:r>
            <w:r w:rsidR="00394F47">
              <w:rPr>
                <w:noProof/>
                <w:webHidden/>
              </w:rPr>
              <w:instrText xml:space="preserve"> PAGEREF _Toc95839123 \h </w:instrText>
            </w:r>
            <w:r w:rsidR="00394F47">
              <w:rPr>
                <w:noProof/>
                <w:webHidden/>
              </w:rPr>
            </w:r>
            <w:r w:rsidR="00394F47">
              <w:rPr>
                <w:noProof/>
                <w:webHidden/>
              </w:rPr>
              <w:fldChar w:fldCharType="separate"/>
            </w:r>
            <w:r w:rsidR="00394F47">
              <w:rPr>
                <w:noProof/>
                <w:webHidden/>
              </w:rPr>
              <w:t>2</w:t>
            </w:r>
            <w:r w:rsidR="00394F47">
              <w:rPr>
                <w:noProof/>
                <w:webHidden/>
              </w:rPr>
              <w:fldChar w:fldCharType="end"/>
            </w:r>
          </w:hyperlink>
        </w:p>
        <w:p w14:paraId="43700C1E" w14:textId="1B44C295" w:rsidR="00394F47" w:rsidRDefault="0054516C">
          <w:pPr>
            <w:pStyle w:val="TOC1"/>
            <w:rPr>
              <w:rFonts w:eastAsiaTheme="minorEastAsia" w:cstheme="minorBidi"/>
              <w:noProof/>
              <w:szCs w:val="22"/>
              <w:lang w:eastAsia="en-AU"/>
            </w:rPr>
          </w:pPr>
          <w:hyperlink w:anchor="_Toc95839124" w:history="1">
            <w:r w:rsidR="00394F47" w:rsidRPr="00A377C7">
              <w:rPr>
                <w:rStyle w:val="Hyperlink"/>
                <w:noProof/>
              </w:rPr>
              <w:t>Claiming and Home Care Packages fees</w:t>
            </w:r>
            <w:r w:rsidR="00394F47">
              <w:rPr>
                <w:noProof/>
                <w:webHidden/>
              </w:rPr>
              <w:tab/>
            </w:r>
            <w:r w:rsidR="00394F47">
              <w:rPr>
                <w:noProof/>
                <w:webHidden/>
              </w:rPr>
              <w:fldChar w:fldCharType="begin"/>
            </w:r>
            <w:r w:rsidR="00394F47">
              <w:rPr>
                <w:noProof/>
                <w:webHidden/>
              </w:rPr>
              <w:instrText xml:space="preserve"> PAGEREF _Toc95839124 \h </w:instrText>
            </w:r>
            <w:r w:rsidR="00394F47">
              <w:rPr>
                <w:noProof/>
                <w:webHidden/>
              </w:rPr>
            </w:r>
            <w:r w:rsidR="00394F47">
              <w:rPr>
                <w:noProof/>
                <w:webHidden/>
              </w:rPr>
              <w:fldChar w:fldCharType="separate"/>
            </w:r>
            <w:r w:rsidR="00394F47">
              <w:rPr>
                <w:noProof/>
                <w:webHidden/>
              </w:rPr>
              <w:t>3</w:t>
            </w:r>
            <w:r w:rsidR="00394F47">
              <w:rPr>
                <w:noProof/>
                <w:webHidden/>
              </w:rPr>
              <w:fldChar w:fldCharType="end"/>
            </w:r>
          </w:hyperlink>
        </w:p>
        <w:p w14:paraId="3C8DA454" w14:textId="6E764FDA" w:rsidR="00394F47" w:rsidRDefault="0054516C">
          <w:pPr>
            <w:pStyle w:val="TOC1"/>
            <w:rPr>
              <w:rFonts w:eastAsiaTheme="minorEastAsia" w:cstheme="minorBidi"/>
              <w:noProof/>
              <w:szCs w:val="22"/>
              <w:lang w:eastAsia="en-AU"/>
            </w:rPr>
          </w:pPr>
          <w:hyperlink w:anchor="_Toc95839125" w:history="1">
            <w:r w:rsidR="00394F47" w:rsidRPr="00A377C7">
              <w:rPr>
                <w:rStyle w:val="Hyperlink"/>
                <w:noProof/>
              </w:rPr>
              <w:t>Opting-in to return Commonwealth unspent funds</w:t>
            </w:r>
            <w:r w:rsidR="00394F47">
              <w:rPr>
                <w:noProof/>
                <w:webHidden/>
              </w:rPr>
              <w:tab/>
            </w:r>
            <w:r w:rsidR="00394F47">
              <w:rPr>
                <w:noProof/>
                <w:webHidden/>
              </w:rPr>
              <w:fldChar w:fldCharType="begin"/>
            </w:r>
            <w:r w:rsidR="00394F47">
              <w:rPr>
                <w:noProof/>
                <w:webHidden/>
              </w:rPr>
              <w:instrText xml:space="preserve"> PAGEREF _Toc95839125 \h </w:instrText>
            </w:r>
            <w:r w:rsidR="00394F47">
              <w:rPr>
                <w:noProof/>
                <w:webHidden/>
              </w:rPr>
            </w:r>
            <w:r w:rsidR="00394F47">
              <w:rPr>
                <w:noProof/>
                <w:webHidden/>
              </w:rPr>
              <w:fldChar w:fldCharType="separate"/>
            </w:r>
            <w:r w:rsidR="00394F47">
              <w:rPr>
                <w:noProof/>
                <w:webHidden/>
              </w:rPr>
              <w:t>5</w:t>
            </w:r>
            <w:r w:rsidR="00394F47">
              <w:rPr>
                <w:noProof/>
                <w:webHidden/>
              </w:rPr>
              <w:fldChar w:fldCharType="end"/>
            </w:r>
          </w:hyperlink>
        </w:p>
        <w:p w14:paraId="20E604A8" w14:textId="58EC88D3" w:rsidR="00394F47" w:rsidRDefault="0054516C">
          <w:pPr>
            <w:pStyle w:val="TOC1"/>
            <w:rPr>
              <w:rFonts w:eastAsiaTheme="minorEastAsia" w:cstheme="minorBidi"/>
              <w:noProof/>
              <w:szCs w:val="22"/>
              <w:lang w:eastAsia="en-AU"/>
            </w:rPr>
          </w:pPr>
          <w:hyperlink w:anchor="_Toc95839126" w:history="1">
            <w:r w:rsidR="00394F47" w:rsidRPr="00A377C7">
              <w:rPr>
                <w:rStyle w:val="Hyperlink"/>
                <w:noProof/>
              </w:rPr>
              <w:t>Order of spending funds</w:t>
            </w:r>
            <w:r w:rsidR="00394F47">
              <w:rPr>
                <w:noProof/>
                <w:webHidden/>
              </w:rPr>
              <w:tab/>
            </w:r>
            <w:r w:rsidR="00394F47">
              <w:rPr>
                <w:noProof/>
                <w:webHidden/>
              </w:rPr>
              <w:fldChar w:fldCharType="begin"/>
            </w:r>
            <w:r w:rsidR="00394F47">
              <w:rPr>
                <w:noProof/>
                <w:webHidden/>
              </w:rPr>
              <w:instrText xml:space="preserve"> PAGEREF _Toc95839126 \h </w:instrText>
            </w:r>
            <w:r w:rsidR="00394F47">
              <w:rPr>
                <w:noProof/>
                <w:webHidden/>
              </w:rPr>
            </w:r>
            <w:r w:rsidR="00394F47">
              <w:rPr>
                <w:noProof/>
                <w:webHidden/>
              </w:rPr>
              <w:fldChar w:fldCharType="separate"/>
            </w:r>
            <w:r w:rsidR="00394F47">
              <w:rPr>
                <w:noProof/>
                <w:webHidden/>
              </w:rPr>
              <w:t>6</w:t>
            </w:r>
            <w:r w:rsidR="00394F47">
              <w:rPr>
                <w:noProof/>
                <w:webHidden/>
              </w:rPr>
              <w:fldChar w:fldCharType="end"/>
            </w:r>
          </w:hyperlink>
        </w:p>
        <w:p w14:paraId="334D6837" w14:textId="4A2AF2E9" w:rsidR="00394F47" w:rsidRDefault="0054516C">
          <w:pPr>
            <w:pStyle w:val="TOC1"/>
            <w:rPr>
              <w:rFonts w:eastAsiaTheme="minorEastAsia" w:cstheme="minorBidi"/>
              <w:noProof/>
              <w:szCs w:val="22"/>
              <w:lang w:eastAsia="en-AU"/>
            </w:rPr>
          </w:pPr>
          <w:hyperlink w:anchor="_Toc95839127" w:history="1">
            <w:r w:rsidR="00394F47" w:rsidRPr="00A377C7">
              <w:rPr>
                <w:rStyle w:val="Hyperlink"/>
                <w:noProof/>
              </w:rPr>
              <w:t>Income tested care fees</w:t>
            </w:r>
            <w:r w:rsidR="00394F47">
              <w:rPr>
                <w:noProof/>
                <w:webHidden/>
              </w:rPr>
              <w:tab/>
            </w:r>
            <w:r w:rsidR="00394F47">
              <w:rPr>
                <w:noProof/>
                <w:webHidden/>
              </w:rPr>
              <w:fldChar w:fldCharType="begin"/>
            </w:r>
            <w:r w:rsidR="00394F47">
              <w:rPr>
                <w:noProof/>
                <w:webHidden/>
              </w:rPr>
              <w:instrText xml:space="preserve"> PAGEREF _Toc95839127 \h </w:instrText>
            </w:r>
            <w:r w:rsidR="00394F47">
              <w:rPr>
                <w:noProof/>
                <w:webHidden/>
              </w:rPr>
            </w:r>
            <w:r w:rsidR="00394F47">
              <w:rPr>
                <w:noProof/>
                <w:webHidden/>
              </w:rPr>
              <w:fldChar w:fldCharType="separate"/>
            </w:r>
            <w:r w:rsidR="00394F47">
              <w:rPr>
                <w:noProof/>
                <w:webHidden/>
              </w:rPr>
              <w:t>7</w:t>
            </w:r>
            <w:r w:rsidR="00394F47">
              <w:rPr>
                <w:noProof/>
                <w:webHidden/>
              </w:rPr>
              <w:fldChar w:fldCharType="end"/>
            </w:r>
          </w:hyperlink>
        </w:p>
        <w:p w14:paraId="3BA3CEE3" w14:textId="03F382BB" w:rsidR="00394F47" w:rsidRDefault="0054516C">
          <w:pPr>
            <w:pStyle w:val="TOC1"/>
            <w:rPr>
              <w:rFonts w:eastAsiaTheme="minorEastAsia" w:cstheme="minorBidi"/>
              <w:noProof/>
              <w:szCs w:val="22"/>
              <w:lang w:eastAsia="en-AU"/>
            </w:rPr>
          </w:pPr>
          <w:hyperlink w:anchor="_Toc95839128" w:history="1">
            <w:r w:rsidR="00394F47" w:rsidRPr="00A377C7">
              <w:rPr>
                <w:rStyle w:val="Hyperlink"/>
                <w:noProof/>
              </w:rPr>
              <w:t>Basic Daily Fees</w:t>
            </w:r>
            <w:r w:rsidR="00394F47">
              <w:rPr>
                <w:noProof/>
                <w:webHidden/>
              </w:rPr>
              <w:tab/>
            </w:r>
            <w:r w:rsidR="00394F47">
              <w:rPr>
                <w:noProof/>
                <w:webHidden/>
              </w:rPr>
              <w:fldChar w:fldCharType="begin"/>
            </w:r>
            <w:r w:rsidR="00394F47">
              <w:rPr>
                <w:noProof/>
                <w:webHidden/>
              </w:rPr>
              <w:instrText xml:space="preserve"> PAGEREF _Toc95839128 \h </w:instrText>
            </w:r>
            <w:r w:rsidR="00394F47">
              <w:rPr>
                <w:noProof/>
                <w:webHidden/>
              </w:rPr>
            </w:r>
            <w:r w:rsidR="00394F47">
              <w:rPr>
                <w:noProof/>
                <w:webHidden/>
              </w:rPr>
              <w:fldChar w:fldCharType="separate"/>
            </w:r>
            <w:r w:rsidR="00394F47">
              <w:rPr>
                <w:noProof/>
                <w:webHidden/>
              </w:rPr>
              <w:t>10</w:t>
            </w:r>
            <w:r w:rsidR="00394F47">
              <w:rPr>
                <w:noProof/>
                <w:webHidden/>
              </w:rPr>
              <w:fldChar w:fldCharType="end"/>
            </w:r>
          </w:hyperlink>
        </w:p>
        <w:p w14:paraId="1644AA31" w14:textId="193C1097" w:rsidR="00394F47" w:rsidRDefault="0054516C">
          <w:pPr>
            <w:pStyle w:val="TOC1"/>
            <w:rPr>
              <w:rFonts w:eastAsiaTheme="minorEastAsia" w:cstheme="minorBidi"/>
              <w:noProof/>
              <w:szCs w:val="22"/>
              <w:lang w:eastAsia="en-AU"/>
            </w:rPr>
          </w:pPr>
          <w:hyperlink w:anchor="_Toc95839129" w:history="1">
            <w:r w:rsidR="00394F47" w:rsidRPr="00A377C7">
              <w:rPr>
                <w:rStyle w:val="Hyperlink"/>
                <w:noProof/>
              </w:rPr>
              <w:t>Exit fees</w:t>
            </w:r>
            <w:r w:rsidR="00394F47">
              <w:rPr>
                <w:noProof/>
                <w:webHidden/>
              </w:rPr>
              <w:tab/>
            </w:r>
            <w:r w:rsidR="00394F47">
              <w:rPr>
                <w:noProof/>
                <w:webHidden/>
              </w:rPr>
              <w:fldChar w:fldCharType="begin"/>
            </w:r>
            <w:r w:rsidR="00394F47">
              <w:rPr>
                <w:noProof/>
                <w:webHidden/>
              </w:rPr>
              <w:instrText xml:space="preserve"> PAGEREF _Toc95839129 \h </w:instrText>
            </w:r>
            <w:r w:rsidR="00394F47">
              <w:rPr>
                <w:noProof/>
                <w:webHidden/>
              </w:rPr>
            </w:r>
            <w:r w:rsidR="00394F47">
              <w:rPr>
                <w:noProof/>
                <w:webHidden/>
              </w:rPr>
              <w:fldChar w:fldCharType="separate"/>
            </w:r>
            <w:r w:rsidR="00394F47">
              <w:rPr>
                <w:noProof/>
                <w:webHidden/>
              </w:rPr>
              <w:t>10</w:t>
            </w:r>
            <w:r w:rsidR="00394F47">
              <w:rPr>
                <w:noProof/>
                <w:webHidden/>
              </w:rPr>
              <w:fldChar w:fldCharType="end"/>
            </w:r>
          </w:hyperlink>
        </w:p>
        <w:p w14:paraId="6341D777" w14:textId="79F840E9" w:rsidR="00394F47" w:rsidRDefault="0054516C">
          <w:pPr>
            <w:pStyle w:val="TOC1"/>
            <w:rPr>
              <w:rFonts w:eastAsiaTheme="minorEastAsia" w:cstheme="minorBidi"/>
              <w:noProof/>
              <w:szCs w:val="22"/>
              <w:lang w:eastAsia="en-AU"/>
            </w:rPr>
          </w:pPr>
          <w:hyperlink w:anchor="_Toc95839130" w:history="1">
            <w:r w:rsidR="00394F47" w:rsidRPr="00A377C7">
              <w:rPr>
                <w:rStyle w:val="Hyperlink"/>
                <w:noProof/>
              </w:rPr>
              <w:t>Additional care and services</w:t>
            </w:r>
            <w:r w:rsidR="00394F47">
              <w:rPr>
                <w:noProof/>
                <w:webHidden/>
              </w:rPr>
              <w:tab/>
            </w:r>
            <w:r w:rsidR="00394F47">
              <w:rPr>
                <w:noProof/>
                <w:webHidden/>
              </w:rPr>
              <w:fldChar w:fldCharType="begin"/>
            </w:r>
            <w:r w:rsidR="00394F47">
              <w:rPr>
                <w:noProof/>
                <w:webHidden/>
              </w:rPr>
              <w:instrText xml:space="preserve"> PAGEREF _Toc95839130 \h </w:instrText>
            </w:r>
            <w:r w:rsidR="00394F47">
              <w:rPr>
                <w:noProof/>
                <w:webHidden/>
              </w:rPr>
            </w:r>
            <w:r w:rsidR="00394F47">
              <w:rPr>
                <w:noProof/>
                <w:webHidden/>
              </w:rPr>
              <w:fldChar w:fldCharType="separate"/>
            </w:r>
            <w:r w:rsidR="00394F47">
              <w:rPr>
                <w:noProof/>
                <w:webHidden/>
              </w:rPr>
              <w:t>11</w:t>
            </w:r>
            <w:r w:rsidR="00394F47">
              <w:rPr>
                <w:noProof/>
                <w:webHidden/>
              </w:rPr>
              <w:fldChar w:fldCharType="end"/>
            </w:r>
          </w:hyperlink>
        </w:p>
        <w:p w14:paraId="6FF3DCE0" w14:textId="20220CE4" w:rsidR="00394F47" w:rsidRDefault="0054516C">
          <w:pPr>
            <w:pStyle w:val="TOC1"/>
            <w:rPr>
              <w:rFonts w:eastAsiaTheme="minorEastAsia" w:cstheme="minorBidi"/>
              <w:noProof/>
              <w:szCs w:val="22"/>
              <w:lang w:eastAsia="en-AU"/>
            </w:rPr>
          </w:pPr>
          <w:hyperlink w:anchor="_Toc95839131" w:history="1">
            <w:r w:rsidR="00394F47" w:rsidRPr="00A377C7">
              <w:rPr>
                <w:rStyle w:val="Hyperlink"/>
                <w:noProof/>
              </w:rPr>
              <w:t>Business practices</w:t>
            </w:r>
            <w:r w:rsidR="00394F47">
              <w:rPr>
                <w:noProof/>
                <w:webHidden/>
              </w:rPr>
              <w:tab/>
            </w:r>
            <w:r w:rsidR="00394F47">
              <w:rPr>
                <w:noProof/>
                <w:webHidden/>
              </w:rPr>
              <w:fldChar w:fldCharType="begin"/>
            </w:r>
            <w:r w:rsidR="00394F47">
              <w:rPr>
                <w:noProof/>
                <w:webHidden/>
              </w:rPr>
              <w:instrText xml:space="preserve"> PAGEREF _Toc95839131 \h </w:instrText>
            </w:r>
            <w:r w:rsidR="00394F47">
              <w:rPr>
                <w:noProof/>
                <w:webHidden/>
              </w:rPr>
            </w:r>
            <w:r w:rsidR="00394F47">
              <w:rPr>
                <w:noProof/>
                <w:webHidden/>
              </w:rPr>
              <w:fldChar w:fldCharType="separate"/>
            </w:r>
            <w:r w:rsidR="00394F47">
              <w:rPr>
                <w:noProof/>
                <w:webHidden/>
              </w:rPr>
              <w:t>11</w:t>
            </w:r>
            <w:r w:rsidR="00394F47">
              <w:rPr>
                <w:noProof/>
                <w:webHidden/>
              </w:rPr>
              <w:fldChar w:fldCharType="end"/>
            </w:r>
          </w:hyperlink>
        </w:p>
        <w:p w14:paraId="796D65BF" w14:textId="6F972FAF" w:rsidR="00394F47" w:rsidRDefault="0054516C">
          <w:pPr>
            <w:pStyle w:val="TOC1"/>
            <w:rPr>
              <w:rFonts w:eastAsiaTheme="minorEastAsia" w:cstheme="minorBidi"/>
              <w:noProof/>
              <w:szCs w:val="22"/>
              <w:lang w:eastAsia="en-AU"/>
            </w:rPr>
          </w:pPr>
          <w:hyperlink w:anchor="_Toc95839132" w:history="1">
            <w:r w:rsidR="00394F47" w:rsidRPr="00A377C7">
              <w:rPr>
                <w:rStyle w:val="Hyperlink"/>
                <w:noProof/>
              </w:rPr>
              <w:t>Not opting-in to return Commonwealth unspent funds</w:t>
            </w:r>
            <w:r w:rsidR="00394F47">
              <w:rPr>
                <w:noProof/>
                <w:webHidden/>
              </w:rPr>
              <w:tab/>
            </w:r>
            <w:r w:rsidR="00394F47">
              <w:rPr>
                <w:noProof/>
                <w:webHidden/>
              </w:rPr>
              <w:fldChar w:fldCharType="begin"/>
            </w:r>
            <w:r w:rsidR="00394F47">
              <w:rPr>
                <w:noProof/>
                <w:webHidden/>
              </w:rPr>
              <w:instrText xml:space="preserve"> PAGEREF _Toc95839132 \h </w:instrText>
            </w:r>
            <w:r w:rsidR="00394F47">
              <w:rPr>
                <w:noProof/>
                <w:webHidden/>
              </w:rPr>
            </w:r>
            <w:r w:rsidR="00394F47">
              <w:rPr>
                <w:noProof/>
                <w:webHidden/>
              </w:rPr>
              <w:fldChar w:fldCharType="separate"/>
            </w:r>
            <w:r w:rsidR="00394F47">
              <w:rPr>
                <w:noProof/>
                <w:webHidden/>
              </w:rPr>
              <w:t>12</w:t>
            </w:r>
            <w:r w:rsidR="00394F47">
              <w:rPr>
                <w:noProof/>
                <w:webHidden/>
              </w:rPr>
              <w:fldChar w:fldCharType="end"/>
            </w:r>
          </w:hyperlink>
        </w:p>
        <w:p w14:paraId="74E551A3" w14:textId="54729226" w:rsidR="00394F47" w:rsidRDefault="0054516C">
          <w:pPr>
            <w:pStyle w:val="TOC1"/>
            <w:rPr>
              <w:rFonts w:eastAsiaTheme="minorEastAsia" w:cstheme="minorBidi"/>
              <w:noProof/>
              <w:szCs w:val="22"/>
              <w:lang w:eastAsia="en-AU"/>
            </w:rPr>
          </w:pPr>
          <w:hyperlink w:anchor="_Toc95839133" w:history="1">
            <w:r w:rsidR="00394F47" w:rsidRPr="00A377C7">
              <w:rPr>
                <w:rStyle w:val="Hyperlink"/>
                <w:noProof/>
              </w:rPr>
              <w:t>Transfers between providers (including services under the same provider)</w:t>
            </w:r>
            <w:r w:rsidR="00394F47">
              <w:rPr>
                <w:noProof/>
                <w:webHidden/>
              </w:rPr>
              <w:tab/>
            </w:r>
            <w:r w:rsidR="00394F47">
              <w:rPr>
                <w:noProof/>
                <w:webHidden/>
              </w:rPr>
              <w:fldChar w:fldCharType="begin"/>
            </w:r>
            <w:r w:rsidR="00394F47">
              <w:rPr>
                <w:noProof/>
                <w:webHidden/>
              </w:rPr>
              <w:instrText xml:space="preserve"> PAGEREF _Toc95839133 \h </w:instrText>
            </w:r>
            <w:r w:rsidR="00394F47">
              <w:rPr>
                <w:noProof/>
                <w:webHidden/>
              </w:rPr>
            </w:r>
            <w:r w:rsidR="00394F47">
              <w:rPr>
                <w:noProof/>
                <w:webHidden/>
              </w:rPr>
              <w:fldChar w:fldCharType="separate"/>
            </w:r>
            <w:r w:rsidR="00394F47">
              <w:rPr>
                <w:noProof/>
                <w:webHidden/>
              </w:rPr>
              <w:t>13</w:t>
            </w:r>
            <w:r w:rsidR="00394F47">
              <w:rPr>
                <w:noProof/>
                <w:webHidden/>
              </w:rPr>
              <w:fldChar w:fldCharType="end"/>
            </w:r>
          </w:hyperlink>
        </w:p>
        <w:p w14:paraId="1C79C0CB" w14:textId="34BC5CC5" w:rsidR="00394F47" w:rsidRDefault="0054516C">
          <w:pPr>
            <w:pStyle w:val="TOC1"/>
            <w:rPr>
              <w:rFonts w:eastAsiaTheme="minorEastAsia" w:cstheme="minorBidi"/>
              <w:noProof/>
              <w:szCs w:val="22"/>
              <w:lang w:eastAsia="en-AU"/>
            </w:rPr>
          </w:pPr>
          <w:hyperlink w:anchor="_Toc95839134" w:history="1">
            <w:r w:rsidR="00394F47" w:rsidRPr="00A377C7">
              <w:rPr>
                <w:rStyle w:val="Hyperlink"/>
                <w:noProof/>
              </w:rPr>
              <w:t>Reconciliation</w:t>
            </w:r>
            <w:r w:rsidR="00394F47">
              <w:rPr>
                <w:noProof/>
                <w:webHidden/>
              </w:rPr>
              <w:tab/>
            </w:r>
            <w:r w:rsidR="00394F47">
              <w:rPr>
                <w:noProof/>
                <w:webHidden/>
              </w:rPr>
              <w:fldChar w:fldCharType="begin"/>
            </w:r>
            <w:r w:rsidR="00394F47">
              <w:rPr>
                <w:noProof/>
                <w:webHidden/>
              </w:rPr>
              <w:instrText xml:space="preserve"> PAGEREF _Toc95839134 \h </w:instrText>
            </w:r>
            <w:r w:rsidR="00394F47">
              <w:rPr>
                <w:noProof/>
                <w:webHidden/>
              </w:rPr>
            </w:r>
            <w:r w:rsidR="00394F47">
              <w:rPr>
                <w:noProof/>
                <w:webHidden/>
              </w:rPr>
              <w:fldChar w:fldCharType="separate"/>
            </w:r>
            <w:r w:rsidR="00394F47">
              <w:rPr>
                <w:noProof/>
                <w:webHidden/>
              </w:rPr>
              <w:t>16</w:t>
            </w:r>
            <w:r w:rsidR="00394F47">
              <w:rPr>
                <w:noProof/>
                <w:webHidden/>
              </w:rPr>
              <w:fldChar w:fldCharType="end"/>
            </w:r>
          </w:hyperlink>
        </w:p>
        <w:p w14:paraId="05E5F8DA" w14:textId="5329B790" w:rsidR="00394F47" w:rsidRDefault="0054516C">
          <w:pPr>
            <w:pStyle w:val="TOC1"/>
            <w:rPr>
              <w:rFonts w:eastAsiaTheme="minorEastAsia" w:cstheme="minorBidi"/>
              <w:noProof/>
              <w:szCs w:val="22"/>
              <w:lang w:eastAsia="en-AU"/>
            </w:rPr>
          </w:pPr>
          <w:hyperlink w:anchor="_Toc95839135" w:history="1">
            <w:r w:rsidR="00394F47" w:rsidRPr="00A377C7">
              <w:rPr>
                <w:rStyle w:val="Hyperlink"/>
                <w:noProof/>
              </w:rPr>
              <w:t>Monthly Statements and reporting to care recipients</w:t>
            </w:r>
            <w:r w:rsidR="00394F47">
              <w:rPr>
                <w:noProof/>
                <w:webHidden/>
              </w:rPr>
              <w:tab/>
            </w:r>
            <w:r w:rsidR="00394F47">
              <w:rPr>
                <w:noProof/>
                <w:webHidden/>
              </w:rPr>
              <w:fldChar w:fldCharType="begin"/>
            </w:r>
            <w:r w:rsidR="00394F47">
              <w:rPr>
                <w:noProof/>
                <w:webHidden/>
              </w:rPr>
              <w:instrText xml:space="preserve"> PAGEREF _Toc95839135 \h </w:instrText>
            </w:r>
            <w:r w:rsidR="00394F47">
              <w:rPr>
                <w:noProof/>
                <w:webHidden/>
              </w:rPr>
            </w:r>
            <w:r w:rsidR="00394F47">
              <w:rPr>
                <w:noProof/>
                <w:webHidden/>
              </w:rPr>
              <w:fldChar w:fldCharType="separate"/>
            </w:r>
            <w:r w:rsidR="00394F47">
              <w:rPr>
                <w:noProof/>
                <w:webHidden/>
              </w:rPr>
              <w:t>16</w:t>
            </w:r>
            <w:r w:rsidR="00394F47">
              <w:rPr>
                <w:noProof/>
                <w:webHidden/>
              </w:rPr>
              <w:fldChar w:fldCharType="end"/>
            </w:r>
          </w:hyperlink>
        </w:p>
        <w:p w14:paraId="62887326" w14:textId="37CA1A5E" w:rsidR="00394F47" w:rsidRDefault="0054516C">
          <w:pPr>
            <w:pStyle w:val="TOC1"/>
            <w:rPr>
              <w:rFonts w:eastAsiaTheme="minorEastAsia" w:cstheme="minorBidi"/>
              <w:noProof/>
              <w:szCs w:val="22"/>
              <w:lang w:eastAsia="en-AU"/>
            </w:rPr>
          </w:pPr>
          <w:hyperlink w:anchor="_Toc95839136" w:history="1">
            <w:r w:rsidR="00394F47" w:rsidRPr="00A377C7">
              <w:rPr>
                <w:rStyle w:val="Hyperlink"/>
                <w:noProof/>
              </w:rPr>
              <w:t>System Issues</w:t>
            </w:r>
            <w:r w:rsidR="00394F47">
              <w:rPr>
                <w:noProof/>
                <w:webHidden/>
              </w:rPr>
              <w:tab/>
            </w:r>
            <w:r w:rsidR="00394F47">
              <w:rPr>
                <w:noProof/>
                <w:webHidden/>
              </w:rPr>
              <w:fldChar w:fldCharType="begin"/>
            </w:r>
            <w:r w:rsidR="00394F47">
              <w:rPr>
                <w:noProof/>
                <w:webHidden/>
              </w:rPr>
              <w:instrText xml:space="preserve"> PAGEREF _Toc95839136 \h </w:instrText>
            </w:r>
            <w:r w:rsidR="00394F47">
              <w:rPr>
                <w:noProof/>
                <w:webHidden/>
              </w:rPr>
            </w:r>
            <w:r w:rsidR="00394F47">
              <w:rPr>
                <w:noProof/>
                <w:webHidden/>
              </w:rPr>
              <w:fldChar w:fldCharType="separate"/>
            </w:r>
            <w:r w:rsidR="00394F47">
              <w:rPr>
                <w:noProof/>
                <w:webHidden/>
              </w:rPr>
              <w:t>18</w:t>
            </w:r>
            <w:r w:rsidR="00394F47">
              <w:rPr>
                <w:noProof/>
                <w:webHidden/>
              </w:rPr>
              <w:fldChar w:fldCharType="end"/>
            </w:r>
          </w:hyperlink>
        </w:p>
        <w:p w14:paraId="2F63BDEE" w14:textId="6CFBE5D4" w:rsidR="0042219F" w:rsidRDefault="0042219F">
          <w:r>
            <w:fldChar w:fldCharType="end"/>
          </w:r>
        </w:p>
      </w:sdtContent>
    </w:sdt>
    <w:p w14:paraId="699FBDB9" w14:textId="5B0BBD00" w:rsidR="00E51CE4" w:rsidRDefault="0055051B">
      <w:r>
        <w:rPr>
          <w:b/>
          <w:bCs/>
          <w:color w:val="3374B8"/>
          <w:sz w:val="28"/>
          <w:szCs w:val="28"/>
          <w:lang w:val="en-US"/>
        </w:rPr>
        <w:t>Version History</w:t>
      </w:r>
    </w:p>
    <w:tbl>
      <w:tblPr>
        <w:tblStyle w:val="TableGrid"/>
        <w:tblW w:w="0" w:type="auto"/>
        <w:tblLook w:val="04A0" w:firstRow="1" w:lastRow="0" w:firstColumn="1" w:lastColumn="0" w:noHBand="0" w:noVBand="1"/>
      </w:tblPr>
      <w:tblGrid>
        <w:gridCol w:w="988"/>
        <w:gridCol w:w="1559"/>
        <w:gridCol w:w="2268"/>
        <w:gridCol w:w="4201"/>
      </w:tblGrid>
      <w:tr w:rsidR="0055051B" w14:paraId="008EA503" w14:textId="77777777" w:rsidTr="00541641">
        <w:tc>
          <w:tcPr>
            <w:tcW w:w="988" w:type="dxa"/>
            <w:shd w:val="clear" w:color="auto" w:fill="D9E2F3" w:themeFill="accent5" w:themeFillTint="33"/>
          </w:tcPr>
          <w:p w14:paraId="54193B20" w14:textId="5E878CBE" w:rsidR="0055051B" w:rsidRDefault="0055051B">
            <w:bookmarkStart w:id="6" w:name="_Hlk80952779"/>
            <w:r>
              <w:t>Version</w:t>
            </w:r>
          </w:p>
        </w:tc>
        <w:tc>
          <w:tcPr>
            <w:tcW w:w="1559" w:type="dxa"/>
            <w:shd w:val="clear" w:color="auto" w:fill="D9E2F3" w:themeFill="accent5" w:themeFillTint="33"/>
          </w:tcPr>
          <w:p w14:paraId="23A80076" w14:textId="67E194E0" w:rsidR="0055051B" w:rsidRDefault="0055051B">
            <w:r>
              <w:t>Date</w:t>
            </w:r>
          </w:p>
        </w:tc>
        <w:tc>
          <w:tcPr>
            <w:tcW w:w="2268" w:type="dxa"/>
            <w:shd w:val="clear" w:color="auto" w:fill="D9E2F3" w:themeFill="accent5" w:themeFillTint="33"/>
          </w:tcPr>
          <w:p w14:paraId="380B4AD0" w14:textId="009FD75C" w:rsidR="0055051B" w:rsidRDefault="0055051B">
            <w:r>
              <w:t>Q&amp;As added</w:t>
            </w:r>
          </w:p>
        </w:tc>
        <w:tc>
          <w:tcPr>
            <w:tcW w:w="4201" w:type="dxa"/>
            <w:shd w:val="clear" w:color="auto" w:fill="D9E2F3" w:themeFill="accent5" w:themeFillTint="33"/>
          </w:tcPr>
          <w:p w14:paraId="7F266F74" w14:textId="0F159F2C" w:rsidR="0055051B" w:rsidRDefault="0055051B">
            <w:r>
              <w:t>Q&amp;As edited*</w:t>
            </w:r>
          </w:p>
        </w:tc>
      </w:tr>
      <w:tr w:rsidR="0055051B" w14:paraId="4B424C21" w14:textId="77777777" w:rsidTr="00541641">
        <w:tc>
          <w:tcPr>
            <w:tcW w:w="988" w:type="dxa"/>
          </w:tcPr>
          <w:p w14:paraId="403AFEAC" w14:textId="337C28D9" w:rsidR="0055051B" w:rsidRDefault="0055051B">
            <w:r>
              <w:t>1.0</w:t>
            </w:r>
          </w:p>
        </w:tc>
        <w:tc>
          <w:tcPr>
            <w:tcW w:w="1559" w:type="dxa"/>
          </w:tcPr>
          <w:p w14:paraId="3A2188A0" w14:textId="66FE2E16" w:rsidR="0055051B" w:rsidRDefault="0055051B">
            <w:r>
              <w:t>17.08.2021</w:t>
            </w:r>
          </w:p>
        </w:tc>
        <w:tc>
          <w:tcPr>
            <w:tcW w:w="2268" w:type="dxa"/>
          </w:tcPr>
          <w:p w14:paraId="0DF9EBC5" w14:textId="6D32AD04" w:rsidR="0055051B" w:rsidRDefault="0055051B">
            <w:r>
              <w:t>All</w:t>
            </w:r>
          </w:p>
        </w:tc>
        <w:tc>
          <w:tcPr>
            <w:tcW w:w="4201" w:type="dxa"/>
          </w:tcPr>
          <w:p w14:paraId="338332D8" w14:textId="4CA6C9C7" w:rsidR="0055051B" w:rsidRDefault="0055051B">
            <w:r>
              <w:t>N/A</w:t>
            </w:r>
          </w:p>
        </w:tc>
      </w:tr>
      <w:tr w:rsidR="0055051B" w14:paraId="7A55A841" w14:textId="77777777" w:rsidTr="00541641">
        <w:tc>
          <w:tcPr>
            <w:tcW w:w="988" w:type="dxa"/>
          </w:tcPr>
          <w:p w14:paraId="4311DDD1" w14:textId="16E3CE58" w:rsidR="0055051B" w:rsidRDefault="0055051B" w:rsidP="0055051B">
            <w:r>
              <w:t>1.1</w:t>
            </w:r>
          </w:p>
        </w:tc>
        <w:tc>
          <w:tcPr>
            <w:tcW w:w="1559" w:type="dxa"/>
          </w:tcPr>
          <w:p w14:paraId="1F776ABA" w14:textId="3C87C8FC" w:rsidR="0055051B" w:rsidRDefault="0055051B" w:rsidP="0055051B">
            <w:r>
              <w:t>24.08.2021</w:t>
            </w:r>
          </w:p>
        </w:tc>
        <w:tc>
          <w:tcPr>
            <w:tcW w:w="2268" w:type="dxa"/>
          </w:tcPr>
          <w:p w14:paraId="43462634" w14:textId="4036496F" w:rsidR="0055051B" w:rsidRDefault="0055051B" w:rsidP="0055051B">
            <w:r>
              <w:t>N/A</w:t>
            </w:r>
          </w:p>
        </w:tc>
        <w:tc>
          <w:tcPr>
            <w:tcW w:w="4201" w:type="dxa"/>
          </w:tcPr>
          <w:p w14:paraId="7534816A" w14:textId="7DABF1A6" w:rsidR="0055051B" w:rsidRDefault="0055051B" w:rsidP="0055051B">
            <w:r>
              <w:t>27</w:t>
            </w:r>
          </w:p>
        </w:tc>
      </w:tr>
      <w:tr w:rsidR="0055051B" w14:paraId="084FC520" w14:textId="77777777" w:rsidTr="00541641">
        <w:tc>
          <w:tcPr>
            <w:tcW w:w="988" w:type="dxa"/>
          </w:tcPr>
          <w:p w14:paraId="3328BF46" w14:textId="2DBB67AA" w:rsidR="0055051B" w:rsidRDefault="0055051B" w:rsidP="0055051B">
            <w:r>
              <w:t>1.2</w:t>
            </w:r>
          </w:p>
        </w:tc>
        <w:tc>
          <w:tcPr>
            <w:tcW w:w="1559" w:type="dxa"/>
          </w:tcPr>
          <w:p w14:paraId="616D8F27" w14:textId="3248EFEA" w:rsidR="0055051B" w:rsidRDefault="0055051B" w:rsidP="0055051B">
            <w:r>
              <w:t>27.08.2021</w:t>
            </w:r>
          </w:p>
        </w:tc>
        <w:tc>
          <w:tcPr>
            <w:tcW w:w="2268" w:type="dxa"/>
          </w:tcPr>
          <w:p w14:paraId="4319AED3" w14:textId="32BADFCD" w:rsidR="0055051B" w:rsidRDefault="0055051B" w:rsidP="0055051B">
            <w:r>
              <w:t>9</w:t>
            </w:r>
            <w:r w:rsidR="00E93757">
              <w:t>, 21</w:t>
            </w:r>
          </w:p>
        </w:tc>
        <w:tc>
          <w:tcPr>
            <w:tcW w:w="4201" w:type="dxa"/>
          </w:tcPr>
          <w:p w14:paraId="4B549E75" w14:textId="6BEADAE7" w:rsidR="0055051B" w:rsidRDefault="0055051B" w:rsidP="0055051B">
            <w:r>
              <w:t xml:space="preserve">6, 7, 8, 19, 20, </w:t>
            </w:r>
            <w:r w:rsidR="003D2FF8">
              <w:t xml:space="preserve">21, </w:t>
            </w:r>
            <w:r>
              <w:t xml:space="preserve">22, </w:t>
            </w:r>
            <w:r w:rsidR="00E93757">
              <w:t xml:space="preserve">23, </w:t>
            </w:r>
            <w:r>
              <w:t xml:space="preserve">25, </w:t>
            </w:r>
            <w:r w:rsidR="00E93757">
              <w:t>26,29,</w:t>
            </w:r>
            <w:r>
              <w:t xml:space="preserve"> 3</w:t>
            </w:r>
            <w:r w:rsidR="00E93757">
              <w:t>8</w:t>
            </w:r>
            <w:r>
              <w:t>, 43</w:t>
            </w:r>
          </w:p>
        </w:tc>
      </w:tr>
      <w:tr w:rsidR="003D2FF8" w14:paraId="31463B86" w14:textId="77777777" w:rsidTr="00541641">
        <w:tc>
          <w:tcPr>
            <w:tcW w:w="988" w:type="dxa"/>
          </w:tcPr>
          <w:p w14:paraId="40A80C91" w14:textId="3A42D69C" w:rsidR="003D2FF8" w:rsidRDefault="003D2FF8" w:rsidP="0055051B">
            <w:r>
              <w:t>1.3</w:t>
            </w:r>
          </w:p>
        </w:tc>
        <w:tc>
          <w:tcPr>
            <w:tcW w:w="1559" w:type="dxa"/>
          </w:tcPr>
          <w:p w14:paraId="09F6E9A0" w14:textId="555B8BC5" w:rsidR="003D2FF8" w:rsidRDefault="003D2FF8" w:rsidP="0055051B">
            <w:r>
              <w:t>31.08.2021</w:t>
            </w:r>
          </w:p>
        </w:tc>
        <w:tc>
          <w:tcPr>
            <w:tcW w:w="2268" w:type="dxa"/>
          </w:tcPr>
          <w:p w14:paraId="606D5585" w14:textId="3BB3883F" w:rsidR="003D2FF8" w:rsidRDefault="003D2FF8" w:rsidP="0055051B">
            <w:r>
              <w:t>N/A</w:t>
            </w:r>
          </w:p>
        </w:tc>
        <w:tc>
          <w:tcPr>
            <w:tcW w:w="4201" w:type="dxa"/>
          </w:tcPr>
          <w:p w14:paraId="5D76CA92" w14:textId="684E6AC5" w:rsidR="003D2FF8" w:rsidRDefault="00595896" w:rsidP="0055051B">
            <w:r>
              <w:t xml:space="preserve">8, 9, 12, 14, 21, </w:t>
            </w:r>
            <w:r w:rsidRPr="00AA24AE">
              <w:t>23, 24, 28, 35, 38, 44</w:t>
            </w:r>
            <w:r>
              <w:t>, 54</w:t>
            </w:r>
          </w:p>
        </w:tc>
      </w:tr>
      <w:tr w:rsidR="00AD4210" w14:paraId="422A8D72" w14:textId="77777777" w:rsidTr="00541641">
        <w:tc>
          <w:tcPr>
            <w:tcW w:w="988" w:type="dxa"/>
          </w:tcPr>
          <w:p w14:paraId="22E9F946" w14:textId="0D4D63C1" w:rsidR="00AD4210" w:rsidRDefault="00AD4210" w:rsidP="0055051B">
            <w:r>
              <w:t>1.4</w:t>
            </w:r>
          </w:p>
        </w:tc>
        <w:tc>
          <w:tcPr>
            <w:tcW w:w="1559" w:type="dxa"/>
          </w:tcPr>
          <w:p w14:paraId="050CB93E" w14:textId="15EEC96E" w:rsidR="00AD4210" w:rsidRDefault="00EB071F" w:rsidP="0055051B">
            <w:r>
              <w:t>17</w:t>
            </w:r>
            <w:r w:rsidR="00AD4210">
              <w:t>.09.2021</w:t>
            </w:r>
          </w:p>
        </w:tc>
        <w:tc>
          <w:tcPr>
            <w:tcW w:w="2268" w:type="dxa"/>
          </w:tcPr>
          <w:p w14:paraId="542B2596" w14:textId="48EDD339" w:rsidR="00AD4210" w:rsidRDefault="00EB071F" w:rsidP="0055051B">
            <w:r>
              <w:t xml:space="preserve">30, 39, 43, </w:t>
            </w:r>
          </w:p>
        </w:tc>
        <w:tc>
          <w:tcPr>
            <w:tcW w:w="4201" w:type="dxa"/>
          </w:tcPr>
          <w:p w14:paraId="164DCFD3" w14:textId="59C0E98E" w:rsidR="00AD4210" w:rsidRDefault="00EB071F" w:rsidP="0055051B">
            <w:r>
              <w:t>1, 4, 6, 21, 29, 36, 42, 47</w:t>
            </w:r>
          </w:p>
        </w:tc>
      </w:tr>
      <w:tr w:rsidR="008C2B67" w14:paraId="72F75516" w14:textId="77777777" w:rsidTr="00541641">
        <w:tc>
          <w:tcPr>
            <w:tcW w:w="988" w:type="dxa"/>
          </w:tcPr>
          <w:p w14:paraId="3920FB93" w14:textId="3326EBF9" w:rsidR="008C2B67" w:rsidRDefault="008C2B67" w:rsidP="0055051B">
            <w:r>
              <w:t>1.5</w:t>
            </w:r>
          </w:p>
        </w:tc>
        <w:tc>
          <w:tcPr>
            <w:tcW w:w="1559" w:type="dxa"/>
          </w:tcPr>
          <w:p w14:paraId="4160077A" w14:textId="65491A89" w:rsidR="008C2B67" w:rsidRDefault="007A3C72" w:rsidP="0055051B">
            <w:r>
              <w:t>05</w:t>
            </w:r>
            <w:r w:rsidR="008C2B67">
              <w:t>.</w:t>
            </w:r>
            <w:r>
              <w:t>10</w:t>
            </w:r>
            <w:r w:rsidR="008C2B67">
              <w:t>.2021</w:t>
            </w:r>
          </w:p>
        </w:tc>
        <w:tc>
          <w:tcPr>
            <w:tcW w:w="2268" w:type="dxa"/>
          </w:tcPr>
          <w:p w14:paraId="1C0B9B54" w14:textId="0857511E" w:rsidR="008C2B67" w:rsidRDefault="00541641" w:rsidP="0055051B">
            <w:r>
              <w:t>27, 46</w:t>
            </w:r>
          </w:p>
        </w:tc>
        <w:tc>
          <w:tcPr>
            <w:tcW w:w="4201" w:type="dxa"/>
          </w:tcPr>
          <w:p w14:paraId="0452AE5A" w14:textId="27FE0380" w:rsidR="008C2B67" w:rsidRDefault="00541641" w:rsidP="0055051B">
            <w:r>
              <w:t>17, 41, 51</w:t>
            </w:r>
          </w:p>
        </w:tc>
      </w:tr>
      <w:tr w:rsidR="00FB1B33" w14:paraId="2333F937" w14:textId="77777777" w:rsidTr="00541641">
        <w:tc>
          <w:tcPr>
            <w:tcW w:w="988" w:type="dxa"/>
          </w:tcPr>
          <w:p w14:paraId="23B46BBE" w14:textId="10270F72" w:rsidR="00FB1B33" w:rsidRDefault="00FB1B33" w:rsidP="0055051B">
            <w:r>
              <w:t>1.6</w:t>
            </w:r>
          </w:p>
        </w:tc>
        <w:tc>
          <w:tcPr>
            <w:tcW w:w="1559" w:type="dxa"/>
          </w:tcPr>
          <w:p w14:paraId="5B961EC1" w14:textId="6A6778B1" w:rsidR="00FB1B33" w:rsidRDefault="000B1E49" w:rsidP="0055051B">
            <w:r>
              <w:t>0</w:t>
            </w:r>
            <w:r w:rsidR="00FB1B33">
              <w:t>5.1</w:t>
            </w:r>
            <w:r>
              <w:t>1</w:t>
            </w:r>
            <w:r w:rsidR="00FB1B33">
              <w:t>.2021</w:t>
            </w:r>
          </w:p>
        </w:tc>
        <w:tc>
          <w:tcPr>
            <w:tcW w:w="2268" w:type="dxa"/>
          </w:tcPr>
          <w:p w14:paraId="2926BDF0" w14:textId="0B444160" w:rsidR="00FB1B33" w:rsidRDefault="00FB1B33" w:rsidP="0055051B">
            <w:r>
              <w:t>4</w:t>
            </w:r>
            <w:r w:rsidR="00800650">
              <w:t>5</w:t>
            </w:r>
          </w:p>
        </w:tc>
        <w:tc>
          <w:tcPr>
            <w:tcW w:w="4201" w:type="dxa"/>
          </w:tcPr>
          <w:p w14:paraId="4E516246" w14:textId="2B582C47" w:rsidR="00FB1B33" w:rsidRDefault="00800650" w:rsidP="0055051B">
            <w:r>
              <w:t>10</w:t>
            </w:r>
            <w:r w:rsidR="00297682">
              <w:t>, 21</w:t>
            </w:r>
          </w:p>
        </w:tc>
      </w:tr>
      <w:tr w:rsidR="0086307F" w14:paraId="1961FC45" w14:textId="77777777" w:rsidTr="00541641">
        <w:tc>
          <w:tcPr>
            <w:tcW w:w="988" w:type="dxa"/>
          </w:tcPr>
          <w:p w14:paraId="560DA4C8" w14:textId="1B9971A3" w:rsidR="0086307F" w:rsidRDefault="0086307F" w:rsidP="0055051B">
            <w:r>
              <w:t>1.7</w:t>
            </w:r>
          </w:p>
        </w:tc>
        <w:tc>
          <w:tcPr>
            <w:tcW w:w="1559" w:type="dxa"/>
          </w:tcPr>
          <w:p w14:paraId="6477812B" w14:textId="6CC576A0" w:rsidR="0086307F" w:rsidRDefault="00074CB3" w:rsidP="0055051B">
            <w:r>
              <w:t>18</w:t>
            </w:r>
            <w:r w:rsidR="0086307F">
              <w:t>.0</w:t>
            </w:r>
            <w:r>
              <w:t>2</w:t>
            </w:r>
            <w:r w:rsidR="0086307F">
              <w:t>.2022</w:t>
            </w:r>
          </w:p>
        </w:tc>
        <w:tc>
          <w:tcPr>
            <w:tcW w:w="2268" w:type="dxa"/>
          </w:tcPr>
          <w:p w14:paraId="57A339C4" w14:textId="51FD480C" w:rsidR="0086307F" w:rsidRDefault="00074CB3" w:rsidP="0055051B">
            <w:r>
              <w:t>41</w:t>
            </w:r>
            <w:r w:rsidR="00394F47">
              <w:t>, 53</w:t>
            </w:r>
          </w:p>
        </w:tc>
        <w:tc>
          <w:tcPr>
            <w:tcW w:w="4201" w:type="dxa"/>
          </w:tcPr>
          <w:p w14:paraId="2BEC0AAB" w14:textId="6822CE4A" w:rsidR="0086307F" w:rsidRDefault="00394F47" w:rsidP="0055051B">
            <w:r>
              <w:t xml:space="preserve">12, </w:t>
            </w:r>
            <w:r w:rsidR="004A3675">
              <w:t>26</w:t>
            </w:r>
            <w:r>
              <w:t xml:space="preserve">, </w:t>
            </w:r>
            <w:r w:rsidR="00271826">
              <w:t xml:space="preserve">37, 39, 44, </w:t>
            </w:r>
            <w:r>
              <w:t>53, 54</w:t>
            </w:r>
          </w:p>
        </w:tc>
      </w:tr>
    </w:tbl>
    <w:bookmarkEnd w:id="6"/>
    <w:p w14:paraId="161FF9CB" w14:textId="629C5226" w:rsidR="00E51CE4" w:rsidRDefault="0055051B">
      <w:r>
        <w:t>* Question numbers are accurate at the relevant version of the document</w:t>
      </w:r>
    </w:p>
    <w:p w14:paraId="779B98E2" w14:textId="7071617F" w:rsidR="00F71F06" w:rsidRPr="00001655" w:rsidRDefault="00F71F06" w:rsidP="00001655">
      <w:pPr>
        <w:pStyle w:val="Heading1"/>
      </w:pPr>
      <w:bookmarkStart w:id="7" w:name="_Toc95839123"/>
      <w:r w:rsidRPr="00001655">
        <w:lastRenderedPageBreak/>
        <w:t>Definitions</w:t>
      </w:r>
      <w:bookmarkEnd w:id="7"/>
    </w:p>
    <w:p w14:paraId="610EFC06" w14:textId="70EEE3CC" w:rsidR="00F71F06" w:rsidRPr="00001655" w:rsidRDefault="00F71F06" w:rsidP="00AA67AC">
      <w:pPr>
        <w:pStyle w:val="Heading2"/>
        <w:numPr>
          <w:ilvl w:val="0"/>
          <w:numId w:val="5"/>
        </w:numPr>
        <w:ind w:left="426"/>
      </w:pPr>
      <w:bookmarkStart w:id="8" w:name="_What_is_the"/>
      <w:bookmarkEnd w:id="8"/>
      <w:r w:rsidRPr="00001655">
        <w:t>What is the price?</w:t>
      </w:r>
    </w:p>
    <w:p w14:paraId="5FC32DCA" w14:textId="15A1652A" w:rsidR="00A25BBD" w:rsidRDefault="00F71F06" w:rsidP="00393E2D">
      <w:r w:rsidRPr="007F4EB7">
        <w:t xml:space="preserve">The </w:t>
      </w:r>
      <w:r w:rsidRPr="00A25BBD">
        <w:rPr>
          <w:b/>
          <w:bCs/>
        </w:rPr>
        <w:t>price</w:t>
      </w:r>
      <w:r w:rsidRPr="007F4EB7">
        <w:t xml:space="preserve"> is</w:t>
      </w:r>
      <w:r w:rsidR="00A25BBD">
        <w:t xml:space="preserve"> the amount that providers report to Services Australia in their claim. Providers will report the price per care </w:t>
      </w:r>
      <w:r w:rsidR="00A25BBD" w:rsidRPr="00393E2D">
        <w:t>recipient, each month.</w:t>
      </w:r>
      <w:r w:rsidR="00F77063">
        <w:t xml:space="preserve"> </w:t>
      </w:r>
      <w:r w:rsidR="00F77063" w:rsidRPr="0024744B">
        <w:t xml:space="preserve">Please note, Services Australia refers to the price as the </w:t>
      </w:r>
      <w:r w:rsidR="00F77063" w:rsidRPr="0024744B">
        <w:rPr>
          <w:b/>
          <w:bCs/>
        </w:rPr>
        <w:t>invoice amount</w:t>
      </w:r>
      <w:r w:rsidR="00F77063" w:rsidRPr="0024744B">
        <w:t>.</w:t>
      </w:r>
      <w:r w:rsidR="00CC1EE4">
        <w:t xml:space="preserve"> </w:t>
      </w:r>
    </w:p>
    <w:p w14:paraId="7314E81E" w14:textId="73CA3174" w:rsidR="00B50A2A" w:rsidRDefault="00A25BBD" w:rsidP="00393E2D">
      <w:r>
        <w:t xml:space="preserve">The definition of </w:t>
      </w:r>
      <w:r w:rsidRPr="00A25BBD">
        <w:t>price</w:t>
      </w:r>
      <w:r>
        <w:t xml:space="preserve"> is</w:t>
      </w:r>
      <w:r w:rsidR="00F71F06" w:rsidRPr="007F4EB7">
        <w:t xml:space="preserve"> </w:t>
      </w:r>
      <w:r w:rsidR="00F71F06" w:rsidRPr="00A25BBD">
        <w:t>the cost of care and services provided</w:t>
      </w:r>
      <w:r w:rsidR="00F71F06" w:rsidRPr="007F4EB7">
        <w:t xml:space="preserve"> to the care recipient</w:t>
      </w:r>
      <w:r w:rsidR="00E24DB7">
        <w:t xml:space="preserve"> in the </w:t>
      </w:r>
      <w:r w:rsidR="00AC3948">
        <w:t xml:space="preserve">claim </w:t>
      </w:r>
      <w:r w:rsidR="00E24DB7">
        <w:t>period</w:t>
      </w:r>
      <w:r w:rsidR="00F71F06" w:rsidRPr="007F4EB7">
        <w:t xml:space="preserve">, </w:t>
      </w:r>
      <w:r w:rsidR="00F71F06" w:rsidRPr="001D4559">
        <w:rPr>
          <w:b/>
          <w:bCs/>
        </w:rPr>
        <w:t>minus</w:t>
      </w:r>
      <w:r w:rsidR="00F71F06" w:rsidRPr="00A25BBD">
        <w:t xml:space="preserve"> any </w:t>
      </w:r>
      <w:hyperlink r:id="rId8" w:anchor="basic-daily-fee" w:history="1">
        <w:r w:rsidR="007B720A" w:rsidRPr="00B954C4">
          <w:rPr>
            <w:rStyle w:val="Hyperlink"/>
          </w:rPr>
          <w:t xml:space="preserve">Basic Daily </w:t>
        </w:r>
        <w:r w:rsidR="00B954C4" w:rsidRPr="00B954C4">
          <w:rPr>
            <w:rStyle w:val="Hyperlink"/>
          </w:rPr>
          <w:t>Fee</w:t>
        </w:r>
      </w:hyperlink>
      <w:r w:rsidR="00B954C4">
        <w:t xml:space="preserve"> </w:t>
      </w:r>
      <w:r w:rsidR="00B50A2A">
        <w:t>and any a</w:t>
      </w:r>
      <w:r w:rsidR="00B50A2A" w:rsidRPr="00A25BBD">
        <w:t xml:space="preserve">dditional </w:t>
      </w:r>
      <w:r w:rsidR="00B50A2A">
        <w:t>s</w:t>
      </w:r>
      <w:r w:rsidR="00B50A2A" w:rsidRPr="00A25BBD">
        <w:t xml:space="preserve">ervice </w:t>
      </w:r>
      <w:r w:rsidR="00C24183">
        <w:t>charges</w:t>
      </w:r>
      <w:r w:rsidR="00C24183" w:rsidRPr="00A25BBD">
        <w:t xml:space="preserve"> </w:t>
      </w:r>
      <w:r w:rsidR="00B50A2A">
        <w:t xml:space="preserve">(if collected). </w:t>
      </w:r>
    </w:p>
    <w:p w14:paraId="46F92418" w14:textId="77777777" w:rsidR="007A21D6" w:rsidRDefault="007A21D6" w:rsidP="007A21D6">
      <w:pPr>
        <w:spacing w:after="0"/>
      </w:pPr>
      <w:r>
        <w:t>Providers must claim from Services Australia:</w:t>
      </w:r>
    </w:p>
    <w:p w14:paraId="5EEA8B6D" w14:textId="77777777" w:rsidR="007A21D6" w:rsidRDefault="007A21D6" w:rsidP="007A21D6">
      <w:pPr>
        <w:pStyle w:val="ListParagraph"/>
        <w:numPr>
          <w:ilvl w:val="0"/>
          <w:numId w:val="4"/>
        </w:numPr>
      </w:pPr>
      <w:r w:rsidRPr="00A25BBD">
        <w:t xml:space="preserve">the cost of care and services delivered </w:t>
      </w:r>
    </w:p>
    <w:p w14:paraId="66F3C536" w14:textId="77777777" w:rsidR="007A21D6" w:rsidRDefault="007A21D6" w:rsidP="007A21D6">
      <w:pPr>
        <w:pStyle w:val="ListParagraph"/>
        <w:numPr>
          <w:ilvl w:val="1"/>
          <w:numId w:val="4"/>
        </w:numPr>
      </w:pPr>
      <w:r w:rsidRPr="00A25BBD">
        <w:t>minus any B</w:t>
      </w:r>
      <w:r>
        <w:t xml:space="preserve">asic </w:t>
      </w:r>
      <w:r w:rsidRPr="00A25BBD">
        <w:t>D</w:t>
      </w:r>
      <w:r>
        <w:t xml:space="preserve">aily </w:t>
      </w:r>
      <w:r w:rsidRPr="00A25BBD">
        <w:t>F</w:t>
      </w:r>
      <w:r>
        <w:t>ee</w:t>
      </w:r>
      <w:r w:rsidRPr="00A25BBD">
        <w:t xml:space="preserve"> if charged </w:t>
      </w:r>
    </w:p>
    <w:p w14:paraId="30E1A90C" w14:textId="77777777" w:rsidR="007A21D6" w:rsidRDefault="007A21D6" w:rsidP="007A21D6">
      <w:pPr>
        <w:pStyle w:val="ListParagraph"/>
        <w:numPr>
          <w:ilvl w:val="1"/>
          <w:numId w:val="4"/>
        </w:numPr>
        <w:ind w:left="1434" w:hanging="357"/>
        <w:contextualSpacing w:val="0"/>
      </w:pPr>
      <w:r w:rsidRPr="00A25BBD">
        <w:t xml:space="preserve">minus any </w:t>
      </w:r>
      <w:hyperlink r:id="rId9" w:anchor="amounts-for-additional-care-and-services" w:history="1">
        <w:r w:rsidRPr="0042219F">
          <w:rPr>
            <w:rStyle w:val="Hyperlink"/>
          </w:rPr>
          <w:t>additional care and services fees</w:t>
        </w:r>
      </w:hyperlink>
      <w:r w:rsidRPr="00A25BBD">
        <w:t xml:space="preserve"> if charged</w:t>
      </w:r>
      <w:r>
        <w:t>.</w:t>
      </w:r>
    </w:p>
    <w:p w14:paraId="6D0682E1" w14:textId="77777777" w:rsidR="007A21D6" w:rsidRPr="00A25BBD" w:rsidRDefault="007A21D6" w:rsidP="007A21D6">
      <w:pPr>
        <w:pStyle w:val="ListParagraph"/>
        <w:numPr>
          <w:ilvl w:val="0"/>
          <w:numId w:val="4"/>
        </w:numPr>
      </w:pPr>
      <w:r w:rsidRPr="007A21D6">
        <w:rPr>
          <w:rFonts w:eastAsia="Times New Roman"/>
          <w:color w:val="000000" w:themeColor="text1"/>
          <w:szCs w:val="22"/>
          <w:lang w:eastAsia="en-AU"/>
        </w:rPr>
        <w:t>GST is not included in the price.</w:t>
      </w:r>
    </w:p>
    <w:p w14:paraId="16E76BA4" w14:textId="0ECE636E" w:rsidR="00F71F06" w:rsidRPr="001E1FEE" w:rsidRDefault="007A21D6" w:rsidP="00393E2D">
      <w:r w:rsidRPr="001E1FEE">
        <w:t xml:space="preserve">Providers must </w:t>
      </w:r>
      <w:r w:rsidRPr="001E1FEE">
        <w:rPr>
          <w:b/>
          <w:bCs/>
        </w:rPr>
        <w:t>not</w:t>
      </w:r>
      <w:r w:rsidRPr="001E1FEE">
        <w:t xml:space="preserve"> deduct the </w:t>
      </w:r>
      <w:r w:rsidRPr="001E1FEE">
        <w:rPr>
          <w:b/>
          <w:bCs/>
        </w:rPr>
        <w:t xml:space="preserve">income tested care fee </w:t>
      </w:r>
      <w:r w:rsidRPr="001E1FEE">
        <w:t>payable</w:t>
      </w:r>
      <w:r w:rsidRPr="001E1FEE">
        <w:rPr>
          <w:b/>
          <w:bCs/>
        </w:rPr>
        <w:t xml:space="preserve"> </w:t>
      </w:r>
      <w:r w:rsidRPr="001E1FEE">
        <w:t xml:space="preserve">from the price claimed. Services Australia will </w:t>
      </w:r>
      <w:r w:rsidRPr="001E1FEE">
        <w:rPr>
          <w:b/>
          <w:bCs/>
        </w:rPr>
        <w:t>automatically deduct</w:t>
      </w:r>
      <w:r w:rsidRPr="001E1FEE">
        <w:t xml:space="preserve"> the income tested care fee payable from the payment made to providers, for care recipients who are assessed as needing to pay it. </w:t>
      </w:r>
    </w:p>
    <w:p w14:paraId="138D035F" w14:textId="0EB6A352" w:rsidR="00AF3681" w:rsidRPr="001E1FEE" w:rsidRDefault="009872BC">
      <w:r w:rsidRPr="001E1FEE">
        <w:t>Th</w:t>
      </w:r>
      <w:r w:rsidR="007A21D6" w:rsidRPr="001E1FEE">
        <w:t xml:space="preserve">is reflects the intent </w:t>
      </w:r>
      <w:r w:rsidRPr="001E1FEE">
        <w:t>of the new arrangements to ensure that care recipient fees are spent on their care each month</w:t>
      </w:r>
      <w:r w:rsidR="00AD0C11">
        <w:t xml:space="preserve"> </w:t>
      </w:r>
      <w:r w:rsidR="00AD0C11">
        <w:rPr>
          <w:szCs w:val="22"/>
        </w:rPr>
        <w:t xml:space="preserve">and </w:t>
      </w:r>
      <w:r w:rsidR="006F4553">
        <w:rPr>
          <w:szCs w:val="22"/>
        </w:rPr>
        <w:t xml:space="preserve">are </w:t>
      </w:r>
      <w:r w:rsidR="00AD0C11">
        <w:rPr>
          <w:b/>
          <w:bCs/>
          <w:szCs w:val="22"/>
        </w:rPr>
        <w:t>not</w:t>
      </w:r>
      <w:r w:rsidR="00AD0C11">
        <w:rPr>
          <w:szCs w:val="22"/>
        </w:rPr>
        <w:t xml:space="preserve"> accruing with the provider.</w:t>
      </w:r>
    </w:p>
    <w:p w14:paraId="471936EA" w14:textId="11E93F8B" w:rsidR="00F71F06" w:rsidRPr="001E1FEE" w:rsidRDefault="00F71F06" w:rsidP="00AA67AC">
      <w:pPr>
        <w:pStyle w:val="Heading2"/>
        <w:numPr>
          <w:ilvl w:val="0"/>
          <w:numId w:val="5"/>
        </w:numPr>
        <w:ind w:left="426"/>
      </w:pPr>
      <w:bookmarkStart w:id="9" w:name="_What_is_the_1"/>
      <w:bookmarkEnd w:id="9"/>
      <w:r w:rsidRPr="001E1FEE">
        <w:t>What is the shortfall amount?</w:t>
      </w:r>
    </w:p>
    <w:p w14:paraId="2D5C7BA9" w14:textId="274B4B1A" w:rsidR="00F71F06" w:rsidRPr="001E1FEE" w:rsidRDefault="0030539A" w:rsidP="00393E2D">
      <w:r w:rsidRPr="001E1FEE">
        <w:t xml:space="preserve">If you have </w:t>
      </w:r>
      <w:r w:rsidRPr="001E1FEE">
        <w:rPr>
          <w:b/>
          <w:bCs/>
        </w:rPr>
        <w:t>opted-in</w:t>
      </w:r>
      <w:r w:rsidRPr="001E1FEE">
        <w:t xml:space="preserve">: </w:t>
      </w:r>
      <w:r w:rsidR="00F71F06" w:rsidRPr="001E1FEE">
        <w:t xml:space="preserve">The </w:t>
      </w:r>
      <w:r w:rsidR="00F71F06" w:rsidRPr="001E1FEE">
        <w:rPr>
          <w:b/>
          <w:bCs/>
        </w:rPr>
        <w:t>shortfall</w:t>
      </w:r>
      <w:r w:rsidR="00A25BBD" w:rsidRPr="001E1FEE">
        <w:rPr>
          <w:b/>
          <w:bCs/>
        </w:rPr>
        <w:t xml:space="preserve"> amount</w:t>
      </w:r>
      <w:r w:rsidR="00F71F06" w:rsidRPr="001E1FEE">
        <w:t xml:space="preserve"> is the price </w:t>
      </w:r>
      <w:r w:rsidR="00F71F06" w:rsidRPr="001E1FEE">
        <w:rPr>
          <w:i/>
          <w:iCs/>
        </w:rPr>
        <w:t>(minus the Commonwealth portion of any unspent funds which are being returned, for providers that opt-in)</w:t>
      </w:r>
      <w:r w:rsidR="00F71F06" w:rsidRPr="001E1FEE">
        <w:t xml:space="preserve">, minus any </w:t>
      </w:r>
      <w:r w:rsidR="00290B09" w:rsidRPr="001E1FEE">
        <w:t>income tested</w:t>
      </w:r>
      <w:r w:rsidR="00B954C4" w:rsidRPr="001E1FEE">
        <w:t xml:space="preserve"> care</w:t>
      </w:r>
      <w:r w:rsidR="00CD265D" w:rsidRPr="001E1FEE">
        <w:t xml:space="preserve"> fee</w:t>
      </w:r>
      <w:r w:rsidR="00F71F06" w:rsidRPr="001E1FEE">
        <w:t xml:space="preserve"> the care recipient is assessed to pay.</w:t>
      </w:r>
    </w:p>
    <w:p w14:paraId="1CD46929" w14:textId="51CD6AA6" w:rsidR="0030539A" w:rsidRPr="001E1FEE" w:rsidRDefault="0030539A">
      <w:r w:rsidRPr="001E1FEE">
        <w:t xml:space="preserve">If you </w:t>
      </w:r>
      <w:r w:rsidRPr="001E1FEE">
        <w:rPr>
          <w:b/>
          <w:bCs/>
        </w:rPr>
        <w:t>have not opted-in</w:t>
      </w:r>
      <w:r w:rsidRPr="001E1FEE">
        <w:t xml:space="preserve">: The </w:t>
      </w:r>
      <w:r w:rsidRPr="001E1FEE">
        <w:rPr>
          <w:b/>
          <w:bCs/>
        </w:rPr>
        <w:t>shortfall amount</w:t>
      </w:r>
      <w:r w:rsidRPr="001E1FEE">
        <w:t xml:space="preserve"> is the price, minus any </w:t>
      </w:r>
      <w:r w:rsidR="00290B09" w:rsidRPr="001E1FEE">
        <w:t>income tested</w:t>
      </w:r>
      <w:r w:rsidR="00B954C4" w:rsidRPr="001E1FEE">
        <w:t xml:space="preserve"> care</w:t>
      </w:r>
      <w:r w:rsidR="00CD265D" w:rsidRPr="001E1FEE">
        <w:t xml:space="preserve"> fee</w:t>
      </w:r>
      <w:r w:rsidRPr="001E1FEE">
        <w:t xml:space="preserve"> the care recipient is assessed to pay.</w:t>
      </w:r>
    </w:p>
    <w:p w14:paraId="6078CACD" w14:textId="34928D48" w:rsidR="00240B32" w:rsidRPr="001E1FEE" w:rsidRDefault="00240B32" w:rsidP="00AA67AC">
      <w:pPr>
        <w:pStyle w:val="Heading2"/>
        <w:numPr>
          <w:ilvl w:val="0"/>
          <w:numId w:val="5"/>
        </w:numPr>
        <w:ind w:left="426"/>
      </w:pPr>
      <w:bookmarkStart w:id="10" w:name="_What_is_the_2"/>
      <w:bookmarkEnd w:id="10"/>
      <w:r w:rsidRPr="001E1FEE">
        <w:t>What is the maximum contribution amount?</w:t>
      </w:r>
    </w:p>
    <w:p w14:paraId="6CB302FD" w14:textId="5EBBF360" w:rsidR="00240B32" w:rsidRPr="001E1FEE" w:rsidRDefault="00240B32" w:rsidP="00001655">
      <w:r w:rsidRPr="001E1FEE">
        <w:t xml:space="preserve">The </w:t>
      </w:r>
      <w:r w:rsidRPr="001E1FEE">
        <w:rPr>
          <w:b/>
          <w:bCs/>
        </w:rPr>
        <w:t>maximum contribution amount</w:t>
      </w:r>
      <w:r w:rsidRPr="001E1FEE">
        <w:t xml:space="preserve"> is the full </w:t>
      </w:r>
      <w:hyperlink r:id="rId10" w:history="1">
        <w:r w:rsidRPr="001E1FEE">
          <w:rPr>
            <w:rStyle w:val="Hyperlink"/>
          </w:rPr>
          <w:t>Government subsidy entitlement</w:t>
        </w:r>
      </w:hyperlink>
      <w:r w:rsidRPr="001E1FEE">
        <w:t xml:space="preserve"> and anything available in the care recipient’s home care account.</w:t>
      </w:r>
    </w:p>
    <w:p w14:paraId="37A91D03" w14:textId="77777777" w:rsidR="00D47CBD" w:rsidRPr="001E1FEE" w:rsidRDefault="00D47CBD" w:rsidP="00AA67AC">
      <w:pPr>
        <w:pStyle w:val="Heading2"/>
        <w:numPr>
          <w:ilvl w:val="0"/>
          <w:numId w:val="5"/>
        </w:numPr>
        <w:ind w:left="426" w:hanging="426"/>
      </w:pPr>
      <w:r w:rsidRPr="001E1FEE">
        <w:t>What is a home care account?</w:t>
      </w:r>
    </w:p>
    <w:p w14:paraId="60FBF738" w14:textId="4074A32F" w:rsidR="00045873" w:rsidRPr="001E1FEE" w:rsidRDefault="00D47CBD" w:rsidP="00045873">
      <w:r w:rsidRPr="001E1FEE">
        <w:t>On 1 September 2021, Services Australia create</w:t>
      </w:r>
      <w:r w:rsidR="00FB1B33">
        <w:t>d</w:t>
      </w:r>
      <w:r w:rsidRPr="001E1FEE">
        <w:t xml:space="preserve"> a home care account for each care recipient, with a balance of $0.</w:t>
      </w:r>
      <w:r w:rsidR="00045873" w:rsidRPr="001E1FEE">
        <w:t xml:space="preserve"> The home care account cannot go into deficit.</w:t>
      </w:r>
    </w:p>
    <w:p w14:paraId="7041961F" w14:textId="41F6F50F" w:rsidR="00541641" w:rsidRDefault="00FB1B33" w:rsidP="0089028B">
      <w:r>
        <w:t>W</w:t>
      </w:r>
      <w:r w:rsidR="0089028B" w:rsidRPr="001E1FEE">
        <w:t>hen a provider lodges their monthly claim the Government subsidy will be used to cover the price.</w:t>
      </w:r>
      <w:r w:rsidR="003665CA" w:rsidRPr="001E1FEE">
        <w:t xml:space="preserve"> </w:t>
      </w:r>
    </w:p>
    <w:p w14:paraId="51C483FC" w14:textId="18CFA033" w:rsidR="003665CA" w:rsidRPr="001E1FEE" w:rsidRDefault="003665CA" w:rsidP="0089028B">
      <w:r w:rsidRPr="001E1FEE">
        <w:t>If the Government subsidy is:</w:t>
      </w:r>
    </w:p>
    <w:p w14:paraId="2192B2C3" w14:textId="70B45144" w:rsidR="003665CA" w:rsidRPr="001E1FEE" w:rsidRDefault="0089028B" w:rsidP="00AA67AC">
      <w:pPr>
        <w:pStyle w:val="ListParagraph"/>
        <w:numPr>
          <w:ilvl w:val="0"/>
          <w:numId w:val="4"/>
        </w:numPr>
      </w:pPr>
      <w:r w:rsidRPr="001E1FEE">
        <w:t>more</w:t>
      </w:r>
      <w:r w:rsidR="003665CA" w:rsidRPr="001E1FEE">
        <w:t xml:space="preserve"> than the price, the difference will accrue in the home care account for future use.</w:t>
      </w:r>
    </w:p>
    <w:p w14:paraId="0725CAB6" w14:textId="77777777" w:rsidR="00541641" w:rsidRDefault="003665CA" w:rsidP="00AA67AC">
      <w:pPr>
        <w:pStyle w:val="ListParagraph"/>
        <w:numPr>
          <w:ilvl w:val="0"/>
          <w:numId w:val="4"/>
        </w:numPr>
      </w:pPr>
      <w:r w:rsidRPr="001E1FEE">
        <w:t>less</w:t>
      </w:r>
      <w:r w:rsidR="0089028B" w:rsidRPr="001E1FEE">
        <w:t xml:space="preserve"> than the price,</w:t>
      </w:r>
      <w:r w:rsidR="00D47CBD" w:rsidRPr="001E1FEE">
        <w:t xml:space="preserve"> Services Australia will draw down on the home care account</w:t>
      </w:r>
      <w:r w:rsidR="0089028B" w:rsidRPr="001E1FEE">
        <w:t xml:space="preserve"> balance to cover the </w:t>
      </w:r>
      <w:r w:rsidRPr="001E1FEE">
        <w:t>difference</w:t>
      </w:r>
      <w:r w:rsidR="00D47CBD" w:rsidRPr="001E1FEE">
        <w:t>.</w:t>
      </w:r>
      <w:r w:rsidR="004464DB" w:rsidRPr="001E1FEE">
        <w:t xml:space="preserve"> </w:t>
      </w:r>
    </w:p>
    <w:p w14:paraId="00318D46" w14:textId="1F291C0C" w:rsidR="0089028B" w:rsidRPr="001E1FEE" w:rsidRDefault="004464DB" w:rsidP="00541641">
      <w:r w:rsidRPr="001E1FEE">
        <w:t xml:space="preserve">If there are no </w:t>
      </w:r>
      <w:r w:rsidR="0019452B" w:rsidRPr="001E1FEE">
        <w:t xml:space="preserve">available </w:t>
      </w:r>
      <w:r w:rsidRPr="001E1FEE">
        <w:t xml:space="preserve">funds in the home care account, the provider will need to </w:t>
      </w:r>
      <w:r w:rsidR="0019452B" w:rsidRPr="001E1FEE">
        <w:t xml:space="preserve">first draw down on any unspent funds they may be holding on behalf of the care recipient, if the provider has no unspent </w:t>
      </w:r>
      <w:proofErr w:type="gramStart"/>
      <w:r w:rsidR="0019452B" w:rsidRPr="001E1FEE">
        <w:t>funds</w:t>
      </w:r>
      <w:proofErr w:type="gramEnd"/>
      <w:r w:rsidR="0019452B" w:rsidRPr="001E1FEE">
        <w:t xml:space="preserve"> they will need to </w:t>
      </w:r>
      <w:r w:rsidRPr="001E1FEE">
        <w:t xml:space="preserve">absorb the outstanding </w:t>
      </w:r>
      <w:r w:rsidR="0019452B" w:rsidRPr="001E1FEE">
        <w:t>cost</w:t>
      </w:r>
      <w:r w:rsidRPr="001E1FEE">
        <w:t>.</w:t>
      </w:r>
    </w:p>
    <w:p w14:paraId="6DA29D87" w14:textId="5EE22860" w:rsidR="00D47CBD" w:rsidRDefault="00D47CBD" w:rsidP="00D47CBD">
      <w:r w:rsidRPr="007F4EB7">
        <w:t xml:space="preserve">Care recipients will retain their </w:t>
      </w:r>
      <w:r>
        <w:t xml:space="preserve">full </w:t>
      </w:r>
      <w:r w:rsidR="0089028B">
        <w:t>Government subsidy</w:t>
      </w:r>
      <w:r w:rsidRPr="007F4EB7">
        <w:t xml:space="preserve"> regardless of </w:t>
      </w:r>
      <w:r>
        <w:t xml:space="preserve">whether their provider chooses to </w:t>
      </w:r>
      <w:r w:rsidRPr="007F4EB7">
        <w:t>opt-in.</w:t>
      </w:r>
    </w:p>
    <w:p w14:paraId="529D80B2" w14:textId="6241DC74" w:rsidR="00F07275" w:rsidRPr="007F4EB7" w:rsidRDefault="00F07275" w:rsidP="00001655">
      <w:pPr>
        <w:pStyle w:val="Heading1"/>
      </w:pPr>
      <w:bookmarkStart w:id="11" w:name="_Toc95839124"/>
      <w:r w:rsidRPr="007F4EB7">
        <w:lastRenderedPageBreak/>
        <w:t xml:space="preserve">Claiming and </w:t>
      </w:r>
      <w:r w:rsidR="00115706">
        <w:t xml:space="preserve">Home Care </w:t>
      </w:r>
      <w:r w:rsidR="00115706" w:rsidRPr="007F4EB7">
        <w:t>Package</w:t>
      </w:r>
      <w:r w:rsidRPr="007F4EB7">
        <w:t>s fees</w:t>
      </w:r>
      <w:bookmarkEnd w:id="11"/>
    </w:p>
    <w:p w14:paraId="3463D8FF" w14:textId="6604DD57" w:rsidR="00F07275" w:rsidRPr="00001655" w:rsidRDefault="00F07275" w:rsidP="00AA67AC">
      <w:pPr>
        <w:pStyle w:val="Heading2"/>
        <w:numPr>
          <w:ilvl w:val="0"/>
          <w:numId w:val="5"/>
        </w:numPr>
        <w:ind w:left="426" w:hanging="502"/>
      </w:pPr>
      <w:r w:rsidRPr="00001655">
        <w:t xml:space="preserve">What </w:t>
      </w:r>
      <w:r w:rsidR="004D4120">
        <w:t>is included in the</w:t>
      </w:r>
      <w:r w:rsidRPr="00001655">
        <w:t xml:space="preserve"> provider claim to Services Australia?</w:t>
      </w:r>
    </w:p>
    <w:p w14:paraId="77AA3F72" w14:textId="1B867B4F" w:rsidR="0030539A" w:rsidRDefault="00F07275" w:rsidP="00393E2D">
      <w:r w:rsidRPr="007F4EB7">
        <w:t>Providers only</w:t>
      </w:r>
      <w:r>
        <w:t xml:space="preserve"> need to claim</w:t>
      </w:r>
      <w:r w:rsidR="0030539A">
        <w:t xml:space="preserve"> a total dollar amount</w:t>
      </w:r>
      <w:r>
        <w:t xml:space="preserve"> </w:t>
      </w:r>
      <w:r w:rsidRPr="007F4EB7">
        <w:t>for each care recipient</w:t>
      </w:r>
      <w:r>
        <w:t xml:space="preserve"> in their monthly claim</w:t>
      </w:r>
      <w:r w:rsidR="0030539A">
        <w:t xml:space="preserve"> (this is </w:t>
      </w:r>
      <w:r w:rsidR="00DC27FF">
        <w:t xml:space="preserve">referred to as </w:t>
      </w:r>
      <w:r w:rsidR="0030539A">
        <w:t xml:space="preserve">the </w:t>
      </w:r>
      <w:hyperlink w:anchor="_What_is_the" w:history="1">
        <w:r w:rsidR="0030539A" w:rsidRPr="00001655">
          <w:rPr>
            <w:rStyle w:val="Hyperlink"/>
            <w:b/>
            <w:bCs/>
            <w:color w:val="auto"/>
            <w:u w:val="none"/>
          </w:rPr>
          <w:t>price</w:t>
        </w:r>
      </w:hyperlink>
      <w:r w:rsidR="00DC27FF">
        <w:t xml:space="preserve"> or </w:t>
      </w:r>
      <w:r w:rsidR="00DC27FF">
        <w:rPr>
          <w:b/>
          <w:bCs/>
        </w:rPr>
        <w:t xml:space="preserve">invoice amount </w:t>
      </w:r>
      <w:r w:rsidR="0030539A">
        <w:t xml:space="preserve">– definition </w:t>
      </w:r>
      <w:hyperlink w:anchor="_What_is_the" w:history="1">
        <w:r w:rsidR="0030539A" w:rsidRPr="00001655">
          <w:rPr>
            <w:rStyle w:val="Hyperlink"/>
            <w:color w:val="auto"/>
            <w:u w:val="none"/>
          </w:rPr>
          <w:t>above</w:t>
        </w:r>
      </w:hyperlink>
      <w:r w:rsidR="0030539A">
        <w:t>)</w:t>
      </w:r>
      <w:r w:rsidRPr="007F4EB7">
        <w:t xml:space="preserve">. </w:t>
      </w:r>
      <w:r w:rsidR="004D4120" w:rsidRPr="00C00672">
        <w:rPr>
          <w:rFonts w:eastAsia="Times New Roman"/>
          <w:color w:val="000000" w:themeColor="text1"/>
          <w:szCs w:val="22"/>
          <w:lang w:eastAsia="en-AU"/>
        </w:rPr>
        <w:t xml:space="preserve">GST </w:t>
      </w:r>
      <w:r w:rsidR="004D4120">
        <w:rPr>
          <w:rFonts w:eastAsia="Times New Roman"/>
          <w:color w:val="000000" w:themeColor="text1"/>
          <w:szCs w:val="22"/>
          <w:lang w:eastAsia="en-AU"/>
        </w:rPr>
        <w:t>is not included in the claim</w:t>
      </w:r>
      <w:r w:rsidR="004D4120" w:rsidRPr="00C00672">
        <w:rPr>
          <w:rFonts w:eastAsia="Times New Roman"/>
          <w:color w:val="000000" w:themeColor="text1"/>
          <w:szCs w:val="22"/>
          <w:lang w:eastAsia="en-AU"/>
        </w:rPr>
        <w:t>.</w:t>
      </w:r>
    </w:p>
    <w:p w14:paraId="0D81B4B1" w14:textId="7BA8CCBA" w:rsidR="00DC27FF" w:rsidRDefault="00F07275" w:rsidP="00393E2D">
      <w:r w:rsidRPr="007F4EB7">
        <w:t xml:space="preserve">Providers do not need to </w:t>
      </w:r>
      <w:r>
        <w:t>include</w:t>
      </w:r>
      <w:r w:rsidRPr="007F4EB7">
        <w:t xml:space="preserve"> an itemised list of </w:t>
      </w:r>
      <w:r>
        <w:t xml:space="preserve">fees, </w:t>
      </w:r>
      <w:r w:rsidRPr="007F4EB7">
        <w:t>care and services delivered to the care reci</w:t>
      </w:r>
      <w:r>
        <w:t>pient during the relevant month to Services Australia. H</w:t>
      </w:r>
      <w:r w:rsidRPr="007F4EB7">
        <w:t>owever</w:t>
      </w:r>
      <w:r>
        <w:t>,</w:t>
      </w:r>
      <w:r w:rsidRPr="007F4EB7">
        <w:t xml:space="preserve"> this information must be provided to the care recipient as part of their detailed monthly statement.</w:t>
      </w:r>
    </w:p>
    <w:p w14:paraId="7C3777D9" w14:textId="317E6A30" w:rsidR="00EE4407" w:rsidRPr="001E1FEE" w:rsidRDefault="00EE4407" w:rsidP="00AA67AC">
      <w:pPr>
        <w:pStyle w:val="Heading2"/>
        <w:numPr>
          <w:ilvl w:val="0"/>
          <w:numId w:val="5"/>
        </w:numPr>
        <w:ind w:left="284"/>
      </w:pPr>
      <w:r w:rsidRPr="001E1FEE">
        <w:t xml:space="preserve">How </w:t>
      </w:r>
      <w:r w:rsidR="00A917B9">
        <w:t>do</w:t>
      </w:r>
      <w:r w:rsidR="00A917B9" w:rsidRPr="001E1FEE">
        <w:t xml:space="preserve"> </w:t>
      </w:r>
      <w:r w:rsidRPr="001E1FEE">
        <w:t>providers know what their care recipient’s home care account balance is?</w:t>
      </w:r>
    </w:p>
    <w:p w14:paraId="1BC0B7C2" w14:textId="2FBF4D88" w:rsidR="006753B9" w:rsidRDefault="0019452B" w:rsidP="0019452B">
      <w:r w:rsidRPr="001E1FEE">
        <w:t>Providers view the home care account balance at the end of the month when the monthly payment statement is updated</w:t>
      </w:r>
      <w:r w:rsidR="002459F0" w:rsidRPr="001E1FEE">
        <w:t xml:space="preserve"> and issued to providers</w:t>
      </w:r>
      <w:r w:rsidRPr="001E1FEE">
        <w:t>.</w:t>
      </w:r>
      <w:r w:rsidR="002459F0" w:rsidRPr="001E1FEE">
        <w:t xml:space="preserve"> </w:t>
      </w:r>
    </w:p>
    <w:p w14:paraId="57140F92" w14:textId="7B30D74E" w:rsidR="0019452B" w:rsidRPr="001E1FEE" w:rsidRDefault="002459F0" w:rsidP="0019452B">
      <w:r w:rsidRPr="001E1FEE">
        <w:t>T</w:t>
      </w:r>
      <w:r w:rsidR="0019452B" w:rsidRPr="001E1FEE">
        <w:t xml:space="preserve">he Aged Care Provider Portal displays the current home care account balance along with all transactions. This is updated when a claim is </w:t>
      </w:r>
      <w:r w:rsidRPr="001E1FEE">
        <w:t>processed and f</w:t>
      </w:r>
      <w:r w:rsidR="0019452B" w:rsidRPr="001E1FEE">
        <w:t>or transferred care recipients when the quarantine period ends</w:t>
      </w:r>
      <w:r w:rsidRPr="001E1FEE">
        <w:t>. T</w:t>
      </w:r>
      <w:r w:rsidR="0019452B" w:rsidRPr="001E1FEE">
        <w:t>h</w:t>
      </w:r>
      <w:r w:rsidRPr="001E1FEE">
        <w:t xml:space="preserve">is will show when the home care account </w:t>
      </w:r>
      <w:r w:rsidR="0019452B" w:rsidRPr="001E1FEE">
        <w:t xml:space="preserve">balance is transferred from the previous </w:t>
      </w:r>
      <w:r w:rsidRPr="001E1FEE">
        <w:t>provider</w:t>
      </w:r>
      <w:r w:rsidR="0019452B" w:rsidRPr="001E1FEE">
        <w:t xml:space="preserve">. </w:t>
      </w:r>
    </w:p>
    <w:p w14:paraId="1A5387E8" w14:textId="65C83878" w:rsidR="00FD55C3" w:rsidRPr="00D00F17" w:rsidRDefault="002A47DE" w:rsidP="002A47DE">
      <w:pPr>
        <w:pStyle w:val="Heading2"/>
        <w:numPr>
          <w:ilvl w:val="0"/>
          <w:numId w:val="5"/>
        </w:numPr>
        <w:ind w:left="284"/>
      </w:pPr>
      <w:bookmarkStart w:id="12" w:name="_Toc77762287"/>
      <w:bookmarkStart w:id="13" w:name="_Toc77762409"/>
      <w:bookmarkStart w:id="14" w:name="_Toc77762494"/>
      <w:bookmarkStart w:id="15" w:name="_Toc77762579"/>
      <w:bookmarkEnd w:id="12"/>
      <w:bookmarkEnd w:id="13"/>
      <w:bookmarkEnd w:id="14"/>
      <w:bookmarkEnd w:id="15"/>
      <w:r w:rsidRPr="001E1FEE">
        <w:t xml:space="preserve">What happens if the care and services provided in a month exceed the care recipient’s </w:t>
      </w:r>
      <w:r w:rsidR="00FD55C3" w:rsidRPr="001E1FEE">
        <w:t xml:space="preserve">available package budget, do </w:t>
      </w:r>
      <w:r w:rsidRPr="001E1FEE">
        <w:t>providers</w:t>
      </w:r>
      <w:r w:rsidR="00FD55C3" w:rsidRPr="001E1FEE">
        <w:t xml:space="preserve"> still claim the full amount </w:t>
      </w:r>
      <w:r w:rsidRPr="001E1FEE">
        <w:t>from</w:t>
      </w:r>
      <w:r w:rsidR="00FD55C3" w:rsidRPr="001E1FEE">
        <w:t xml:space="preserve"> Services Australia</w:t>
      </w:r>
      <w:r w:rsidR="00FD55C3" w:rsidRPr="00D00F17">
        <w:t>?</w:t>
      </w:r>
    </w:p>
    <w:p w14:paraId="4BD4EAF6" w14:textId="77777777" w:rsidR="006753B9" w:rsidRDefault="00F35078" w:rsidP="00AD3453">
      <w:r w:rsidRPr="00D00F17">
        <w:t>P</w:t>
      </w:r>
      <w:r w:rsidR="00FD55C3" w:rsidRPr="00D00F17">
        <w:t xml:space="preserve">roviders </w:t>
      </w:r>
      <w:r w:rsidR="00D36BFA" w:rsidRPr="00D00F17">
        <w:t xml:space="preserve">should </w:t>
      </w:r>
      <w:r w:rsidR="00FD55C3" w:rsidRPr="00D00F17">
        <w:t xml:space="preserve">claim the </w:t>
      </w:r>
      <w:r w:rsidR="002A47DE" w:rsidRPr="00D00F17">
        <w:t xml:space="preserve">full </w:t>
      </w:r>
      <w:r w:rsidRPr="00D00F17">
        <w:t>cost</w:t>
      </w:r>
      <w:r w:rsidR="002A47DE" w:rsidRPr="00D00F17">
        <w:t xml:space="preserve"> of</w:t>
      </w:r>
      <w:r w:rsidR="00FD55C3" w:rsidRPr="00D00F17">
        <w:t xml:space="preserve"> </w:t>
      </w:r>
      <w:r w:rsidRPr="00D00F17">
        <w:t xml:space="preserve">services delivered in the </w:t>
      </w:r>
      <w:r w:rsidR="00FD55C3" w:rsidRPr="00D00F17">
        <w:t>month</w:t>
      </w:r>
      <w:r w:rsidR="002A47DE" w:rsidRPr="00D00F17">
        <w:t>.</w:t>
      </w:r>
      <w:r w:rsidR="003C27AE" w:rsidRPr="00D00F17">
        <w:t xml:space="preserve"> </w:t>
      </w:r>
      <w:r w:rsidR="002A47DE" w:rsidRPr="00D00F17">
        <w:t xml:space="preserve"> </w:t>
      </w:r>
      <w:r w:rsidR="00FD55C3" w:rsidRPr="00D00F17">
        <w:t>Providers will be paid the lesser of:</w:t>
      </w:r>
      <w:bookmarkStart w:id="16" w:name="_Hlk76132911"/>
      <w:r w:rsidR="00FD55C3" w:rsidRPr="00D00F17">
        <w:t xml:space="preserve"> The </w:t>
      </w:r>
      <w:hyperlink w:anchor="_What_is_the_1" w:history="1">
        <w:r w:rsidR="00FD55C3" w:rsidRPr="00D00F17">
          <w:rPr>
            <w:rStyle w:val="Hyperlink"/>
            <w:b/>
            <w:bCs/>
            <w:color w:val="auto"/>
            <w:u w:val="none"/>
          </w:rPr>
          <w:t>shortfall amount</w:t>
        </w:r>
      </w:hyperlink>
      <w:r w:rsidR="00FD55C3" w:rsidRPr="00D00F17">
        <w:t xml:space="preserve"> or the </w:t>
      </w:r>
      <w:hyperlink w:anchor="_What_is_the_2" w:history="1">
        <w:r w:rsidR="00FD55C3" w:rsidRPr="00D00F17">
          <w:rPr>
            <w:rStyle w:val="Hyperlink"/>
            <w:b/>
            <w:bCs/>
            <w:color w:val="auto"/>
            <w:u w:val="none"/>
          </w:rPr>
          <w:t>maximum contribution amount</w:t>
        </w:r>
      </w:hyperlink>
      <w:r w:rsidR="00FD55C3" w:rsidRPr="00D00F17">
        <w:t xml:space="preserve"> (definitions above).</w:t>
      </w:r>
      <w:bookmarkEnd w:id="16"/>
      <w:r w:rsidR="000A220F" w:rsidRPr="00D00F17">
        <w:t xml:space="preserve"> </w:t>
      </w:r>
    </w:p>
    <w:p w14:paraId="07DACA65" w14:textId="4B566105" w:rsidR="002A47DE" w:rsidRPr="00D00F17" w:rsidRDefault="00FD55C3" w:rsidP="00AD3453">
      <w:pPr>
        <w:rPr>
          <w:color w:val="0D0D0D" w:themeColor="text1" w:themeTint="F2"/>
        </w:rPr>
      </w:pPr>
      <w:r w:rsidRPr="00D00F17">
        <w:rPr>
          <w:color w:val="0D0D0D" w:themeColor="text1" w:themeTint="F2"/>
        </w:rPr>
        <w:t xml:space="preserve">The outstanding amount </w:t>
      </w:r>
      <w:r w:rsidR="002A47DE" w:rsidRPr="00D00F17">
        <w:rPr>
          <w:color w:val="0D0D0D" w:themeColor="text1" w:themeTint="F2"/>
        </w:rPr>
        <w:t xml:space="preserve">can be covered by any unspent funds held by the provider for the care recipient or </w:t>
      </w:r>
      <w:r w:rsidR="00C86212" w:rsidRPr="00D00F17">
        <w:rPr>
          <w:color w:val="0D0D0D" w:themeColor="text1" w:themeTint="F2"/>
        </w:rPr>
        <w:t xml:space="preserve">else the costs </w:t>
      </w:r>
      <w:r w:rsidR="002A47DE" w:rsidRPr="00D00F17">
        <w:rPr>
          <w:color w:val="0D0D0D" w:themeColor="text1" w:themeTint="F2"/>
        </w:rPr>
        <w:t>must be covered by the provider.</w:t>
      </w:r>
      <w:r w:rsidR="00C86212" w:rsidRPr="00D00F17">
        <w:rPr>
          <w:color w:val="0D0D0D" w:themeColor="text1" w:themeTint="F2"/>
        </w:rPr>
        <w:t xml:space="preserve"> The outstanding amount cannot be added to a claim in a future month</w:t>
      </w:r>
      <w:r w:rsidR="00E337AC" w:rsidRPr="00D00F17">
        <w:rPr>
          <w:color w:val="0D0D0D" w:themeColor="text1" w:themeTint="F2"/>
        </w:rPr>
        <w:t>, except in the case of errors</w:t>
      </w:r>
      <w:r w:rsidR="00C86212" w:rsidRPr="00D00F17">
        <w:rPr>
          <w:color w:val="0D0D0D" w:themeColor="text1" w:themeTint="F2"/>
        </w:rPr>
        <w:t>.</w:t>
      </w:r>
    </w:p>
    <w:p w14:paraId="2E4D3727" w14:textId="77777777" w:rsidR="006753B9" w:rsidRDefault="002A47DE" w:rsidP="00AD3453">
      <w:pPr>
        <w:rPr>
          <w:color w:val="0D0D0D" w:themeColor="text1" w:themeTint="F2"/>
        </w:rPr>
      </w:pPr>
      <w:r w:rsidRPr="00D00F17">
        <w:rPr>
          <w:color w:val="0D0D0D" w:themeColor="text1" w:themeTint="F2"/>
        </w:rPr>
        <w:t>See advice in Q8 about planning for payment of large purchases</w:t>
      </w:r>
      <w:r w:rsidR="00C86212" w:rsidRPr="00D00F17">
        <w:rPr>
          <w:color w:val="0D0D0D" w:themeColor="text1" w:themeTint="F2"/>
        </w:rPr>
        <w:t>.</w:t>
      </w:r>
      <w:r w:rsidR="00AD3453" w:rsidRPr="00D00F17">
        <w:rPr>
          <w:color w:val="0D0D0D" w:themeColor="text1" w:themeTint="F2"/>
        </w:rPr>
        <w:t xml:space="preserve"> </w:t>
      </w:r>
    </w:p>
    <w:p w14:paraId="062EE82F" w14:textId="4246B9A8" w:rsidR="00AD3453" w:rsidRPr="00D00F17" w:rsidRDefault="00AD3453" w:rsidP="00AD3453">
      <w:r w:rsidRPr="00D00F17">
        <w:rPr>
          <w:color w:val="0D0D0D" w:themeColor="text1" w:themeTint="F2"/>
        </w:rPr>
        <w:t xml:space="preserve">Alternatively, </w:t>
      </w:r>
      <w:r w:rsidRPr="00D00F17">
        <w:t>the provider and care recipient can agree to postpone the purchase until the care recipient has accrued sufficient funds in their home care account</w:t>
      </w:r>
      <w:r w:rsidR="00756E9F" w:rsidRPr="00D00F17">
        <w:t xml:space="preserve"> or</w:t>
      </w:r>
      <w:r w:rsidR="00C761BE" w:rsidRPr="00D00F17">
        <w:t xml:space="preserve"> agree</w:t>
      </w:r>
      <w:r w:rsidR="00756E9F" w:rsidRPr="00D00F17">
        <w:t xml:space="preserve"> to cover the cost through </w:t>
      </w:r>
      <w:r w:rsidR="00C761BE" w:rsidRPr="00D00F17">
        <w:t xml:space="preserve">additional </w:t>
      </w:r>
      <w:r w:rsidR="00756E9F" w:rsidRPr="00D00F17">
        <w:t xml:space="preserve">fees </w:t>
      </w:r>
      <w:r w:rsidR="00C761BE" w:rsidRPr="00D00F17">
        <w:t xml:space="preserve">(see </w:t>
      </w:r>
      <w:hyperlink w:anchor="_Additional_care_and" w:history="1">
        <w:r w:rsidR="00756E9F" w:rsidRPr="00D00F17">
          <w:rPr>
            <w:rStyle w:val="Hyperlink"/>
          </w:rPr>
          <w:t>additional care and services</w:t>
        </w:r>
      </w:hyperlink>
      <w:r w:rsidR="00C761BE" w:rsidRPr="00D00F17">
        <w:rPr>
          <w:rStyle w:val="Hyperlink"/>
        </w:rPr>
        <w:t>)</w:t>
      </w:r>
      <w:r w:rsidRPr="00D00F17">
        <w:t>.</w:t>
      </w:r>
    </w:p>
    <w:p w14:paraId="7637DB6E" w14:textId="648BA2FC" w:rsidR="00F07275" w:rsidRPr="00D00F17" w:rsidRDefault="00F07275" w:rsidP="00AA67AC">
      <w:pPr>
        <w:pStyle w:val="Heading2"/>
        <w:numPr>
          <w:ilvl w:val="0"/>
          <w:numId w:val="5"/>
        </w:numPr>
        <w:ind w:left="426"/>
      </w:pPr>
      <w:r w:rsidRPr="00D00F17">
        <w:t xml:space="preserve">How </w:t>
      </w:r>
      <w:r w:rsidR="00C86212" w:rsidRPr="00D00F17">
        <w:t>can</w:t>
      </w:r>
      <w:r w:rsidRPr="00D00F17">
        <w:t xml:space="preserve"> providers make large purchases</w:t>
      </w:r>
      <w:r w:rsidR="00AC3948" w:rsidRPr="00D00F17">
        <w:t xml:space="preserve"> for their care recipients</w:t>
      </w:r>
      <w:r w:rsidR="00C86212" w:rsidRPr="00D00F17">
        <w:t xml:space="preserve">? </w:t>
      </w:r>
    </w:p>
    <w:p w14:paraId="72AF0AEF" w14:textId="517954A5" w:rsidR="00E24DB7" w:rsidRPr="00D00F17" w:rsidRDefault="00612FA5" w:rsidP="00E337AC">
      <w:pPr>
        <w:spacing w:after="0"/>
      </w:pPr>
      <w:r w:rsidRPr="00D00F17">
        <w:t xml:space="preserve">As per existing arrangements, </w:t>
      </w:r>
      <w:r w:rsidR="00B81F59" w:rsidRPr="00D00F17">
        <w:t>any large purchases</w:t>
      </w:r>
      <w:r w:rsidR="00F07275" w:rsidRPr="00D00F17">
        <w:t xml:space="preserve"> </w:t>
      </w:r>
      <w:r w:rsidR="00E24DB7" w:rsidRPr="00D00F17">
        <w:t>must be:</w:t>
      </w:r>
    </w:p>
    <w:p w14:paraId="492B2A14" w14:textId="2D36A8B2" w:rsidR="00E24DB7" w:rsidRPr="00D00F17" w:rsidRDefault="00F07275" w:rsidP="00AA67AC">
      <w:pPr>
        <w:pStyle w:val="ListParagraph"/>
        <w:numPr>
          <w:ilvl w:val="0"/>
          <w:numId w:val="4"/>
        </w:numPr>
      </w:pPr>
      <w:r w:rsidRPr="00D00F17">
        <w:t>related to the care recipient’s care needs</w:t>
      </w:r>
    </w:p>
    <w:p w14:paraId="054600EB" w14:textId="152A6C87" w:rsidR="00E24DB7" w:rsidRPr="00D00F17" w:rsidRDefault="00F07275" w:rsidP="00AA67AC">
      <w:pPr>
        <w:pStyle w:val="ListParagraph"/>
        <w:numPr>
          <w:ilvl w:val="0"/>
          <w:numId w:val="4"/>
        </w:numPr>
      </w:pPr>
      <w:r w:rsidRPr="00D00F17">
        <w:t>agreed within the care recipient’s care plan</w:t>
      </w:r>
    </w:p>
    <w:p w14:paraId="49EBCE4C" w14:textId="2711D5D7" w:rsidR="00F07275" w:rsidRPr="00D00F17" w:rsidRDefault="00F07275" w:rsidP="00AA67AC">
      <w:pPr>
        <w:pStyle w:val="ListParagraph"/>
        <w:numPr>
          <w:ilvl w:val="0"/>
          <w:numId w:val="4"/>
        </w:numPr>
      </w:pPr>
      <w:r w:rsidRPr="00D00F17">
        <w:t xml:space="preserve">within the available budget for the package level, with any </w:t>
      </w:r>
      <w:r w:rsidR="00C24183">
        <w:t>charges</w:t>
      </w:r>
      <w:r w:rsidR="00C24183" w:rsidRPr="00D00F17">
        <w:t xml:space="preserve"> </w:t>
      </w:r>
      <w:r w:rsidRPr="00D00F17">
        <w:t>mutually agreed</w:t>
      </w:r>
      <w:r w:rsidR="00AD3453" w:rsidRPr="00D00F17">
        <w:t xml:space="preserve"> </w:t>
      </w:r>
      <w:r w:rsidRPr="00D00F17">
        <w:t xml:space="preserve">with the care recipient </w:t>
      </w:r>
      <w:r w:rsidR="00AD3453" w:rsidRPr="00D00F17">
        <w:t xml:space="preserve">through the Home Care Agreement </w:t>
      </w:r>
      <w:r w:rsidR="00E24DB7" w:rsidRPr="00D00F17">
        <w:t>before</w:t>
      </w:r>
      <w:r w:rsidRPr="00D00F17">
        <w:t xml:space="preserve"> purchase.</w:t>
      </w:r>
    </w:p>
    <w:p w14:paraId="18B922DB" w14:textId="77777777" w:rsidR="006753B9" w:rsidRDefault="00B81F59" w:rsidP="00C76F91">
      <w:pPr>
        <w:spacing w:after="0"/>
      </w:pPr>
      <w:r w:rsidRPr="00D00F17">
        <w:t>Providers can access unspent funds</w:t>
      </w:r>
      <w:r w:rsidRPr="00D00F17" w:rsidDel="00AD3453">
        <w:t xml:space="preserve"> </w:t>
      </w:r>
      <w:r w:rsidRPr="00D00F17">
        <w:t xml:space="preserve">to pay for large purchases. </w:t>
      </w:r>
    </w:p>
    <w:p w14:paraId="31E811B9" w14:textId="117AE22F" w:rsidR="00894C98" w:rsidRPr="00D00F17" w:rsidRDefault="00B81F59" w:rsidP="00C76F91">
      <w:pPr>
        <w:spacing w:after="0"/>
      </w:pPr>
      <w:r w:rsidRPr="00D00F17">
        <w:t>Where the cost exceeds available funds f</w:t>
      </w:r>
      <w:r w:rsidR="00AC56F4" w:rsidRPr="00D00F17">
        <w:t>or care recipient</w:t>
      </w:r>
      <w:r w:rsidRPr="00D00F17">
        <w:t>, p</w:t>
      </w:r>
      <w:r w:rsidR="00894C98" w:rsidRPr="00D00F17">
        <w:t>roviders and their care recipients can:</w:t>
      </w:r>
    </w:p>
    <w:p w14:paraId="192E5916" w14:textId="342DF9C6" w:rsidR="00894C98" w:rsidRPr="00D00F17" w:rsidRDefault="00894C98" w:rsidP="00894C98">
      <w:pPr>
        <w:pStyle w:val="ListParagraph"/>
        <w:numPr>
          <w:ilvl w:val="0"/>
          <w:numId w:val="9"/>
        </w:numPr>
      </w:pPr>
      <w:r w:rsidRPr="00D00F17">
        <w:t xml:space="preserve">postpone the purchase until there </w:t>
      </w:r>
      <w:r w:rsidR="00B81F59" w:rsidRPr="00D00F17">
        <w:t>are sufficient funds</w:t>
      </w:r>
      <w:r w:rsidR="00612FA5" w:rsidRPr="00D00F17">
        <w:t xml:space="preserve"> to cover the costs</w:t>
      </w:r>
    </w:p>
    <w:p w14:paraId="35E0BC37" w14:textId="734FA1E2" w:rsidR="00612FA5" w:rsidRPr="00D00F17" w:rsidRDefault="00B81F59" w:rsidP="00894C98">
      <w:pPr>
        <w:pStyle w:val="ListParagraph"/>
        <w:numPr>
          <w:ilvl w:val="0"/>
          <w:numId w:val="9"/>
        </w:numPr>
      </w:pPr>
      <w:r w:rsidRPr="00D00F17">
        <w:t>enter</w:t>
      </w:r>
      <w:r w:rsidR="00894C98" w:rsidRPr="00D00F17">
        <w:t xml:space="preserve"> leasing arrangements</w:t>
      </w:r>
      <w:r w:rsidRPr="00D00F17">
        <w:t xml:space="preserve"> where appropriate</w:t>
      </w:r>
      <w:r w:rsidR="00894C98" w:rsidRPr="00D00F17">
        <w:t xml:space="preserve">. </w:t>
      </w:r>
    </w:p>
    <w:p w14:paraId="6DC3B284" w14:textId="7C176A42" w:rsidR="00E46444" w:rsidRPr="00D00F17" w:rsidRDefault="00B81F59" w:rsidP="00CD240A">
      <w:r w:rsidRPr="00D00F17">
        <w:t xml:space="preserve">Providers </w:t>
      </w:r>
      <w:r w:rsidR="00DA5E70">
        <w:t>must</w:t>
      </w:r>
      <w:r w:rsidR="00DA5E70" w:rsidRPr="00D00F17">
        <w:t xml:space="preserve"> </w:t>
      </w:r>
      <w:r w:rsidRPr="00D00F17">
        <w:t>not split the cost over multiple claim months</w:t>
      </w:r>
      <w:r w:rsidR="007D185D">
        <w:t xml:space="preserve"> except </w:t>
      </w:r>
      <w:r w:rsidR="00FD44AB">
        <w:t>whereas</w:t>
      </w:r>
      <w:r w:rsidR="007D185D">
        <w:t xml:space="preserve"> part of an agreed </w:t>
      </w:r>
      <w:r w:rsidR="00093D1E" w:rsidRPr="00093D1E">
        <w:t xml:space="preserve">leasing or lease to buy arrangement agreed </w:t>
      </w:r>
      <w:r w:rsidR="007D185D">
        <w:t>with the</w:t>
      </w:r>
      <w:r w:rsidR="00093D1E" w:rsidRPr="00093D1E">
        <w:t xml:space="preserve"> care recipient</w:t>
      </w:r>
      <w:r w:rsidR="007D185D">
        <w:t>.</w:t>
      </w:r>
      <w:r w:rsidR="00093D1E" w:rsidRPr="00093D1E">
        <w:t xml:space="preserve"> </w:t>
      </w:r>
    </w:p>
    <w:p w14:paraId="2A52ED84" w14:textId="48E3E890" w:rsidR="006B62F4" w:rsidRDefault="00E46444">
      <w:r w:rsidRPr="00D00F17">
        <w:t xml:space="preserve">There are certain circumstances where </w:t>
      </w:r>
      <w:proofErr w:type="gramStart"/>
      <w:r w:rsidRPr="00D00F17">
        <w:t>a</w:t>
      </w:r>
      <w:proofErr w:type="gramEnd"/>
      <w:r w:rsidRPr="00D00F17">
        <w:t xml:space="preserve"> HCP care recipient can access Commonwealth Home Support Programme (CHSP) services over and above the services provided through the home care package budget. See the </w:t>
      </w:r>
      <w:hyperlink r:id="rId11" w:history="1">
        <w:r w:rsidRPr="00D00F17">
          <w:rPr>
            <w:rStyle w:val="Hyperlink"/>
          </w:rPr>
          <w:t>Commonwealth Home Support Programme Manual</w:t>
        </w:r>
      </w:hyperlink>
      <w:r w:rsidRPr="00D00F17">
        <w:t xml:space="preserve"> for more information. This may be subject to the available capacity of CHSP providers</w:t>
      </w:r>
      <w:r w:rsidR="003572DD" w:rsidRPr="00D00F17">
        <w:t xml:space="preserve"> and their available funding</w:t>
      </w:r>
      <w:r w:rsidRPr="00D00F17">
        <w:t>, given CHS</w:t>
      </w:r>
      <w:r w:rsidR="00FD44AB">
        <w:t xml:space="preserve"> </w:t>
      </w:r>
      <w:r w:rsidR="00FD44AB" w:rsidRPr="00D00F17">
        <w:t>clients will be the priority. Consumer contributions may apply.</w:t>
      </w:r>
    </w:p>
    <w:p w14:paraId="5DF5E2CE" w14:textId="2BE0D4F5" w:rsidR="00F07275" w:rsidRPr="007D185D" w:rsidRDefault="00F07275" w:rsidP="007D185D">
      <w:pPr>
        <w:pStyle w:val="Heading2"/>
        <w:numPr>
          <w:ilvl w:val="0"/>
          <w:numId w:val="5"/>
        </w:numPr>
        <w:ind w:left="426"/>
      </w:pPr>
      <w:r w:rsidRPr="007D185D">
        <w:lastRenderedPageBreak/>
        <w:t xml:space="preserve">Are there changes to package management or care management fees as part of Improved Payment Arrangements? </w:t>
      </w:r>
    </w:p>
    <w:p w14:paraId="71A371CE" w14:textId="6B567811" w:rsidR="00A075E6" w:rsidRDefault="005B0E26" w:rsidP="00A075E6">
      <w:r>
        <w:t>IPA has not changed the ability for p</w:t>
      </w:r>
      <w:r w:rsidR="00A075E6" w:rsidRPr="007F4EB7">
        <w:t xml:space="preserve">roviders to charge package management and care management fees. </w:t>
      </w:r>
      <w:r w:rsidR="00A075E6" w:rsidRPr="008030E6">
        <w:t>As per existing arrangements, fees must be included in the Home Care Agreement and providers must discuss and agree these fees with the care recipient before they start services.</w:t>
      </w:r>
    </w:p>
    <w:p w14:paraId="2651DA82" w14:textId="77777777" w:rsidR="00A075E6" w:rsidRDefault="00A075E6" w:rsidP="00A075E6">
      <w:r w:rsidRPr="007F4EB7">
        <w:t xml:space="preserve">The </w:t>
      </w:r>
      <w:hyperlink w:anchor="_What_is_the" w:history="1">
        <w:r w:rsidRPr="00001655">
          <w:rPr>
            <w:rStyle w:val="Hyperlink"/>
            <w:b/>
            <w:bCs/>
            <w:color w:val="auto"/>
            <w:u w:val="none"/>
          </w:rPr>
          <w:t>price</w:t>
        </w:r>
      </w:hyperlink>
      <w:r w:rsidRPr="007F4EB7">
        <w:t xml:space="preserve"> reported to Services Australia </w:t>
      </w:r>
      <w:r>
        <w:t>should</w:t>
      </w:r>
      <w:r w:rsidRPr="007F4EB7">
        <w:t xml:space="preserve"> incorporate the services delivered to care recipients. Package management fees and care management fees are considered services </w:t>
      </w:r>
      <w:r>
        <w:t>and</w:t>
      </w:r>
      <w:r w:rsidRPr="007F4EB7">
        <w:t xml:space="preserve"> can be</w:t>
      </w:r>
      <w:r>
        <w:t xml:space="preserve"> included as part of the </w:t>
      </w:r>
      <w:r w:rsidRPr="00E0084D">
        <w:rPr>
          <w:b/>
          <w:bCs/>
        </w:rPr>
        <w:t>price</w:t>
      </w:r>
      <w:r w:rsidRPr="007F4EB7">
        <w:t>.</w:t>
      </w:r>
    </w:p>
    <w:p w14:paraId="795D5679" w14:textId="0B919456" w:rsidR="00A075E6" w:rsidRPr="00A95AAF" w:rsidRDefault="00A075E6" w:rsidP="00A075E6">
      <w:r>
        <w:t xml:space="preserve">Under the 2019 </w:t>
      </w:r>
      <w:hyperlink r:id="rId12" w:anchor=":~:text=%20Price%20transparency%20means%20you%3A%20%201%20publish,meet%20the%20requirements%20for%20administration%20costs%20More%20" w:history="1">
        <w:r w:rsidRPr="00A95AAF">
          <w:rPr>
            <w:rStyle w:val="Hyperlink"/>
          </w:rPr>
          <w:t>Pricing Transparency and Comparability</w:t>
        </w:r>
      </w:hyperlink>
      <w:r>
        <w:t xml:space="preserve"> changes, providers </w:t>
      </w:r>
      <w:r w:rsidR="00A95AAF">
        <w:t xml:space="preserve">are </w:t>
      </w:r>
      <w:r>
        <w:t xml:space="preserve">required to complete the </w:t>
      </w:r>
      <w:hyperlink r:id="rId13" w:history="1">
        <w:r w:rsidRPr="00A95AAF">
          <w:rPr>
            <w:rStyle w:val="Hyperlink"/>
          </w:rPr>
          <w:t>Price Schedule</w:t>
        </w:r>
      </w:hyperlink>
      <w:r>
        <w:t xml:space="preserve"> for My Aged Care, which includes completing a dollar value </w:t>
      </w:r>
      <w:r w:rsidR="00A95AAF">
        <w:t xml:space="preserve">per package level </w:t>
      </w:r>
      <w:r>
        <w:t xml:space="preserve"> for care </w:t>
      </w:r>
      <w:r w:rsidRPr="00A95AAF">
        <w:t xml:space="preserve">management and package management fees. </w:t>
      </w:r>
      <w:r w:rsidR="00A95AAF" w:rsidRPr="00A95AAF">
        <w:t xml:space="preserve">It is a matter for providers to determine their own prices. IPA </w:t>
      </w:r>
      <w:r w:rsidR="006F4553">
        <w:t>has</w:t>
      </w:r>
      <w:r w:rsidR="00A95AAF" w:rsidRPr="00A95AAF">
        <w:t xml:space="preserve"> not changed providers’ requirements under Pricing Transparency and Comparability.</w:t>
      </w:r>
    </w:p>
    <w:p w14:paraId="4A105D01" w14:textId="2E725E9A" w:rsidR="00A95AAF" w:rsidRPr="00A95AAF" w:rsidRDefault="00A075E6" w:rsidP="00A075E6">
      <w:r w:rsidRPr="00A95AAF">
        <w:t xml:space="preserve">Under legislation, providers </w:t>
      </w:r>
      <w:r w:rsidR="00A95AAF" w:rsidRPr="00A95AAF">
        <w:t xml:space="preserve">prices </w:t>
      </w:r>
      <w:r w:rsidRPr="00A95AAF">
        <w:t>must be reasonable</w:t>
      </w:r>
      <w:r w:rsidR="00A95AAF" w:rsidRPr="00A95AAF">
        <w:t>, and they must be able to justify how the amount they are charging for management is considered reasonable, in the event of a review</w:t>
      </w:r>
      <w:r w:rsidRPr="00A95AAF">
        <w:t xml:space="preserve">. </w:t>
      </w:r>
    </w:p>
    <w:p w14:paraId="72C464BD" w14:textId="08A949E7" w:rsidR="00A075E6" w:rsidRDefault="00A95AAF" w:rsidP="00A075E6">
      <w:r w:rsidRPr="00A95AAF">
        <w:t xml:space="preserve">Any increases in prices, including administration and package management costs, must be reflected in providers pricing schedule on My Aged Care. Providers must include a copy of their pricing schedule in their care recipient’s Home Care Agreement. There must be mutual agreement by both the care recipient and the provider for any pricing changes. Providers should include usual business costs (such as office rent, insurances, and marketing, etc.) in their prices for care and services. This ensures care recipients can see the all-inclusive cost of delivering the service. </w:t>
      </w:r>
    </w:p>
    <w:p w14:paraId="2261B99E" w14:textId="6CA02E2C" w:rsidR="005B0E26" w:rsidRPr="00541641" w:rsidRDefault="005B0E26" w:rsidP="00A075E6">
      <w:r w:rsidRPr="0026512B">
        <w:t xml:space="preserve">Further information on fees can be found </w:t>
      </w:r>
      <w:r w:rsidR="0026512B">
        <w:t xml:space="preserve">in the </w:t>
      </w:r>
      <w:hyperlink r:id="rId14" w:history="1">
        <w:r w:rsidR="005A73A7" w:rsidRPr="005A73A7">
          <w:rPr>
            <w:rStyle w:val="Hyperlink"/>
          </w:rPr>
          <w:t>Understanding fees for home care</w:t>
        </w:r>
        <w:r w:rsidR="0026512B" w:rsidRPr="005A73A7">
          <w:rPr>
            <w:rStyle w:val="Hyperlink"/>
          </w:rPr>
          <w:t xml:space="preserve"> fact sheet</w:t>
        </w:r>
      </w:hyperlink>
      <w:r w:rsidR="0026512B">
        <w:t xml:space="preserve">. </w:t>
      </w:r>
    </w:p>
    <w:p w14:paraId="5CD67C84" w14:textId="653DE9C0" w:rsidR="00F07275" w:rsidRPr="007F4EB7" w:rsidRDefault="00F07275" w:rsidP="00AA67AC">
      <w:pPr>
        <w:pStyle w:val="Heading2"/>
        <w:numPr>
          <w:ilvl w:val="0"/>
          <w:numId w:val="5"/>
        </w:numPr>
        <w:ind w:left="426"/>
      </w:pPr>
      <w:r w:rsidRPr="007F4EB7">
        <w:t xml:space="preserve">Do providers need to </w:t>
      </w:r>
      <w:r w:rsidR="009F3DAE">
        <w:t>include</w:t>
      </w:r>
      <w:r w:rsidRPr="007F4EB7">
        <w:t xml:space="preserve"> the </w:t>
      </w:r>
      <w:r w:rsidR="00081B92">
        <w:t>supplement</w:t>
      </w:r>
      <w:r w:rsidR="00257B1F">
        <w:t>s in the price</w:t>
      </w:r>
      <w:r w:rsidR="00081B92">
        <w:t xml:space="preserve"> when reporting</w:t>
      </w:r>
      <w:r w:rsidR="00485B8C">
        <w:t xml:space="preserve"> a claim</w:t>
      </w:r>
      <w:r w:rsidRPr="007F4EB7">
        <w:t xml:space="preserve"> to Services Australia?</w:t>
      </w:r>
    </w:p>
    <w:p w14:paraId="1168E4B4" w14:textId="7DB310A3" w:rsidR="00F07275" w:rsidRPr="00AA24AE" w:rsidRDefault="00F07275">
      <w:r w:rsidRPr="007F4EB7">
        <w:t xml:space="preserve">No, providers </w:t>
      </w:r>
      <w:r w:rsidR="00257B1F">
        <w:t>do</w:t>
      </w:r>
      <w:r w:rsidRPr="007F4EB7">
        <w:t xml:space="preserve"> not need to report </w:t>
      </w:r>
      <w:r w:rsidR="00081B92">
        <w:t>supplement</w:t>
      </w:r>
      <w:r w:rsidR="00257B1F">
        <w:t>s</w:t>
      </w:r>
      <w:r w:rsidR="00081B92">
        <w:t xml:space="preserve"> as part of the</w:t>
      </w:r>
      <w:r w:rsidR="00E0084D">
        <w:t xml:space="preserve"> </w:t>
      </w:r>
      <w:hyperlink w:anchor="_What_is_the" w:history="1">
        <w:r w:rsidR="00A8513F" w:rsidRPr="00EB0DF7">
          <w:rPr>
            <w:rStyle w:val="Hyperlink"/>
            <w:b/>
            <w:bCs/>
            <w:color w:val="auto"/>
            <w:u w:val="none"/>
          </w:rPr>
          <w:t>price</w:t>
        </w:r>
      </w:hyperlink>
      <w:r w:rsidRPr="007F4EB7">
        <w:t xml:space="preserve"> to Services Australia</w:t>
      </w:r>
      <w:r w:rsidR="00257B1F">
        <w:t xml:space="preserve"> in their claim</w:t>
      </w:r>
      <w:r w:rsidRPr="007F4EB7">
        <w:t xml:space="preserve">. </w:t>
      </w:r>
      <w:r w:rsidR="00EB069D">
        <w:t>S</w:t>
      </w:r>
      <w:r w:rsidRPr="007F4EB7">
        <w:t>upplement</w:t>
      </w:r>
      <w:r w:rsidR="00534A51">
        <w:t>s</w:t>
      </w:r>
      <w:r w:rsidRPr="007F4EB7">
        <w:t xml:space="preserve"> will automatically be applied </w:t>
      </w:r>
      <w:r w:rsidR="009F3DAE">
        <w:t xml:space="preserve">by Services Australia </w:t>
      </w:r>
      <w:r w:rsidRPr="007F4EB7">
        <w:t xml:space="preserve">if the home care recipient is eligible. It will be included as part of the calculation </w:t>
      </w:r>
      <w:r w:rsidR="00EB069D">
        <w:t xml:space="preserve">completed by Services Australia </w:t>
      </w:r>
      <w:r w:rsidRPr="007F4EB7">
        <w:t xml:space="preserve">of the subsidy </w:t>
      </w:r>
      <w:r w:rsidRPr="00AA24AE">
        <w:t>a</w:t>
      </w:r>
      <w:r w:rsidR="00081B92" w:rsidRPr="00AA24AE">
        <w:t>vailable to the care recipient.</w:t>
      </w:r>
    </w:p>
    <w:p w14:paraId="71DAE4E2" w14:textId="34FC97E3" w:rsidR="00A33D1D" w:rsidRPr="00AA24AE" w:rsidRDefault="00A33D1D" w:rsidP="00AA67AC">
      <w:pPr>
        <w:pStyle w:val="Heading2"/>
        <w:numPr>
          <w:ilvl w:val="0"/>
          <w:numId w:val="5"/>
        </w:numPr>
        <w:ind w:left="426"/>
      </w:pPr>
      <w:r w:rsidRPr="00AA24AE">
        <w:t>Wh</w:t>
      </w:r>
      <w:r w:rsidR="006F4553" w:rsidRPr="00AA24AE">
        <w:t>at happens if I don’t report the Commonwealth portion of unspent funds by the 31 December deadline?</w:t>
      </w:r>
    </w:p>
    <w:p w14:paraId="4F6CC595" w14:textId="6429475C" w:rsidR="00574A63" w:rsidRPr="00AA24AE" w:rsidRDefault="006F4553" w:rsidP="00A33D1D">
      <w:r w:rsidRPr="00AA24AE">
        <w:t xml:space="preserve">The deadline for reporting was </w:t>
      </w:r>
      <w:r w:rsidR="00392925" w:rsidRPr="00AA24AE">
        <w:rPr>
          <w:b/>
          <w:bCs/>
        </w:rPr>
        <w:t>31 </w:t>
      </w:r>
      <w:r w:rsidR="00BD6725" w:rsidRPr="00AA24AE">
        <w:rPr>
          <w:b/>
          <w:bCs/>
        </w:rPr>
        <w:t>December 2021</w:t>
      </w:r>
      <w:r w:rsidRPr="00AA24AE">
        <w:rPr>
          <w:b/>
          <w:bCs/>
        </w:rPr>
        <w:t xml:space="preserve">. </w:t>
      </w:r>
      <w:r w:rsidRPr="00AA24AE">
        <w:t xml:space="preserve">Providers will be unable to finalise their December claim </w:t>
      </w:r>
      <w:r w:rsidR="00A1712C" w:rsidRPr="00AA24AE">
        <w:t xml:space="preserve">(and all subsequent claims) </w:t>
      </w:r>
      <w:r w:rsidRPr="00AA24AE">
        <w:t xml:space="preserve">until they have reported </w:t>
      </w:r>
      <w:r w:rsidR="0018789A" w:rsidRPr="00AA24AE">
        <w:t>the Commonwealth portion of unspent funds held for each care recipient</w:t>
      </w:r>
      <w:r w:rsidR="000F5326" w:rsidRPr="00AA24AE">
        <w:t xml:space="preserve"> in care prior to 1 September 2021</w:t>
      </w:r>
      <w:r w:rsidR="0018789A" w:rsidRPr="00AA24AE">
        <w:t xml:space="preserve"> </w:t>
      </w:r>
      <w:r w:rsidR="00906808" w:rsidRPr="00AA24AE">
        <w:t xml:space="preserve">to Services Australia </w:t>
      </w:r>
      <w:r w:rsidR="0018789A" w:rsidRPr="00AA24AE">
        <w:t>for at least one claim period (September – November</w:t>
      </w:r>
      <w:r w:rsidR="00534A51" w:rsidRPr="00AA24AE">
        <w:t xml:space="preserve"> 2021</w:t>
      </w:r>
      <w:r w:rsidR="0018789A" w:rsidRPr="00AA24AE">
        <w:t xml:space="preserve">). </w:t>
      </w:r>
    </w:p>
    <w:p w14:paraId="07AC642E" w14:textId="65919901" w:rsidR="00F07275" w:rsidRPr="00F07275" w:rsidRDefault="00F07275" w:rsidP="00AA67AC">
      <w:pPr>
        <w:pStyle w:val="Heading2"/>
        <w:numPr>
          <w:ilvl w:val="0"/>
          <w:numId w:val="5"/>
        </w:numPr>
        <w:ind w:left="284"/>
      </w:pPr>
      <w:r>
        <w:t>What if a provider ma</w:t>
      </w:r>
      <w:r w:rsidR="00906808">
        <w:t>de</w:t>
      </w:r>
      <w:r>
        <w:t xml:space="preserve"> an error in reporting the Commonwealth portion of unspent funds</w:t>
      </w:r>
      <w:r w:rsidR="006231C8">
        <w:t xml:space="preserve"> they hold to Services Australia</w:t>
      </w:r>
      <w:r>
        <w:t>?</w:t>
      </w:r>
    </w:p>
    <w:p w14:paraId="26BC8D07" w14:textId="35405D39" w:rsidR="00081B92" w:rsidRDefault="00F07275">
      <w:r w:rsidRPr="00F07275">
        <w:t xml:space="preserve">If a provider identifies an </w:t>
      </w:r>
      <w:r w:rsidR="006231C8">
        <w:t>error</w:t>
      </w:r>
      <w:r w:rsidR="006231C8" w:rsidRPr="00F07275">
        <w:t xml:space="preserve"> </w:t>
      </w:r>
      <w:r w:rsidRPr="00F07275">
        <w:t xml:space="preserve">with the unspent funds </w:t>
      </w:r>
      <w:proofErr w:type="gramStart"/>
      <w:r w:rsidRPr="00F07275">
        <w:t>amount</w:t>
      </w:r>
      <w:proofErr w:type="gramEnd"/>
      <w:r w:rsidR="00C81866">
        <w:t xml:space="preserve"> they have</w:t>
      </w:r>
      <w:r w:rsidRPr="00F07275">
        <w:t xml:space="preserve"> reported, and they have </w:t>
      </w:r>
      <w:r w:rsidRPr="00E0084D">
        <w:rPr>
          <w:b/>
          <w:bCs/>
        </w:rPr>
        <w:t>not</w:t>
      </w:r>
      <w:r w:rsidRPr="00F07275">
        <w:t xml:space="preserve"> opted-in</w:t>
      </w:r>
      <w:r w:rsidR="006231C8">
        <w:t>,</w:t>
      </w:r>
      <w:r w:rsidRPr="00F07275">
        <w:t xml:space="preserve"> they will be able to update this amount after </w:t>
      </w:r>
      <w:r w:rsidR="006231C8">
        <w:t>it has been reported</w:t>
      </w:r>
      <w:r w:rsidRPr="00F07275">
        <w:t>.</w:t>
      </w:r>
    </w:p>
    <w:p w14:paraId="54A4C44D" w14:textId="3A1D76B8" w:rsidR="00A8513F" w:rsidRDefault="00F07275" w:rsidP="00393E2D">
      <w:r w:rsidRPr="00F07275">
        <w:t xml:space="preserve">However, if a provider chooses to opt-in for a care recipient, the amount they enter when opting in </w:t>
      </w:r>
      <w:r w:rsidRPr="00E0084D">
        <w:rPr>
          <w:b/>
          <w:bCs/>
        </w:rPr>
        <w:t>cannot</w:t>
      </w:r>
      <w:r w:rsidRPr="00F07275">
        <w:t xml:space="preserve"> be changed after it is </w:t>
      </w:r>
      <w:r w:rsidR="00A33D1D" w:rsidRPr="00F07275">
        <w:t>re</w:t>
      </w:r>
      <w:r w:rsidR="00A33D1D">
        <w:t>ported</w:t>
      </w:r>
      <w:r w:rsidRPr="00F07275">
        <w:t>. We encourage all providers to check these amounts before submitting them.</w:t>
      </w:r>
    </w:p>
    <w:p w14:paraId="0B4991E8" w14:textId="105A266C" w:rsidR="009526F1" w:rsidRPr="007F4EB7" w:rsidRDefault="009526F1" w:rsidP="00001655">
      <w:pPr>
        <w:pStyle w:val="Heading1"/>
      </w:pPr>
      <w:bookmarkStart w:id="17" w:name="_Toc95839125"/>
      <w:r w:rsidRPr="007F4EB7">
        <w:lastRenderedPageBreak/>
        <w:t>Opt</w:t>
      </w:r>
      <w:r>
        <w:t>ing</w:t>
      </w:r>
      <w:r w:rsidRPr="007F4EB7">
        <w:t>-in</w:t>
      </w:r>
      <w:r>
        <w:t xml:space="preserve"> to return Commonwealth unspent funds</w:t>
      </w:r>
      <w:bookmarkEnd w:id="17"/>
    </w:p>
    <w:p w14:paraId="1D50B174" w14:textId="0F5BE7D6" w:rsidR="00A8513F" w:rsidRPr="00AA24AE" w:rsidRDefault="00A8513F" w:rsidP="00AA24AE">
      <w:pPr>
        <w:pStyle w:val="Heading2"/>
        <w:numPr>
          <w:ilvl w:val="0"/>
          <w:numId w:val="5"/>
        </w:numPr>
        <w:ind w:left="284"/>
      </w:pPr>
      <w:bookmarkStart w:id="18" w:name="_Hlk92876347"/>
      <w:r w:rsidRPr="00AA24AE">
        <w:t>How do providers opt-in to draw down on the Commonwealth portion of unspent funds?</w:t>
      </w:r>
    </w:p>
    <w:p w14:paraId="25DA207D" w14:textId="28208FBF" w:rsidR="00FD55C3" w:rsidRDefault="00A8513F" w:rsidP="00FD55C3">
      <w:r w:rsidRPr="007F4EB7">
        <w:t xml:space="preserve">Providers can opt-in to return the Commonwealth portion of any unspent funds </w:t>
      </w:r>
      <w:r>
        <w:t>they</w:t>
      </w:r>
      <w:r w:rsidRPr="007F4EB7">
        <w:t xml:space="preserve"> hold for care recipients </w:t>
      </w:r>
      <w:r w:rsidR="002C0490">
        <w:t xml:space="preserve">until </w:t>
      </w:r>
      <w:r w:rsidRPr="007F4EB7">
        <w:rPr>
          <w:b/>
        </w:rPr>
        <w:t>28 February 2022</w:t>
      </w:r>
      <w:r w:rsidR="006231C8">
        <w:rPr>
          <w:b/>
        </w:rPr>
        <w:t xml:space="preserve"> </w:t>
      </w:r>
      <w:r w:rsidR="006231C8" w:rsidRPr="00683B7E">
        <w:rPr>
          <w:bCs/>
        </w:rPr>
        <w:t>(see table below)</w:t>
      </w:r>
      <w:r w:rsidRPr="006231C8">
        <w:rPr>
          <w:bCs/>
        </w:rPr>
        <w:t>.</w:t>
      </w:r>
      <w:r w:rsidR="006231C8" w:rsidRPr="007F4EB7">
        <w:t xml:space="preserve"> </w:t>
      </w:r>
      <w:r w:rsidR="00FD55C3" w:rsidRPr="00FD55C3">
        <w:t xml:space="preserve"> </w:t>
      </w:r>
    </w:p>
    <w:p w14:paraId="63A532AD" w14:textId="0AB8A421" w:rsidR="0015719D" w:rsidRDefault="00FD55C3" w:rsidP="0015719D">
      <w:pPr>
        <w:spacing w:after="0" w:line="276" w:lineRule="auto"/>
      </w:pPr>
      <w:r w:rsidRPr="00FD55C3">
        <w:t>Opting</w:t>
      </w:r>
      <w:r w:rsidR="004A7F28">
        <w:t>-</w:t>
      </w:r>
      <w:r w:rsidRPr="00FD55C3">
        <w:t xml:space="preserve">in </w:t>
      </w:r>
      <w:r w:rsidR="001075CE">
        <w:t>can</w:t>
      </w:r>
      <w:r w:rsidR="001075CE" w:rsidRPr="00FD55C3">
        <w:t xml:space="preserve"> </w:t>
      </w:r>
      <w:r w:rsidRPr="00FD55C3">
        <w:t>be done in the Services Australia Aged Care Provider Portal</w:t>
      </w:r>
      <w:r w:rsidR="001075CE">
        <w:t xml:space="preserve"> via the ‘Bulk reported Commonwealth Unspent amounts screen’ or against individual care recipient profiles or via the paper claim form.</w:t>
      </w:r>
      <w:r w:rsidR="001075CE" w:rsidRPr="00FD55C3" w:rsidDel="001075CE">
        <w:t xml:space="preserve"> </w:t>
      </w:r>
    </w:p>
    <w:p w14:paraId="611FC69C" w14:textId="3D1F4081" w:rsidR="001D4559" w:rsidRPr="001D4559" w:rsidRDefault="001D4559" w:rsidP="0015719D">
      <w:pPr>
        <w:spacing w:after="0" w:line="276" w:lineRule="auto"/>
        <w:jc w:val="center"/>
        <w:rPr>
          <w:rStyle w:val="Strong"/>
        </w:rPr>
      </w:pPr>
      <w:r w:rsidRPr="001D4559">
        <w:rPr>
          <w:rStyle w:val="Strong"/>
        </w:rPr>
        <w:t>Opt-in to return unspent funds key dates</w:t>
      </w:r>
    </w:p>
    <w:tbl>
      <w:tblPr>
        <w:tblW w:w="5363" w:type="pct"/>
        <w:jc w:val="center"/>
        <w:tblCellMar>
          <w:left w:w="0" w:type="dxa"/>
          <w:right w:w="0" w:type="dxa"/>
        </w:tblCellMar>
        <w:tblLook w:val="04A0" w:firstRow="1" w:lastRow="0" w:firstColumn="1" w:lastColumn="0" w:noHBand="0" w:noVBand="1"/>
        <w:tblCaption w:val="Opt-in to return unspent key dates"/>
        <w:tblDescription w:val="This table shows the opt-in to return unspent funds key dates"/>
      </w:tblPr>
      <w:tblGrid>
        <w:gridCol w:w="3624"/>
        <w:gridCol w:w="707"/>
        <w:gridCol w:w="895"/>
        <w:gridCol w:w="918"/>
        <w:gridCol w:w="740"/>
        <w:gridCol w:w="981"/>
        <w:gridCol w:w="1795"/>
      </w:tblGrid>
      <w:tr w:rsidR="006231C8" w:rsidRPr="00ED2606" w14:paraId="0A11939C" w14:textId="77777777" w:rsidTr="00AE6024">
        <w:trPr>
          <w:trHeight w:val="43"/>
          <w:tblHeader/>
          <w:jc w:val="center"/>
        </w:trPr>
        <w:tc>
          <w:tcPr>
            <w:tcW w:w="1876" w:type="pct"/>
            <w:vMerge w:val="restart"/>
            <w:tcBorders>
              <w:top w:val="single" w:sz="8" w:space="0" w:color="FFFFFF"/>
              <w:left w:val="single" w:sz="8" w:space="0" w:color="FFFFFF"/>
              <w:bottom w:val="single" w:sz="24" w:space="0" w:color="FFFFFF"/>
              <w:right w:val="single" w:sz="8" w:space="0" w:color="FFFFFF"/>
            </w:tcBorders>
            <w:shd w:val="clear" w:color="auto" w:fill="008A95"/>
            <w:tcMar>
              <w:top w:w="68" w:type="dxa"/>
              <w:left w:w="136" w:type="dxa"/>
              <w:bottom w:w="68" w:type="dxa"/>
              <w:right w:w="136" w:type="dxa"/>
            </w:tcMar>
            <w:vAlign w:val="center"/>
            <w:hideMark/>
          </w:tcPr>
          <w:p w14:paraId="126E422E" w14:textId="77777777" w:rsidR="006231C8" w:rsidRPr="0026512B" w:rsidRDefault="006231C8" w:rsidP="001D41A9">
            <w:pPr>
              <w:keepNext/>
              <w:spacing w:after="0" w:line="276" w:lineRule="auto"/>
              <w:jc w:val="center"/>
              <w:rPr>
                <w:bCs/>
                <w:color w:val="FFFFFF" w:themeColor="background1"/>
                <w:sz w:val="18"/>
                <w:szCs w:val="18"/>
              </w:rPr>
            </w:pPr>
            <w:r w:rsidRPr="0026512B">
              <w:rPr>
                <w:b/>
                <w:bCs/>
                <w:color w:val="FFFFFF" w:themeColor="background1"/>
                <w:sz w:val="18"/>
                <w:szCs w:val="18"/>
              </w:rPr>
              <w:t>Action</w:t>
            </w:r>
          </w:p>
        </w:tc>
        <w:tc>
          <w:tcPr>
            <w:tcW w:w="1304" w:type="pct"/>
            <w:gridSpan w:val="3"/>
            <w:tcBorders>
              <w:top w:val="single" w:sz="8" w:space="0" w:color="FFFFFF"/>
              <w:left w:val="single" w:sz="8" w:space="0" w:color="FFFFFF"/>
              <w:bottom w:val="single" w:sz="24" w:space="0" w:color="FFFFFF"/>
              <w:right w:val="single" w:sz="8" w:space="0" w:color="FFFFFF"/>
            </w:tcBorders>
            <w:shd w:val="clear" w:color="auto" w:fill="008A95"/>
            <w:tcMar>
              <w:top w:w="68" w:type="dxa"/>
              <w:left w:w="136" w:type="dxa"/>
              <w:bottom w:w="68" w:type="dxa"/>
              <w:right w:w="136" w:type="dxa"/>
            </w:tcMar>
            <w:vAlign w:val="center"/>
            <w:hideMark/>
          </w:tcPr>
          <w:p w14:paraId="2AEDAB84" w14:textId="77777777" w:rsidR="006231C8" w:rsidRPr="0026512B" w:rsidRDefault="006231C8" w:rsidP="001D41A9">
            <w:pPr>
              <w:keepNext/>
              <w:spacing w:after="0" w:line="276" w:lineRule="auto"/>
              <w:jc w:val="center"/>
              <w:rPr>
                <w:bCs/>
                <w:color w:val="FFFFFF" w:themeColor="background1"/>
                <w:sz w:val="18"/>
                <w:szCs w:val="18"/>
              </w:rPr>
            </w:pPr>
            <w:r w:rsidRPr="0026512B">
              <w:rPr>
                <w:b/>
                <w:bCs/>
                <w:color w:val="FFFFFF" w:themeColor="background1"/>
                <w:sz w:val="18"/>
                <w:szCs w:val="18"/>
              </w:rPr>
              <w:t>2021 (calendar dates)</w:t>
            </w:r>
          </w:p>
        </w:tc>
        <w:tc>
          <w:tcPr>
            <w:tcW w:w="1820" w:type="pct"/>
            <w:gridSpan w:val="3"/>
            <w:tcBorders>
              <w:top w:val="single" w:sz="8" w:space="0" w:color="FFFFFF"/>
              <w:left w:val="single" w:sz="8" w:space="0" w:color="FFFFFF"/>
              <w:bottom w:val="single" w:sz="24" w:space="0" w:color="FFFFFF"/>
              <w:right w:val="single" w:sz="8" w:space="0" w:color="FFFFFF"/>
            </w:tcBorders>
            <w:shd w:val="clear" w:color="auto" w:fill="008A95"/>
            <w:tcMar>
              <w:top w:w="68" w:type="dxa"/>
              <w:left w:w="136" w:type="dxa"/>
              <w:bottom w:w="68" w:type="dxa"/>
              <w:right w:w="136" w:type="dxa"/>
            </w:tcMar>
            <w:vAlign w:val="center"/>
            <w:hideMark/>
          </w:tcPr>
          <w:p w14:paraId="7AD9A165" w14:textId="77777777" w:rsidR="006231C8" w:rsidRPr="0026512B" w:rsidRDefault="006231C8" w:rsidP="001D41A9">
            <w:pPr>
              <w:keepNext/>
              <w:spacing w:after="0" w:line="276" w:lineRule="auto"/>
              <w:jc w:val="center"/>
              <w:rPr>
                <w:bCs/>
                <w:color w:val="FFFFFF" w:themeColor="background1"/>
                <w:sz w:val="18"/>
                <w:szCs w:val="18"/>
              </w:rPr>
            </w:pPr>
            <w:r w:rsidRPr="0026512B">
              <w:rPr>
                <w:b/>
                <w:bCs/>
                <w:color w:val="FFFFFF" w:themeColor="background1"/>
                <w:sz w:val="18"/>
                <w:szCs w:val="18"/>
              </w:rPr>
              <w:t>2022 (calendar dates)</w:t>
            </w:r>
          </w:p>
        </w:tc>
      </w:tr>
      <w:tr w:rsidR="006231C8" w:rsidRPr="00ED2606" w14:paraId="2333019A" w14:textId="77777777" w:rsidTr="00AE6024">
        <w:trPr>
          <w:trHeight w:val="20"/>
          <w:tblHeader/>
          <w:jc w:val="center"/>
        </w:trPr>
        <w:tc>
          <w:tcPr>
            <w:tcW w:w="1876" w:type="pct"/>
            <w:vMerge/>
            <w:tcBorders>
              <w:top w:val="single" w:sz="8" w:space="0" w:color="FFFFFF"/>
              <w:left w:val="single" w:sz="8" w:space="0" w:color="FFFFFF"/>
              <w:bottom w:val="single" w:sz="24" w:space="0" w:color="FFFFFF"/>
              <w:right w:val="single" w:sz="8" w:space="0" w:color="FFFFFF"/>
            </w:tcBorders>
            <w:vAlign w:val="center"/>
            <w:hideMark/>
          </w:tcPr>
          <w:p w14:paraId="5F587B25" w14:textId="77777777" w:rsidR="006231C8" w:rsidRPr="0026512B" w:rsidRDefault="006231C8" w:rsidP="001D41A9">
            <w:pPr>
              <w:keepNext/>
              <w:spacing w:after="0" w:line="276" w:lineRule="auto"/>
              <w:jc w:val="center"/>
              <w:rPr>
                <w:bCs/>
                <w:color w:val="FFFFFF" w:themeColor="background1"/>
                <w:sz w:val="18"/>
                <w:szCs w:val="18"/>
              </w:rPr>
            </w:pPr>
          </w:p>
        </w:tc>
        <w:tc>
          <w:tcPr>
            <w:tcW w:w="366" w:type="pct"/>
            <w:tcBorders>
              <w:top w:val="single" w:sz="24" w:space="0" w:color="FFFFFF"/>
              <w:left w:val="single" w:sz="24" w:space="0" w:color="FFFFFF"/>
              <w:bottom w:val="single" w:sz="8" w:space="0" w:color="FFFFFF"/>
              <w:right w:val="single" w:sz="8" w:space="0" w:color="FFFFFF"/>
            </w:tcBorders>
            <w:shd w:val="clear" w:color="auto" w:fill="CBDADD"/>
            <w:tcMar>
              <w:top w:w="15" w:type="dxa"/>
              <w:left w:w="130" w:type="dxa"/>
              <w:bottom w:w="0" w:type="dxa"/>
              <w:right w:w="130" w:type="dxa"/>
            </w:tcMar>
            <w:vAlign w:val="center"/>
            <w:hideMark/>
          </w:tcPr>
          <w:p w14:paraId="6079327A" w14:textId="77777777" w:rsidR="006231C8" w:rsidRPr="0026512B" w:rsidRDefault="006231C8" w:rsidP="001D41A9">
            <w:pPr>
              <w:keepNext/>
              <w:spacing w:after="0" w:line="276" w:lineRule="auto"/>
              <w:jc w:val="center"/>
              <w:rPr>
                <w:bCs/>
                <w:sz w:val="18"/>
                <w:szCs w:val="18"/>
              </w:rPr>
            </w:pPr>
            <w:r w:rsidRPr="0026512B">
              <w:rPr>
                <w:bCs/>
                <w:sz w:val="18"/>
                <w:szCs w:val="18"/>
              </w:rPr>
              <w:t>Oct</w:t>
            </w:r>
          </w:p>
        </w:tc>
        <w:tc>
          <w:tcPr>
            <w:tcW w:w="463" w:type="pct"/>
            <w:tcBorders>
              <w:top w:val="single" w:sz="24" w:space="0" w:color="FFFFFF"/>
              <w:left w:val="single" w:sz="8" w:space="0" w:color="FFFFFF"/>
              <w:bottom w:val="single" w:sz="8" w:space="0" w:color="FFFFFF"/>
              <w:right w:val="single" w:sz="8" w:space="0" w:color="FFFFFF"/>
            </w:tcBorders>
            <w:shd w:val="clear" w:color="auto" w:fill="CBDADD"/>
            <w:tcMar>
              <w:top w:w="15" w:type="dxa"/>
              <w:left w:w="130" w:type="dxa"/>
              <w:bottom w:w="0" w:type="dxa"/>
              <w:right w:w="130" w:type="dxa"/>
            </w:tcMar>
            <w:vAlign w:val="center"/>
            <w:hideMark/>
          </w:tcPr>
          <w:p w14:paraId="24924BB6" w14:textId="77777777" w:rsidR="006231C8" w:rsidRPr="0026512B" w:rsidRDefault="006231C8" w:rsidP="001D41A9">
            <w:pPr>
              <w:keepNext/>
              <w:spacing w:after="0" w:line="276" w:lineRule="auto"/>
              <w:jc w:val="center"/>
              <w:rPr>
                <w:bCs/>
                <w:sz w:val="18"/>
                <w:szCs w:val="18"/>
              </w:rPr>
            </w:pPr>
            <w:r w:rsidRPr="0026512B">
              <w:rPr>
                <w:bCs/>
                <w:sz w:val="18"/>
                <w:szCs w:val="18"/>
              </w:rPr>
              <w:t>Nov</w:t>
            </w:r>
          </w:p>
        </w:tc>
        <w:tc>
          <w:tcPr>
            <w:tcW w:w="475" w:type="pct"/>
            <w:tcBorders>
              <w:top w:val="single" w:sz="24" w:space="0" w:color="FFFFFF"/>
              <w:left w:val="single" w:sz="8" w:space="0" w:color="FFFFFF"/>
              <w:bottom w:val="single" w:sz="8" w:space="0" w:color="FFFFFF"/>
              <w:right w:val="single" w:sz="8" w:space="0" w:color="FFFFFF"/>
            </w:tcBorders>
            <w:shd w:val="clear" w:color="auto" w:fill="CBDADD"/>
            <w:tcMar>
              <w:top w:w="15" w:type="dxa"/>
              <w:left w:w="130" w:type="dxa"/>
              <w:bottom w:w="0" w:type="dxa"/>
              <w:right w:w="130" w:type="dxa"/>
            </w:tcMar>
            <w:vAlign w:val="center"/>
            <w:hideMark/>
          </w:tcPr>
          <w:p w14:paraId="1B6F5358" w14:textId="77777777" w:rsidR="006231C8" w:rsidRPr="0026512B" w:rsidRDefault="006231C8" w:rsidP="001D41A9">
            <w:pPr>
              <w:keepNext/>
              <w:spacing w:after="0" w:line="276" w:lineRule="auto"/>
              <w:jc w:val="center"/>
              <w:rPr>
                <w:bCs/>
                <w:sz w:val="18"/>
                <w:szCs w:val="18"/>
              </w:rPr>
            </w:pPr>
            <w:r w:rsidRPr="0026512B">
              <w:rPr>
                <w:bCs/>
                <w:sz w:val="18"/>
                <w:szCs w:val="18"/>
              </w:rPr>
              <w:t>Dec</w:t>
            </w:r>
          </w:p>
        </w:tc>
        <w:tc>
          <w:tcPr>
            <w:tcW w:w="383" w:type="pct"/>
            <w:tcBorders>
              <w:top w:val="single" w:sz="24" w:space="0" w:color="FFFFFF"/>
              <w:left w:val="single" w:sz="8" w:space="0" w:color="FFFFFF"/>
              <w:bottom w:val="single" w:sz="8" w:space="0" w:color="FFFFFF"/>
              <w:right w:val="single" w:sz="8" w:space="0" w:color="FFFFFF"/>
            </w:tcBorders>
            <w:shd w:val="clear" w:color="auto" w:fill="CBDADD"/>
            <w:tcMar>
              <w:top w:w="15" w:type="dxa"/>
              <w:left w:w="130" w:type="dxa"/>
              <w:bottom w:w="0" w:type="dxa"/>
              <w:right w:w="130" w:type="dxa"/>
            </w:tcMar>
            <w:vAlign w:val="center"/>
            <w:hideMark/>
          </w:tcPr>
          <w:p w14:paraId="18DD22B9" w14:textId="77777777" w:rsidR="006231C8" w:rsidRPr="0026512B" w:rsidRDefault="006231C8" w:rsidP="001D41A9">
            <w:pPr>
              <w:keepNext/>
              <w:spacing w:after="0" w:line="276" w:lineRule="auto"/>
              <w:jc w:val="center"/>
              <w:rPr>
                <w:bCs/>
                <w:sz w:val="18"/>
                <w:szCs w:val="18"/>
              </w:rPr>
            </w:pPr>
            <w:r w:rsidRPr="0026512B">
              <w:rPr>
                <w:bCs/>
                <w:sz w:val="18"/>
                <w:szCs w:val="18"/>
              </w:rPr>
              <w:t>Jan</w:t>
            </w:r>
          </w:p>
        </w:tc>
        <w:tc>
          <w:tcPr>
            <w:tcW w:w="508" w:type="pct"/>
            <w:tcBorders>
              <w:top w:val="single" w:sz="24" w:space="0" w:color="FFFFFF"/>
              <w:left w:val="single" w:sz="8" w:space="0" w:color="FFFFFF"/>
              <w:bottom w:val="single" w:sz="8" w:space="0" w:color="FFFFFF"/>
              <w:right w:val="single" w:sz="8" w:space="0" w:color="FFFFFF"/>
            </w:tcBorders>
            <w:shd w:val="clear" w:color="auto" w:fill="CBDADD"/>
            <w:tcMar>
              <w:top w:w="15" w:type="dxa"/>
              <w:left w:w="130" w:type="dxa"/>
              <w:bottom w:w="0" w:type="dxa"/>
              <w:right w:w="130" w:type="dxa"/>
            </w:tcMar>
            <w:vAlign w:val="center"/>
            <w:hideMark/>
          </w:tcPr>
          <w:p w14:paraId="7689DF2E" w14:textId="77777777" w:rsidR="006231C8" w:rsidRPr="0026512B" w:rsidRDefault="006231C8" w:rsidP="001D41A9">
            <w:pPr>
              <w:keepNext/>
              <w:spacing w:after="0" w:line="276" w:lineRule="auto"/>
              <w:jc w:val="center"/>
              <w:rPr>
                <w:bCs/>
                <w:sz w:val="18"/>
                <w:szCs w:val="18"/>
              </w:rPr>
            </w:pPr>
            <w:r w:rsidRPr="0026512B">
              <w:rPr>
                <w:bCs/>
                <w:sz w:val="18"/>
                <w:szCs w:val="18"/>
              </w:rPr>
              <w:t>Feb</w:t>
            </w:r>
          </w:p>
        </w:tc>
        <w:tc>
          <w:tcPr>
            <w:tcW w:w="929" w:type="pct"/>
            <w:tcBorders>
              <w:top w:val="single" w:sz="24" w:space="0" w:color="FFFFFF"/>
              <w:left w:val="single" w:sz="8" w:space="0" w:color="FFFFFF"/>
              <w:bottom w:val="single" w:sz="8" w:space="0" w:color="FFFFFF"/>
              <w:right w:val="single" w:sz="8" w:space="0" w:color="FFFFFF"/>
            </w:tcBorders>
            <w:shd w:val="clear" w:color="auto" w:fill="CBDADD"/>
            <w:tcMar>
              <w:top w:w="15" w:type="dxa"/>
              <w:left w:w="130" w:type="dxa"/>
              <w:bottom w:w="0" w:type="dxa"/>
              <w:right w:w="130" w:type="dxa"/>
            </w:tcMar>
            <w:vAlign w:val="center"/>
            <w:hideMark/>
          </w:tcPr>
          <w:p w14:paraId="2243EEF5" w14:textId="77777777" w:rsidR="006231C8" w:rsidRPr="0026512B" w:rsidRDefault="006231C8" w:rsidP="001D41A9">
            <w:pPr>
              <w:keepNext/>
              <w:spacing w:after="0" w:line="276" w:lineRule="auto"/>
              <w:jc w:val="center"/>
              <w:rPr>
                <w:bCs/>
                <w:sz w:val="18"/>
                <w:szCs w:val="18"/>
              </w:rPr>
            </w:pPr>
            <w:r w:rsidRPr="0026512B">
              <w:rPr>
                <w:bCs/>
                <w:sz w:val="18"/>
                <w:szCs w:val="18"/>
              </w:rPr>
              <w:t>Mar - ongoing</w:t>
            </w:r>
          </w:p>
        </w:tc>
      </w:tr>
      <w:tr w:rsidR="006231C8" w:rsidRPr="00800650" w14:paraId="1BC5C916" w14:textId="77777777" w:rsidTr="0026512B">
        <w:trPr>
          <w:trHeight w:val="353"/>
          <w:tblHeader/>
          <w:jc w:val="center"/>
        </w:trPr>
        <w:tc>
          <w:tcPr>
            <w:tcW w:w="1876" w:type="pct"/>
            <w:tcBorders>
              <w:top w:val="single" w:sz="8" w:space="0" w:color="FFFFFF"/>
              <w:left w:val="single" w:sz="8" w:space="0" w:color="FFFFFF"/>
              <w:bottom w:val="single" w:sz="8" w:space="0" w:color="FFFFFF"/>
              <w:right w:val="single" w:sz="8" w:space="0" w:color="FFFFFF"/>
            </w:tcBorders>
            <w:shd w:val="clear" w:color="auto" w:fill="008A95"/>
            <w:tcMar>
              <w:top w:w="15" w:type="dxa"/>
              <w:left w:w="130" w:type="dxa"/>
              <w:bottom w:w="0" w:type="dxa"/>
              <w:right w:w="130" w:type="dxa"/>
            </w:tcMar>
            <w:vAlign w:val="center"/>
            <w:hideMark/>
          </w:tcPr>
          <w:p w14:paraId="76D12731" w14:textId="77777777" w:rsidR="006231C8" w:rsidRPr="0026512B" w:rsidRDefault="006231C8" w:rsidP="0026512B">
            <w:pPr>
              <w:jc w:val="center"/>
              <w:rPr>
                <w:sz w:val="18"/>
                <w:szCs w:val="18"/>
              </w:rPr>
            </w:pPr>
            <w:r w:rsidRPr="0026512B">
              <w:rPr>
                <w:b/>
                <w:bCs/>
                <w:color w:val="FFFFFF" w:themeColor="background1"/>
                <w:sz w:val="18"/>
                <w:szCs w:val="18"/>
              </w:rPr>
              <w:t>Opt-in to return unspent funds</w:t>
            </w:r>
          </w:p>
        </w:tc>
        <w:tc>
          <w:tcPr>
            <w:tcW w:w="2195" w:type="pct"/>
            <w:gridSpan w:val="5"/>
            <w:tcBorders>
              <w:top w:val="single" w:sz="8" w:space="0" w:color="FFFFFF"/>
              <w:left w:val="single" w:sz="8" w:space="0" w:color="FFFFFF"/>
              <w:bottom w:val="single" w:sz="8" w:space="0" w:color="FFFFFF"/>
              <w:right w:val="single" w:sz="8" w:space="0" w:color="FFFFFF"/>
            </w:tcBorders>
            <w:shd w:val="clear" w:color="auto" w:fill="77C0FF"/>
            <w:tcMar>
              <w:top w:w="68" w:type="dxa"/>
              <w:left w:w="136" w:type="dxa"/>
              <w:bottom w:w="68" w:type="dxa"/>
              <w:right w:w="136" w:type="dxa"/>
            </w:tcMar>
            <w:vAlign w:val="center"/>
            <w:hideMark/>
          </w:tcPr>
          <w:p w14:paraId="50D9701F" w14:textId="77777777" w:rsidR="006231C8" w:rsidRPr="0026512B" w:rsidRDefault="006231C8" w:rsidP="0026512B">
            <w:pPr>
              <w:jc w:val="center"/>
              <w:rPr>
                <w:sz w:val="18"/>
                <w:szCs w:val="18"/>
              </w:rPr>
            </w:pPr>
            <w:r w:rsidRPr="0026512B">
              <w:rPr>
                <w:sz w:val="18"/>
                <w:szCs w:val="18"/>
              </w:rPr>
              <w:t>Optional</w:t>
            </w:r>
          </w:p>
        </w:tc>
        <w:tc>
          <w:tcPr>
            <w:tcW w:w="929" w:type="pct"/>
            <w:tcBorders>
              <w:top w:val="single" w:sz="8" w:space="0" w:color="FFFFFF"/>
              <w:left w:val="single" w:sz="8" w:space="0" w:color="FFFFFF"/>
              <w:bottom w:val="single" w:sz="8" w:space="0" w:color="FFFFFF"/>
              <w:right w:val="single" w:sz="8" w:space="0" w:color="FFFFFF"/>
            </w:tcBorders>
            <w:shd w:val="clear" w:color="auto" w:fill="E7EDEF"/>
            <w:tcMar>
              <w:top w:w="15" w:type="dxa"/>
              <w:left w:w="130" w:type="dxa"/>
              <w:bottom w:w="0" w:type="dxa"/>
              <w:right w:w="130" w:type="dxa"/>
            </w:tcMar>
            <w:vAlign w:val="center"/>
            <w:hideMark/>
          </w:tcPr>
          <w:p w14:paraId="40AF2FB3" w14:textId="77777777" w:rsidR="006231C8" w:rsidRPr="0026512B" w:rsidRDefault="006231C8" w:rsidP="0026512B">
            <w:pPr>
              <w:jc w:val="center"/>
              <w:rPr>
                <w:sz w:val="18"/>
                <w:szCs w:val="18"/>
              </w:rPr>
            </w:pPr>
            <w:r w:rsidRPr="0026512B">
              <w:rPr>
                <w:sz w:val="18"/>
                <w:szCs w:val="18"/>
              </w:rPr>
              <w:t>No longer available</w:t>
            </w:r>
          </w:p>
        </w:tc>
      </w:tr>
    </w:tbl>
    <w:bookmarkEnd w:id="18"/>
    <w:p w14:paraId="180490C0" w14:textId="718750D8" w:rsidR="00C30C3A" w:rsidRDefault="00C30C3A" w:rsidP="00C30C3A">
      <w:pPr>
        <w:pStyle w:val="Heading2"/>
        <w:numPr>
          <w:ilvl w:val="0"/>
          <w:numId w:val="5"/>
        </w:numPr>
        <w:ind w:left="284"/>
      </w:pPr>
      <w:r>
        <w:t>What is the benefit of opting-in to return provider held Commonwealth unspent funds?</w:t>
      </w:r>
    </w:p>
    <w:p w14:paraId="769CE1B6" w14:textId="59F8D85B" w:rsidR="009C725D" w:rsidRDefault="0032062C" w:rsidP="00393E2D">
      <w:pPr>
        <w:rPr>
          <w:rFonts w:eastAsia="Times New Roman"/>
          <w:color w:val="000000" w:themeColor="text1"/>
          <w:szCs w:val="22"/>
          <w:lang w:eastAsia="en-AU"/>
        </w:rPr>
      </w:pPr>
      <w:r>
        <w:t xml:space="preserve">The benefit of opting-in to return provider held Commonwealth unspent funds is a reduction in administrative burden for providers. </w:t>
      </w:r>
      <w:r w:rsidR="009C725D">
        <w:rPr>
          <w:rFonts w:eastAsia="Times New Roman"/>
          <w:color w:val="000000" w:themeColor="text1"/>
          <w:szCs w:val="22"/>
          <w:lang w:eastAsia="en-AU"/>
        </w:rPr>
        <w:t xml:space="preserve">Once a provider reports their unspent funds balance and opts-in, Services Australia will keep track of the </w:t>
      </w:r>
      <w:r w:rsidR="009C725D" w:rsidRPr="009A206E">
        <w:rPr>
          <w:bCs/>
          <w:szCs w:val="22"/>
        </w:rPr>
        <w:t xml:space="preserve">Commonwealth portion </w:t>
      </w:r>
      <w:r w:rsidR="009C725D">
        <w:rPr>
          <w:bCs/>
          <w:szCs w:val="22"/>
        </w:rPr>
        <w:t xml:space="preserve">of </w:t>
      </w:r>
      <w:r w:rsidR="009C725D">
        <w:rPr>
          <w:rFonts w:eastAsia="Times New Roman"/>
          <w:color w:val="000000" w:themeColor="text1"/>
          <w:szCs w:val="22"/>
          <w:lang w:eastAsia="en-AU"/>
        </w:rPr>
        <w:t xml:space="preserve">provider-held </w:t>
      </w:r>
      <w:r w:rsidR="009C725D" w:rsidRPr="009A206E">
        <w:rPr>
          <w:bCs/>
          <w:szCs w:val="22"/>
        </w:rPr>
        <w:t>unspent funds</w:t>
      </w:r>
      <w:r w:rsidR="009C725D">
        <w:rPr>
          <w:rFonts w:eastAsia="Times New Roman"/>
          <w:color w:val="000000" w:themeColor="text1"/>
          <w:szCs w:val="22"/>
          <w:lang w:eastAsia="en-AU"/>
        </w:rPr>
        <w:t xml:space="preserve">. The provider will not need to report on the </w:t>
      </w:r>
      <w:r w:rsidR="009C725D" w:rsidRPr="009A206E">
        <w:rPr>
          <w:bCs/>
          <w:szCs w:val="22"/>
        </w:rPr>
        <w:t xml:space="preserve">Commonwealth portion </w:t>
      </w:r>
      <w:r w:rsidR="009C725D">
        <w:rPr>
          <w:bCs/>
          <w:szCs w:val="22"/>
        </w:rPr>
        <w:t xml:space="preserve">of </w:t>
      </w:r>
      <w:r w:rsidR="009C725D">
        <w:rPr>
          <w:rFonts w:eastAsia="Times New Roman"/>
          <w:color w:val="000000" w:themeColor="text1"/>
          <w:szCs w:val="22"/>
          <w:lang w:eastAsia="en-AU"/>
        </w:rPr>
        <w:t xml:space="preserve">provider-held </w:t>
      </w:r>
      <w:r w:rsidR="009C725D" w:rsidRPr="009A206E">
        <w:rPr>
          <w:bCs/>
          <w:szCs w:val="22"/>
        </w:rPr>
        <w:t>unspent funds</w:t>
      </w:r>
      <w:r w:rsidR="009C725D">
        <w:rPr>
          <w:rFonts w:eastAsia="Times New Roman"/>
          <w:color w:val="000000" w:themeColor="text1"/>
          <w:szCs w:val="22"/>
          <w:lang w:eastAsia="en-AU"/>
        </w:rPr>
        <w:t xml:space="preserve"> after this.</w:t>
      </w:r>
    </w:p>
    <w:p w14:paraId="3A90FC77" w14:textId="0B344AB2" w:rsidR="009C725D" w:rsidRDefault="00D36BFA" w:rsidP="00393E2D">
      <w:r>
        <w:t xml:space="preserve">Opting-in also benefits care recipients. </w:t>
      </w:r>
      <w:r w:rsidR="009C725D" w:rsidRPr="007F4EB7">
        <w:t>In an opt-in scenario, the provider does not need to use the care recipient portion of unspent funds they hold</w:t>
      </w:r>
      <w:r>
        <w:t xml:space="preserve"> first</w:t>
      </w:r>
      <w:r w:rsidR="009C725D">
        <w:t>,</w:t>
      </w:r>
      <w:r w:rsidR="009C725D" w:rsidRPr="007F4EB7">
        <w:t xml:space="preserve"> unless they deliver services </w:t>
      </w:r>
      <w:proofErr w:type="gramStart"/>
      <w:r w:rsidR="009C725D" w:rsidRPr="007F4EB7">
        <w:t>in excess of</w:t>
      </w:r>
      <w:proofErr w:type="gramEnd"/>
      <w:r w:rsidR="009C725D" w:rsidRPr="007F4EB7">
        <w:t xml:space="preserve"> what is otherwise available to the care recipient.</w:t>
      </w:r>
    </w:p>
    <w:p w14:paraId="642A36E8" w14:textId="443B74AF" w:rsidR="009526F1" w:rsidRPr="007F4EB7" w:rsidRDefault="009526F1" w:rsidP="00393E2D">
      <w:bookmarkStart w:id="19" w:name="_Hlk78129565"/>
      <w:r w:rsidRPr="007F4EB7">
        <w:t xml:space="preserve">There are currently $1.4 billion of </w:t>
      </w:r>
      <w:r>
        <w:t>Commonwealth</w:t>
      </w:r>
      <w:r w:rsidRPr="007F4EB7">
        <w:t xml:space="preserve"> unspent funds</w:t>
      </w:r>
      <w:r w:rsidR="00F105D6">
        <w:t xml:space="preserve"> held by </w:t>
      </w:r>
      <w:r w:rsidR="00115706">
        <w:t>Home Care Package</w:t>
      </w:r>
      <w:r w:rsidR="00F105D6">
        <w:t xml:space="preserve"> </w:t>
      </w:r>
      <w:r w:rsidR="004A7F28">
        <w:t>P</w:t>
      </w:r>
      <w:r w:rsidR="00F105D6">
        <w:t>rogram providers</w:t>
      </w:r>
      <w:r w:rsidR="00F105D6" w:rsidRPr="007F4EB7">
        <w:t xml:space="preserve"> </w:t>
      </w:r>
      <w:r w:rsidRPr="007F4EB7">
        <w:t>and this is growing rapidly.</w:t>
      </w:r>
      <w:bookmarkEnd w:id="19"/>
      <w:r w:rsidRPr="007F4EB7">
        <w:t xml:space="preserve"> Moving unspent funds back to the Government will enable providers to transfer the financial and prudential risks of holding these funds to the Government. Providers will no longer be responsible for the liability of managing substantial sums of unspent funds.</w:t>
      </w:r>
    </w:p>
    <w:p w14:paraId="42894B8E" w14:textId="68C07493" w:rsidR="009526F1" w:rsidRPr="007F4EB7" w:rsidRDefault="009526F1" w:rsidP="00AA67AC">
      <w:pPr>
        <w:pStyle w:val="Heading2"/>
        <w:numPr>
          <w:ilvl w:val="0"/>
          <w:numId w:val="5"/>
        </w:numPr>
        <w:ind w:left="284"/>
      </w:pPr>
      <w:r w:rsidRPr="007F4EB7">
        <w:t>Once opted</w:t>
      </w:r>
      <w:r>
        <w:t>-</w:t>
      </w:r>
      <w:r w:rsidRPr="007F4EB7">
        <w:t xml:space="preserve">in, how long will providers have to </w:t>
      </w:r>
      <w:r w:rsidR="0089334A">
        <w:t>draw down on</w:t>
      </w:r>
      <w:r w:rsidRPr="007F4EB7">
        <w:t xml:space="preserve"> unspent funds?</w:t>
      </w:r>
    </w:p>
    <w:p w14:paraId="78554B26" w14:textId="77777777" w:rsidR="006753B9" w:rsidRDefault="009526F1">
      <w:r w:rsidRPr="007F4EB7">
        <w:t>Once a provider has opted</w:t>
      </w:r>
      <w:r>
        <w:t>-</w:t>
      </w:r>
      <w:r w:rsidRPr="007F4EB7">
        <w:t xml:space="preserve">in to </w:t>
      </w:r>
      <w:r w:rsidR="0089334A">
        <w:t>draw down</w:t>
      </w:r>
      <w:r w:rsidRPr="007F4EB7">
        <w:t xml:space="preserve"> </w:t>
      </w:r>
      <w:r w:rsidR="00A8513F">
        <w:t xml:space="preserve">the Commonwealth portion of </w:t>
      </w:r>
      <w:r w:rsidRPr="007F4EB7">
        <w:t>a care recipient</w:t>
      </w:r>
      <w:r w:rsidR="00A8513F">
        <w:t>’</w:t>
      </w:r>
      <w:r w:rsidRPr="007F4EB7">
        <w:t>s unspent funds</w:t>
      </w:r>
      <w:r w:rsidR="00A8513F">
        <w:t>,</w:t>
      </w:r>
      <w:r w:rsidRPr="007F4EB7">
        <w:t xml:space="preserve"> there is no</w:t>
      </w:r>
      <w:r>
        <w:t xml:space="preserve"> </w:t>
      </w:r>
      <w:r w:rsidR="0032062C">
        <w:t xml:space="preserve">specified </w:t>
      </w:r>
      <w:r w:rsidRPr="007F4EB7">
        <w:t xml:space="preserve">time limit </w:t>
      </w:r>
      <w:r w:rsidR="00A8513F">
        <w:t>on returning the full amount</w:t>
      </w:r>
      <w:r w:rsidRPr="007F4EB7">
        <w:t>.</w:t>
      </w:r>
      <w:r>
        <w:t xml:space="preserve"> </w:t>
      </w:r>
    </w:p>
    <w:p w14:paraId="2824684B" w14:textId="3320471F" w:rsidR="009526F1" w:rsidRDefault="009526F1">
      <w:r>
        <w:t>Th</w:t>
      </w:r>
      <w:r w:rsidR="0032062C">
        <w:t xml:space="preserve">e </w:t>
      </w:r>
      <w:proofErr w:type="gramStart"/>
      <w:r w:rsidR="0032062C">
        <w:t>time period</w:t>
      </w:r>
      <w:proofErr w:type="gramEnd"/>
      <w:r w:rsidR="0032062C">
        <w:t xml:space="preserve"> for return</w:t>
      </w:r>
      <w:r>
        <w:t xml:space="preserve"> will de</w:t>
      </w:r>
      <w:r w:rsidR="0032062C">
        <w:t>pend on</w:t>
      </w:r>
      <w:r>
        <w:t xml:space="preserve"> the amount of unspent funds </w:t>
      </w:r>
      <w:r w:rsidR="0032062C">
        <w:t xml:space="preserve">a provider holds </w:t>
      </w:r>
      <w:r>
        <w:t>and the care recipient’s monthly entitlements.</w:t>
      </w:r>
      <w:r w:rsidRPr="007F4EB7">
        <w:t xml:space="preserve"> </w:t>
      </w:r>
      <w:r>
        <w:t>Providers</w:t>
      </w:r>
      <w:r w:rsidRPr="007F4EB7">
        <w:t xml:space="preserve"> will continue to </w:t>
      </w:r>
      <w:r w:rsidR="0089334A">
        <w:t>draw down</w:t>
      </w:r>
      <w:r w:rsidRPr="007F4EB7">
        <w:t xml:space="preserve"> t</w:t>
      </w:r>
      <w:r w:rsidR="0032062C">
        <w:t>he Commonwealth portion of unspent</w:t>
      </w:r>
      <w:r w:rsidRPr="007F4EB7">
        <w:t xml:space="preserve"> funds until they hold zero for that care recipient.</w:t>
      </w:r>
    </w:p>
    <w:p w14:paraId="3D137740" w14:textId="0CCB2CF2" w:rsidR="000673C2" w:rsidRDefault="000673C2">
      <w:r>
        <w:t>Regardless of whether a provider has opted in or not, unspent funds will need to be examined in the transition to a new support at home program.</w:t>
      </w:r>
    </w:p>
    <w:p w14:paraId="02C929FB" w14:textId="77777777" w:rsidR="009526F1" w:rsidRPr="007F4EB7" w:rsidRDefault="009526F1" w:rsidP="00AA67AC">
      <w:pPr>
        <w:pStyle w:val="Heading2"/>
        <w:numPr>
          <w:ilvl w:val="0"/>
          <w:numId w:val="5"/>
        </w:numPr>
        <w:ind w:left="284"/>
      </w:pPr>
      <w:r w:rsidRPr="007F4EB7">
        <w:t xml:space="preserve">Can a provider choose to opt-in for some care recipients but not all? </w:t>
      </w:r>
    </w:p>
    <w:p w14:paraId="6B985ADF" w14:textId="09583AAF" w:rsidR="004272D3" w:rsidRDefault="009526F1">
      <w:r w:rsidRPr="007F4EB7">
        <w:t xml:space="preserve">Yes, a provider </w:t>
      </w:r>
      <w:r>
        <w:t>can</w:t>
      </w:r>
      <w:r w:rsidRPr="007F4EB7">
        <w:t xml:space="preserve"> opt-in for </w:t>
      </w:r>
      <w:r>
        <w:t>one or more</w:t>
      </w:r>
      <w:r w:rsidRPr="007F4EB7">
        <w:t xml:space="preserve"> care recipients</w:t>
      </w:r>
      <w:r w:rsidR="007B720A">
        <w:t xml:space="preserve"> (or none)</w:t>
      </w:r>
      <w:r w:rsidRPr="007F4EB7">
        <w:t>. However</w:t>
      </w:r>
      <w:r>
        <w:t>,</w:t>
      </w:r>
      <w:r w:rsidRPr="007F4EB7">
        <w:t xml:space="preserve"> once </w:t>
      </w:r>
      <w:r>
        <w:t>a provider has</w:t>
      </w:r>
      <w:r w:rsidRPr="007F4EB7">
        <w:t xml:space="preserve"> opted</w:t>
      </w:r>
      <w:r>
        <w:t>-</w:t>
      </w:r>
      <w:r w:rsidRPr="007F4EB7">
        <w:t xml:space="preserve">in to return the </w:t>
      </w:r>
      <w:r w:rsidR="0032062C">
        <w:t xml:space="preserve">Commonwealth portion of unspent </w:t>
      </w:r>
      <w:r w:rsidRPr="007F4EB7">
        <w:t xml:space="preserve">funds for a </w:t>
      </w:r>
      <w:r>
        <w:t xml:space="preserve">particular </w:t>
      </w:r>
      <w:r w:rsidRPr="007F4EB7">
        <w:t xml:space="preserve">care recipient, </w:t>
      </w:r>
      <w:r>
        <w:t>this cannot be changed.</w:t>
      </w:r>
    </w:p>
    <w:p w14:paraId="18D00D97" w14:textId="2AA09EB0" w:rsidR="002D6D52" w:rsidRPr="007F4EB7" w:rsidRDefault="002D6D52">
      <w:r>
        <w:rPr>
          <w:rFonts w:eastAsia="Times New Roman"/>
          <w:szCs w:val="22"/>
        </w:rPr>
        <w:t>T</w:t>
      </w:r>
      <w:r w:rsidRPr="003765E8">
        <w:rPr>
          <w:rFonts w:eastAsia="Times New Roman"/>
          <w:szCs w:val="22"/>
        </w:rPr>
        <w:t xml:space="preserve">here is no requirement for providers to tell their care recipients if they have opted them in or not. However, if </w:t>
      </w:r>
      <w:r w:rsidR="00890F23">
        <w:rPr>
          <w:rFonts w:eastAsia="Times New Roman"/>
          <w:szCs w:val="22"/>
        </w:rPr>
        <w:t>the</w:t>
      </w:r>
      <w:r w:rsidRPr="003765E8">
        <w:rPr>
          <w:rFonts w:eastAsia="Times New Roman"/>
          <w:szCs w:val="22"/>
        </w:rPr>
        <w:t xml:space="preserve"> care recipient asks, </w:t>
      </w:r>
      <w:r w:rsidR="00890F23">
        <w:rPr>
          <w:rFonts w:eastAsia="Times New Roman"/>
          <w:szCs w:val="22"/>
        </w:rPr>
        <w:t>the provider</w:t>
      </w:r>
      <w:r w:rsidRPr="003765E8">
        <w:rPr>
          <w:rFonts w:eastAsia="Times New Roman"/>
          <w:szCs w:val="22"/>
        </w:rPr>
        <w:t xml:space="preserve"> must </w:t>
      </w:r>
      <w:r w:rsidR="00890F23">
        <w:rPr>
          <w:rFonts w:eastAsia="Times New Roman"/>
          <w:szCs w:val="22"/>
        </w:rPr>
        <w:t>inform the</w:t>
      </w:r>
      <w:r w:rsidRPr="003765E8">
        <w:rPr>
          <w:rFonts w:eastAsia="Times New Roman"/>
          <w:szCs w:val="22"/>
        </w:rPr>
        <w:t>m</w:t>
      </w:r>
      <w:r w:rsidR="00890F23">
        <w:rPr>
          <w:rFonts w:eastAsia="Times New Roman"/>
          <w:szCs w:val="22"/>
        </w:rPr>
        <w:t xml:space="preserve"> of the decision</w:t>
      </w:r>
      <w:r w:rsidRPr="003765E8">
        <w:rPr>
          <w:rFonts w:eastAsia="Times New Roman"/>
          <w:szCs w:val="22"/>
        </w:rPr>
        <w:t>.</w:t>
      </w:r>
    </w:p>
    <w:p w14:paraId="3CEB386F" w14:textId="39803578" w:rsidR="009526F1" w:rsidRPr="007F4EB7" w:rsidRDefault="009526F1" w:rsidP="00AA67AC">
      <w:pPr>
        <w:pStyle w:val="Heading2"/>
        <w:numPr>
          <w:ilvl w:val="0"/>
          <w:numId w:val="5"/>
        </w:numPr>
        <w:ind w:left="284"/>
      </w:pPr>
      <w:r w:rsidRPr="007F4EB7">
        <w:lastRenderedPageBreak/>
        <w:t>What happens for new providers and new care recipients</w:t>
      </w:r>
      <w:r w:rsidR="0089334A" w:rsidRPr="0089334A">
        <w:t xml:space="preserve"> </w:t>
      </w:r>
      <w:r w:rsidR="0089334A" w:rsidRPr="007F4EB7">
        <w:t>after 1 September 2021</w:t>
      </w:r>
      <w:r w:rsidRPr="007F4EB7">
        <w:t>?</w:t>
      </w:r>
    </w:p>
    <w:p w14:paraId="1D515452" w14:textId="58E6545F" w:rsidR="006753B9" w:rsidRDefault="00300262">
      <w:r>
        <w:rPr>
          <w:b/>
          <w:bCs/>
        </w:rPr>
        <w:t>N</w:t>
      </w:r>
      <w:r w:rsidR="009526F1" w:rsidRPr="009A78B7">
        <w:rPr>
          <w:b/>
          <w:bCs/>
        </w:rPr>
        <w:t>ew providers</w:t>
      </w:r>
      <w:r w:rsidR="009526F1" w:rsidRPr="007F4EB7">
        <w:t xml:space="preserve"> </w:t>
      </w:r>
      <w:r w:rsidR="009526F1">
        <w:t xml:space="preserve">delivering Home Care Packages will claim payment from Services Australia in arrears, for care and services delivered to a care recipient in that month. </w:t>
      </w:r>
    </w:p>
    <w:p w14:paraId="26E0CE2C" w14:textId="1CAC6953" w:rsidR="009526F1" w:rsidRDefault="009526F1">
      <w:r>
        <w:t xml:space="preserve">Any applicable </w:t>
      </w:r>
      <w:r w:rsidR="00290B09">
        <w:t>income tested</w:t>
      </w:r>
      <w:r w:rsidR="009400AE">
        <w:t xml:space="preserve"> care</w:t>
      </w:r>
      <w:r w:rsidR="00CD265D">
        <w:t xml:space="preserve"> fee</w:t>
      </w:r>
      <w:r>
        <w:t xml:space="preserve">s, Basic Daily Fees and any </w:t>
      </w:r>
      <w:r w:rsidR="0032062C">
        <w:t>a</w:t>
      </w:r>
      <w:r>
        <w:t xml:space="preserve">dditional </w:t>
      </w:r>
      <w:r w:rsidR="0032062C">
        <w:t>s</w:t>
      </w:r>
      <w:r>
        <w:t xml:space="preserve">ervices </w:t>
      </w:r>
      <w:r w:rsidR="0032062C">
        <w:t>f</w:t>
      </w:r>
      <w:r>
        <w:t>ees will be collected by the service provider</w:t>
      </w:r>
      <w:r w:rsidR="004441F8">
        <w:t xml:space="preserve"> as per usual</w:t>
      </w:r>
      <w:r>
        <w:t>.</w:t>
      </w:r>
    </w:p>
    <w:p w14:paraId="654CF73A" w14:textId="77777777" w:rsidR="006753B9" w:rsidRDefault="00E0084D">
      <w:r w:rsidRPr="00A25BBD">
        <w:t xml:space="preserve">Services Australia will </w:t>
      </w:r>
      <w:r w:rsidRPr="00A25BBD">
        <w:rPr>
          <w:b/>
          <w:bCs/>
        </w:rPr>
        <w:t xml:space="preserve">automatically </w:t>
      </w:r>
      <w:r w:rsidRPr="00135A62">
        <w:t>deduct</w:t>
      </w:r>
      <w:r>
        <w:t xml:space="preserve"> </w:t>
      </w:r>
      <w:r w:rsidRPr="00A25BBD">
        <w:t xml:space="preserve">the </w:t>
      </w:r>
      <w:r w:rsidR="00290B09">
        <w:t>income tested</w:t>
      </w:r>
      <w:r w:rsidR="009400AE">
        <w:t xml:space="preserve"> care</w:t>
      </w:r>
      <w:r w:rsidR="00CD265D">
        <w:t xml:space="preserve"> fee</w:t>
      </w:r>
      <w:r w:rsidRPr="00A25BBD">
        <w:t xml:space="preserve"> </w:t>
      </w:r>
      <w:r>
        <w:t xml:space="preserve">from the payment made to providers, </w:t>
      </w:r>
      <w:r w:rsidRPr="00A25BBD">
        <w:t>for care recipients who are assessed as needing to pay it.</w:t>
      </w:r>
      <w:r w:rsidR="00B40663">
        <w:t xml:space="preserve"> </w:t>
      </w:r>
    </w:p>
    <w:p w14:paraId="17EA58DD" w14:textId="2105BD8A" w:rsidR="00E0084D" w:rsidRDefault="00B40663">
      <w:r>
        <w:t>F</w:t>
      </w:r>
      <w:r w:rsidR="0032062C" w:rsidRPr="00135A62">
        <w:t xml:space="preserve">rom </w:t>
      </w:r>
      <w:r w:rsidRPr="00135A62">
        <w:t>1</w:t>
      </w:r>
      <w:r>
        <w:t> </w:t>
      </w:r>
      <w:r w:rsidR="0032062C" w:rsidRPr="00135A62">
        <w:t>September 2021, all</w:t>
      </w:r>
      <w:r w:rsidR="00BD6725">
        <w:t xml:space="preserve"> new</w:t>
      </w:r>
      <w:r w:rsidR="0032062C" w:rsidRPr="00135A62">
        <w:t xml:space="preserve"> care recipients assessed and found eligible to have to pay an </w:t>
      </w:r>
      <w:r w:rsidR="00290B09">
        <w:t>income tested</w:t>
      </w:r>
      <w:r w:rsidR="009400AE">
        <w:t xml:space="preserve"> care</w:t>
      </w:r>
      <w:r w:rsidR="00CD265D">
        <w:t xml:space="preserve"> fee</w:t>
      </w:r>
      <w:r w:rsidR="0032062C" w:rsidRPr="00135A62">
        <w:t xml:space="preserve"> must do so. </w:t>
      </w:r>
      <w:r w:rsidR="0032062C">
        <w:t xml:space="preserve">Please see </w:t>
      </w:r>
      <w:hyperlink w:anchor="_Income_Tested_Care" w:history="1">
        <w:r w:rsidR="00290B09">
          <w:rPr>
            <w:rStyle w:val="Hyperlink"/>
          </w:rPr>
          <w:t>income tested</w:t>
        </w:r>
        <w:r w:rsidR="009400AE">
          <w:rPr>
            <w:rStyle w:val="Hyperlink"/>
          </w:rPr>
          <w:t xml:space="preserve"> care</w:t>
        </w:r>
        <w:r w:rsidR="00CD265D">
          <w:rPr>
            <w:rStyle w:val="Hyperlink"/>
          </w:rPr>
          <w:t xml:space="preserve"> fee</w:t>
        </w:r>
        <w:r w:rsidR="0032062C" w:rsidRPr="0032062C">
          <w:rPr>
            <w:rStyle w:val="Hyperlink"/>
          </w:rPr>
          <w:t>s</w:t>
        </w:r>
      </w:hyperlink>
      <w:r w:rsidR="0032062C">
        <w:t xml:space="preserve"> for more information.</w:t>
      </w:r>
    </w:p>
    <w:p w14:paraId="51836974" w14:textId="468B6A41" w:rsidR="006753B9" w:rsidRDefault="00300262" w:rsidP="006753B9">
      <w:r>
        <w:t>All</w:t>
      </w:r>
      <w:r w:rsidR="009526F1">
        <w:t xml:space="preserve"> </w:t>
      </w:r>
      <w:r w:rsidR="009526F1" w:rsidRPr="009A78B7">
        <w:rPr>
          <w:b/>
          <w:bCs/>
        </w:rPr>
        <w:t>new care recipients</w:t>
      </w:r>
      <w:r w:rsidR="009526F1" w:rsidRPr="007F4EB7">
        <w:t xml:space="preserve"> who </w:t>
      </w:r>
      <w:proofErr w:type="gramStart"/>
      <w:r w:rsidR="009526F1" w:rsidRPr="007F4EB7">
        <w:t>enter into</w:t>
      </w:r>
      <w:proofErr w:type="gramEnd"/>
      <w:r w:rsidR="009526F1" w:rsidRPr="007F4EB7">
        <w:t xml:space="preserve"> the Home Care Package </w:t>
      </w:r>
      <w:r w:rsidR="009526F1">
        <w:t>P</w:t>
      </w:r>
      <w:r w:rsidR="009526F1" w:rsidRPr="007F4EB7">
        <w:t>rogram will</w:t>
      </w:r>
      <w:r w:rsidR="009526F1">
        <w:t xml:space="preserve"> have a </w:t>
      </w:r>
      <w:r w:rsidR="009526F1" w:rsidRPr="00E0084D">
        <w:rPr>
          <w:b/>
          <w:bCs/>
        </w:rPr>
        <w:t>home care account</w:t>
      </w:r>
      <w:r w:rsidR="009526F1">
        <w:t xml:space="preserve"> created for them</w:t>
      </w:r>
      <w:r w:rsidR="00980B05">
        <w:t>. This account will accrue</w:t>
      </w:r>
      <w:r w:rsidR="009526F1">
        <w:t xml:space="preserve"> any unspent subsidy for future </w:t>
      </w:r>
      <w:r w:rsidR="00980B05">
        <w:t xml:space="preserve">use </w:t>
      </w:r>
      <w:r w:rsidR="009526F1">
        <w:t>as required. Their provider will not hold any Commonwealth unspent funds for them.</w:t>
      </w:r>
    </w:p>
    <w:p w14:paraId="70C51068" w14:textId="6BCF5B89" w:rsidR="009526F1" w:rsidRPr="007F4EB7" w:rsidRDefault="009526F1" w:rsidP="006753B9">
      <w:pPr>
        <w:pStyle w:val="Heading1"/>
      </w:pPr>
      <w:bookmarkStart w:id="20" w:name="_Toc95839126"/>
      <w:r w:rsidRPr="007F4EB7">
        <w:t>Order of spending funds</w:t>
      </w:r>
      <w:bookmarkEnd w:id="20"/>
    </w:p>
    <w:p w14:paraId="53134ADC" w14:textId="1D8096FA" w:rsidR="009526F1" w:rsidRPr="007F4EB7" w:rsidRDefault="00C93750" w:rsidP="00AA67AC">
      <w:pPr>
        <w:pStyle w:val="Heading2"/>
        <w:numPr>
          <w:ilvl w:val="0"/>
          <w:numId w:val="5"/>
        </w:numPr>
        <w:ind w:left="284"/>
      </w:pPr>
      <w:r>
        <w:t>I</w:t>
      </w:r>
      <w:r w:rsidR="009526F1" w:rsidRPr="007F4EB7">
        <w:t>s there an obligation to use unspent funds befor</w:t>
      </w:r>
      <w:r w:rsidR="009526F1">
        <w:t>e the Government subsidy</w:t>
      </w:r>
      <w:r>
        <w:t xml:space="preserve"> when claiming</w:t>
      </w:r>
      <w:r w:rsidR="009526F1">
        <w:t>?</w:t>
      </w:r>
    </w:p>
    <w:p w14:paraId="262BB51D" w14:textId="1BF5C875" w:rsidR="009526F1" w:rsidRPr="007F4EB7" w:rsidRDefault="00FB1B33" w:rsidP="00393E2D">
      <w:r>
        <w:t>There are</w:t>
      </w:r>
      <w:r w:rsidR="009526F1" w:rsidRPr="007F4EB7">
        <w:t xml:space="preserve"> </w:t>
      </w:r>
      <w:proofErr w:type="gramStart"/>
      <w:r w:rsidR="009526F1" w:rsidRPr="007F4EB7">
        <w:t>a number of</w:t>
      </w:r>
      <w:proofErr w:type="gramEnd"/>
      <w:r w:rsidR="009526F1" w:rsidRPr="007F4EB7">
        <w:t xml:space="preserve"> different sources of unspent funds available to ca</w:t>
      </w:r>
      <w:r w:rsidR="009526F1">
        <w:t>re recipients. These include</w:t>
      </w:r>
      <w:r w:rsidR="009526F1" w:rsidRPr="007F4EB7">
        <w:t xml:space="preserve"> the: </w:t>
      </w:r>
    </w:p>
    <w:p w14:paraId="75CFCF2E" w14:textId="37F82F8C" w:rsidR="009526F1" w:rsidRPr="007F4EB7" w:rsidRDefault="009526F1" w:rsidP="00AA67AC">
      <w:pPr>
        <w:pStyle w:val="ListParagraph"/>
        <w:numPr>
          <w:ilvl w:val="0"/>
          <w:numId w:val="1"/>
        </w:numPr>
      </w:pPr>
      <w:r w:rsidRPr="007F4EB7">
        <w:t>Provider</w:t>
      </w:r>
      <w:r>
        <w:t>-</w:t>
      </w:r>
      <w:r w:rsidRPr="007F4EB7">
        <w:t xml:space="preserve">held </w:t>
      </w:r>
      <w:r w:rsidRPr="009A78B7">
        <w:t>Commonwealth portion of unspent funds</w:t>
      </w:r>
    </w:p>
    <w:p w14:paraId="404C1A03" w14:textId="4744DCC2" w:rsidR="009526F1" w:rsidRPr="007F4EB7" w:rsidRDefault="009526F1" w:rsidP="00AA67AC">
      <w:pPr>
        <w:pStyle w:val="ListParagraph"/>
        <w:numPr>
          <w:ilvl w:val="0"/>
          <w:numId w:val="1"/>
        </w:numPr>
      </w:pPr>
      <w:r w:rsidRPr="007F4EB7">
        <w:t>Provider</w:t>
      </w:r>
      <w:r>
        <w:t>-</w:t>
      </w:r>
      <w:r w:rsidRPr="007F4EB7">
        <w:t xml:space="preserve">held </w:t>
      </w:r>
      <w:r w:rsidRPr="009A78B7">
        <w:t>care recipient portion of unspent funds</w:t>
      </w:r>
    </w:p>
    <w:p w14:paraId="428EBA22" w14:textId="37D5E295" w:rsidR="009526F1" w:rsidRPr="007F4EB7" w:rsidRDefault="009526F1" w:rsidP="00AA67AC">
      <w:pPr>
        <w:pStyle w:val="ListParagraph"/>
        <w:numPr>
          <w:ilvl w:val="0"/>
          <w:numId w:val="1"/>
        </w:numPr>
      </w:pPr>
      <w:r w:rsidRPr="007F4EB7">
        <w:t>Services Australia</w:t>
      </w:r>
      <w:r>
        <w:t xml:space="preserve">-held </w:t>
      </w:r>
      <w:r w:rsidRPr="009A78B7">
        <w:t>home care account balance</w:t>
      </w:r>
    </w:p>
    <w:p w14:paraId="78878A68" w14:textId="4101EF85" w:rsidR="009526F1" w:rsidRPr="007F4EB7" w:rsidRDefault="009526F1">
      <w:r w:rsidRPr="007F4EB7">
        <w:t xml:space="preserve">The order a provider will draw on different sources of unspent funds will depend on </w:t>
      </w:r>
      <w:r>
        <w:t>whether they have opted-in</w:t>
      </w:r>
      <w:r w:rsidRPr="007F4EB7">
        <w:t xml:space="preserve"> </w:t>
      </w:r>
      <w:r>
        <w:t xml:space="preserve">to return </w:t>
      </w:r>
      <w:r w:rsidR="00C93750">
        <w:t xml:space="preserve">the </w:t>
      </w:r>
      <w:r>
        <w:t>unspent Commonwealth funds</w:t>
      </w:r>
      <w:r w:rsidR="00C93750">
        <w:t xml:space="preserve"> they hold</w:t>
      </w:r>
      <w:r w:rsidRPr="007F4EB7">
        <w:t xml:space="preserve">. </w:t>
      </w:r>
    </w:p>
    <w:p w14:paraId="0F2F7B2F" w14:textId="4054B88A" w:rsidR="00541641" w:rsidRPr="00541641" w:rsidRDefault="00541641" w:rsidP="00541641">
      <w:pPr>
        <w:rPr>
          <w:b/>
          <w:bCs/>
        </w:rPr>
      </w:pPr>
      <w:r w:rsidRPr="00541641">
        <w:rPr>
          <w:b/>
          <w:bCs/>
        </w:rPr>
        <w:t>Opt-In:</w:t>
      </w:r>
    </w:p>
    <w:p w14:paraId="38ED4FCB" w14:textId="7B53F4D6" w:rsidR="00541641" w:rsidRDefault="009526F1">
      <w:r w:rsidRPr="007F4EB7">
        <w:t xml:space="preserve">If a provider </w:t>
      </w:r>
      <w:r w:rsidRPr="001D4559">
        <w:rPr>
          <w:b/>
          <w:bCs/>
        </w:rPr>
        <w:t>opts-in</w:t>
      </w:r>
      <w:r w:rsidRPr="007F4EB7">
        <w:t xml:space="preserve"> to return unspent funds for a care recipient, they will begin to draw down on the provider</w:t>
      </w:r>
      <w:r>
        <w:t>-</w:t>
      </w:r>
      <w:r w:rsidRPr="007F4EB7">
        <w:t xml:space="preserve">held Commonwealth portion of unspent funds before receiving any further subsidies from Services Australia. During this time, </w:t>
      </w:r>
      <w:r>
        <w:t xml:space="preserve">any </w:t>
      </w:r>
      <w:r w:rsidRPr="007F4EB7">
        <w:t xml:space="preserve">excess Government subsidies will accrue in the care recipient’s home care account, so the care recipient retains their full subsidy entitlement. </w:t>
      </w:r>
    </w:p>
    <w:p w14:paraId="02D5B2BE" w14:textId="5ACB00DF" w:rsidR="009526F1" w:rsidRPr="007F4EB7" w:rsidRDefault="009526F1">
      <w:r w:rsidRPr="007F4EB7">
        <w:t>In an opt-in scenario, the provider does not need to use the care recipient portion of unspent funds they hold</w:t>
      </w:r>
      <w:r>
        <w:t>,</w:t>
      </w:r>
      <w:r w:rsidRPr="007F4EB7">
        <w:t xml:space="preserve"> unless they deliver services </w:t>
      </w:r>
      <w:proofErr w:type="gramStart"/>
      <w:r w:rsidRPr="00541641">
        <w:rPr>
          <w:b/>
          <w:bCs/>
        </w:rPr>
        <w:t>in excess</w:t>
      </w:r>
      <w:r w:rsidRPr="007F4EB7">
        <w:t xml:space="preserve"> of</w:t>
      </w:r>
      <w:proofErr w:type="gramEnd"/>
      <w:r w:rsidRPr="007F4EB7">
        <w:t xml:space="preserve"> what is otherwise available to the care recipient. </w:t>
      </w:r>
    </w:p>
    <w:p w14:paraId="1FA99F9C" w14:textId="77777777" w:rsidR="00541641" w:rsidRPr="00541641" w:rsidRDefault="00541641" w:rsidP="00800650">
      <w:pPr>
        <w:keepNext/>
        <w:keepLines/>
        <w:rPr>
          <w:b/>
          <w:bCs/>
        </w:rPr>
      </w:pPr>
      <w:r w:rsidRPr="00541641">
        <w:rPr>
          <w:b/>
          <w:bCs/>
        </w:rPr>
        <w:t xml:space="preserve">Not opt-in: </w:t>
      </w:r>
    </w:p>
    <w:p w14:paraId="72524FC4" w14:textId="6A4C93CB" w:rsidR="00541641" w:rsidRDefault="009526F1" w:rsidP="00800650">
      <w:pPr>
        <w:keepNext/>
        <w:keepLines/>
      </w:pPr>
      <w:r w:rsidRPr="007F4EB7">
        <w:t xml:space="preserve">If a provider </w:t>
      </w:r>
      <w:r w:rsidRPr="001D4559">
        <w:rPr>
          <w:b/>
          <w:bCs/>
        </w:rPr>
        <w:t>does not opt-in</w:t>
      </w:r>
      <w:r w:rsidRPr="007F4EB7">
        <w:t xml:space="preserve"> to return unspent funds for a care recipient, Services Australia </w:t>
      </w:r>
      <w:r>
        <w:t>will pay the provider from the G</w:t>
      </w:r>
      <w:r w:rsidRPr="007F4EB7">
        <w:t xml:space="preserve">overnment subsidy available to the care recipient and their home care account balance. </w:t>
      </w:r>
    </w:p>
    <w:p w14:paraId="38C2F213" w14:textId="77777777" w:rsidR="00541641" w:rsidRDefault="009526F1">
      <w:r w:rsidRPr="007F4EB7">
        <w:t xml:space="preserve">If the care and services delivered are </w:t>
      </w:r>
      <w:proofErr w:type="gramStart"/>
      <w:r w:rsidRPr="00541641">
        <w:rPr>
          <w:b/>
          <w:bCs/>
        </w:rPr>
        <w:t>in excess</w:t>
      </w:r>
      <w:r w:rsidRPr="007F4EB7">
        <w:t xml:space="preserve"> of</w:t>
      </w:r>
      <w:proofErr w:type="gramEnd"/>
      <w:r w:rsidRPr="007F4EB7">
        <w:t xml:space="preserve"> the Government subsidy and </w:t>
      </w:r>
      <w:r>
        <w:t xml:space="preserve">the care recipient’s </w:t>
      </w:r>
      <w:r w:rsidRPr="007F4EB7">
        <w:t xml:space="preserve">available </w:t>
      </w:r>
      <w:r>
        <w:t>home care balance,</w:t>
      </w:r>
      <w:r w:rsidRPr="007F4EB7">
        <w:t xml:space="preserve"> the provider will need to draw on the unspent funds they hold. </w:t>
      </w:r>
      <w:r w:rsidRPr="0007358F">
        <w:t xml:space="preserve">As they have not opted-in, they must </w:t>
      </w:r>
      <w:r w:rsidRPr="0007358F">
        <w:rPr>
          <w:b/>
          <w:bCs/>
        </w:rPr>
        <w:t>first</w:t>
      </w:r>
      <w:r w:rsidRPr="0007358F">
        <w:t xml:space="preserve"> draw down on the care recipient portion of unspent funds before drawing on the Commonwealth portion.</w:t>
      </w:r>
      <w:r w:rsidR="0089334A" w:rsidRPr="0007358F">
        <w:t xml:space="preserve"> This ensures care recipient fees are being spent on the care recipient’s care and services, not accruing with the provider</w:t>
      </w:r>
      <w:r w:rsidR="00EE4407" w:rsidRPr="0007358F">
        <w:t xml:space="preserve"> as unspent funds</w:t>
      </w:r>
      <w:r w:rsidR="0089334A" w:rsidRPr="0007358F">
        <w:t>.</w:t>
      </w:r>
      <w:r w:rsidR="00CD240A" w:rsidRPr="0007358F">
        <w:t xml:space="preserve"> </w:t>
      </w:r>
    </w:p>
    <w:p w14:paraId="5B36D958" w14:textId="031ADDFD" w:rsidR="009526F1" w:rsidRPr="0007358F" w:rsidRDefault="00CD240A">
      <w:r w:rsidRPr="00D00F17">
        <w:t>T</w:t>
      </w:r>
      <w:r w:rsidRPr="00D00F17">
        <w:rPr>
          <w:rStyle w:val="normaltextrun"/>
          <w:rFonts w:ascii="Calibri" w:hAnsi="Calibri" w:cs="Calibri"/>
          <w:color w:val="000000"/>
          <w:szCs w:val="22"/>
          <w:shd w:val="clear" w:color="auto" w:fill="FFFFFF"/>
        </w:rPr>
        <w:t>he provider must report the Commonwealth portion of provider-held funds each month when they are finalising their claims and</w:t>
      </w:r>
      <w:r w:rsidRPr="00D00F17">
        <w:t xml:space="preserve"> include the total provider-held unspent funds in the care recipient’s monthly statement (see question 42 for more information on the monthly statement).</w:t>
      </w:r>
    </w:p>
    <w:p w14:paraId="63E2EA90" w14:textId="0FEC567F" w:rsidR="003E41B8" w:rsidRPr="0007358F" w:rsidRDefault="00CD265D" w:rsidP="00F77063">
      <w:pPr>
        <w:pStyle w:val="Heading1"/>
      </w:pPr>
      <w:bookmarkStart w:id="21" w:name="_Income_Tested_Care"/>
      <w:bookmarkStart w:id="22" w:name="_Toc95839127"/>
      <w:bookmarkEnd w:id="21"/>
      <w:r w:rsidRPr="0007358F">
        <w:lastRenderedPageBreak/>
        <w:t>Income</w:t>
      </w:r>
      <w:r w:rsidR="00383B25" w:rsidRPr="0007358F">
        <w:t xml:space="preserve"> </w:t>
      </w:r>
      <w:r w:rsidRPr="0007358F">
        <w:t>tested</w:t>
      </w:r>
      <w:r w:rsidR="009400AE" w:rsidRPr="0007358F">
        <w:t xml:space="preserve"> care</w:t>
      </w:r>
      <w:r w:rsidRPr="0007358F">
        <w:t xml:space="preserve"> fee</w:t>
      </w:r>
      <w:r w:rsidR="001B420A" w:rsidRPr="0007358F">
        <w:t>s</w:t>
      </w:r>
      <w:bookmarkStart w:id="23" w:name="_Hlk77838763"/>
      <w:bookmarkEnd w:id="22"/>
    </w:p>
    <w:p w14:paraId="479F5F78" w14:textId="22E160C8" w:rsidR="000E6EC8" w:rsidRPr="0007358F" w:rsidRDefault="000E6EC8" w:rsidP="00AA67AC">
      <w:pPr>
        <w:pStyle w:val="Heading2"/>
        <w:numPr>
          <w:ilvl w:val="0"/>
          <w:numId w:val="5"/>
        </w:numPr>
        <w:ind w:left="284"/>
      </w:pPr>
      <w:bookmarkStart w:id="24" w:name="_How_will_Income"/>
      <w:bookmarkEnd w:id="24"/>
      <w:r w:rsidRPr="0007358F">
        <w:t xml:space="preserve">How </w:t>
      </w:r>
      <w:r w:rsidR="00A917B9">
        <w:t>are</w:t>
      </w:r>
      <w:r w:rsidR="00A917B9" w:rsidRPr="0007358F">
        <w:t xml:space="preserve"> </w:t>
      </w:r>
      <w:r w:rsidR="002C5AB8">
        <w:t>i</w:t>
      </w:r>
      <w:r w:rsidRPr="0007358F">
        <w:t>ncome tested care fees collected</w:t>
      </w:r>
      <w:r w:rsidR="002C5AB8">
        <w:t>?</w:t>
      </w:r>
      <w:r w:rsidRPr="0007358F">
        <w:t xml:space="preserve"> </w:t>
      </w:r>
    </w:p>
    <w:p w14:paraId="125C30E9" w14:textId="7F360A0F" w:rsidR="00CA7CFC" w:rsidRPr="0007358F" w:rsidRDefault="000E6EC8" w:rsidP="00CA7CFC">
      <w:r w:rsidRPr="0007358F">
        <w:t xml:space="preserve">Improved Payment Arrangements </w:t>
      </w:r>
      <w:r w:rsidR="00800650">
        <w:t>has not changed</w:t>
      </w:r>
      <w:r w:rsidRPr="0007358F">
        <w:t xml:space="preserve"> the way the income tested care fee is c</w:t>
      </w:r>
      <w:r w:rsidR="00CA7CFC">
        <w:t>alculated or c</w:t>
      </w:r>
      <w:r w:rsidRPr="0007358F">
        <w:t xml:space="preserve">ollected. </w:t>
      </w:r>
      <w:r w:rsidR="00CA7CFC">
        <w:t>F</w:t>
      </w:r>
      <w:r w:rsidR="00CA7CFC" w:rsidRPr="0007358F">
        <w:t xml:space="preserve">ull pensioners do not pay the income tested care fee. </w:t>
      </w:r>
    </w:p>
    <w:p w14:paraId="346DF451" w14:textId="2FBC1C0A" w:rsidR="00A67AD8" w:rsidRDefault="000E6EC8" w:rsidP="00990278">
      <w:pPr>
        <w:rPr>
          <w:rStyle w:val="normaltextrun"/>
          <w:rFonts w:ascii="Calibri" w:hAnsi="Calibri" w:cs="Calibri"/>
          <w:szCs w:val="22"/>
          <w:lang w:val="en-GB"/>
        </w:rPr>
      </w:pPr>
      <w:r w:rsidRPr="0007358F">
        <w:t xml:space="preserve">If a care recipient has been assessed as needing to pay the income tested care fee, this </w:t>
      </w:r>
      <w:r w:rsidR="00800650">
        <w:t>is</w:t>
      </w:r>
      <w:r w:rsidRPr="0007358F">
        <w:t xml:space="preserve"> deducted from the Government subsidy paid to the provider by Services Australia.</w:t>
      </w:r>
      <w:r w:rsidRPr="00D00F17">
        <w:rPr>
          <w:rStyle w:val="normaltextrun"/>
          <w:rFonts w:ascii="Calibri" w:hAnsi="Calibri" w:cs="Calibri"/>
          <w:szCs w:val="22"/>
          <w:lang w:val="en-GB"/>
        </w:rPr>
        <w:t xml:space="preserve"> If a care recipient’s assessed income tested care fee is equal to or </w:t>
      </w:r>
      <w:r w:rsidR="00A81AA8">
        <w:rPr>
          <w:rStyle w:val="normaltextrun"/>
          <w:rFonts w:ascii="Calibri" w:hAnsi="Calibri" w:cs="Calibri"/>
          <w:szCs w:val="22"/>
          <w:lang w:val="en-GB"/>
        </w:rPr>
        <w:t>more</w:t>
      </w:r>
      <w:r w:rsidR="00A81AA8" w:rsidRPr="00D00F17">
        <w:rPr>
          <w:rStyle w:val="normaltextrun"/>
          <w:rFonts w:ascii="Calibri" w:hAnsi="Calibri" w:cs="Calibri"/>
          <w:szCs w:val="22"/>
          <w:lang w:val="en-GB"/>
        </w:rPr>
        <w:t xml:space="preserve"> </w:t>
      </w:r>
      <w:r w:rsidRPr="00D00F17">
        <w:rPr>
          <w:rStyle w:val="normaltextrun"/>
          <w:rFonts w:ascii="Calibri" w:hAnsi="Calibri" w:cs="Calibri"/>
          <w:szCs w:val="22"/>
          <w:lang w:val="en-GB"/>
        </w:rPr>
        <w:t>than the price reported to Services Australia, no Government subsidy entitlement will be paid to the provider. </w:t>
      </w:r>
    </w:p>
    <w:p w14:paraId="487FD327" w14:textId="3B4AA383" w:rsidR="008C2B67" w:rsidRDefault="00955FC7" w:rsidP="00990278">
      <w:pPr>
        <w:rPr>
          <w:rStyle w:val="normaltextrun"/>
          <w:rFonts w:ascii="Calibri" w:hAnsi="Calibri" w:cs="Calibri"/>
          <w:szCs w:val="22"/>
          <w:lang w:val="en-GB"/>
        </w:rPr>
      </w:pPr>
      <w:r>
        <w:rPr>
          <w:rStyle w:val="normaltextrun"/>
          <w:rFonts w:ascii="Calibri" w:hAnsi="Calibri" w:cs="Calibri"/>
          <w:szCs w:val="22"/>
          <w:lang w:val="en-GB"/>
        </w:rPr>
        <w:t>If the provider does not collect the income tested care fee from care recipients</w:t>
      </w:r>
      <w:r w:rsidR="00CA7CFC">
        <w:rPr>
          <w:rStyle w:val="normaltextrun"/>
          <w:rFonts w:ascii="Calibri" w:hAnsi="Calibri" w:cs="Calibri"/>
          <w:szCs w:val="22"/>
          <w:lang w:val="en-GB"/>
        </w:rPr>
        <w:t>,</w:t>
      </w:r>
      <w:r>
        <w:rPr>
          <w:rStyle w:val="normaltextrun"/>
          <w:rFonts w:ascii="Calibri" w:hAnsi="Calibri" w:cs="Calibri"/>
          <w:szCs w:val="22"/>
          <w:lang w:val="en-GB"/>
        </w:rPr>
        <w:t xml:space="preserve"> the provider could be out of pocket for package </w:t>
      </w:r>
      <w:r w:rsidR="00CA7CFC">
        <w:rPr>
          <w:rStyle w:val="normaltextrun"/>
          <w:rFonts w:ascii="Calibri" w:hAnsi="Calibri" w:cs="Calibri"/>
          <w:szCs w:val="22"/>
          <w:lang w:val="en-GB"/>
        </w:rPr>
        <w:t>expenses and will be liable to pay these expenses out of retained earnings</w:t>
      </w:r>
      <w:r>
        <w:rPr>
          <w:rStyle w:val="normaltextrun"/>
          <w:rFonts w:ascii="Calibri" w:hAnsi="Calibri" w:cs="Calibri"/>
          <w:szCs w:val="22"/>
          <w:lang w:val="en-GB"/>
        </w:rPr>
        <w:t xml:space="preserve">. For advice on what to do if a care recipient refuses to pay see </w:t>
      </w:r>
      <w:r w:rsidR="00A917B9">
        <w:rPr>
          <w:rStyle w:val="normaltextrun"/>
          <w:rFonts w:ascii="Calibri" w:hAnsi="Calibri" w:cs="Calibri"/>
          <w:szCs w:val="22"/>
          <w:lang w:val="en-GB"/>
        </w:rPr>
        <w:t xml:space="preserve">question </w:t>
      </w:r>
      <w:hyperlink w:anchor="_What_if_a" w:history="1">
        <w:r w:rsidRPr="00A917B9">
          <w:rPr>
            <w:rStyle w:val="Hyperlink"/>
            <w:rFonts w:ascii="Calibri" w:hAnsi="Calibri" w:cs="Calibri"/>
            <w:szCs w:val="22"/>
            <w:lang w:val="en-GB"/>
          </w:rPr>
          <w:t>27</w:t>
        </w:r>
      </w:hyperlink>
      <w:r>
        <w:rPr>
          <w:rStyle w:val="normaltextrun"/>
          <w:rFonts w:ascii="Calibri" w:hAnsi="Calibri" w:cs="Calibri"/>
          <w:szCs w:val="22"/>
          <w:lang w:val="en-GB"/>
        </w:rPr>
        <w:t xml:space="preserve">. </w:t>
      </w:r>
    </w:p>
    <w:p w14:paraId="575A7008" w14:textId="5E8C82EC" w:rsidR="00990278" w:rsidRPr="00D00F17" w:rsidRDefault="00990278" w:rsidP="00990278">
      <w:pPr>
        <w:rPr>
          <w:rStyle w:val="normaltextrun"/>
          <w:rFonts w:ascii="Calibri" w:hAnsi="Calibri" w:cs="Calibri"/>
          <w:szCs w:val="22"/>
          <w:lang w:val="en-GB"/>
        </w:rPr>
      </w:pPr>
      <w:r w:rsidRPr="00D00F17">
        <w:rPr>
          <w:rStyle w:val="normaltextrun"/>
          <w:rFonts w:ascii="Calibri" w:hAnsi="Calibri" w:cs="Calibri"/>
          <w:szCs w:val="22"/>
          <w:lang w:val="en-GB"/>
        </w:rPr>
        <w:t xml:space="preserve">Any unspent government subsidy </w:t>
      </w:r>
      <w:r w:rsidR="00800650">
        <w:rPr>
          <w:rStyle w:val="normaltextrun"/>
          <w:rFonts w:ascii="Calibri" w:hAnsi="Calibri" w:cs="Calibri"/>
          <w:szCs w:val="22"/>
          <w:lang w:val="en-GB"/>
        </w:rPr>
        <w:t>accrues</w:t>
      </w:r>
      <w:r w:rsidRPr="00D00F17">
        <w:rPr>
          <w:rStyle w:val="normaltextrun"/>
          <w:rFonts w:ascii="Calibri" w:hAnsi="Calibri" w:cs="Calibri"/>
          <w:szCs w:val="22"/>
          <w:lang w:val="en-GB"/>
        </w:rPr>
        <w:t xml:space="preserve"> in the care recipient’s </w:t>
      </w:r>
      <w:r w:rsidR="005C5016">
        <w:rPr>
          <w:rStyle w:val="normaltextrun"/>
          <w:rFonts w:ascii="Calibri" w:hAnsi="Calibri" w:cs="Calibri"/>
          <w:szCs w:val="22"/>
          <w:lang w:val="en-GB"/>
        </w:rPr>
        <w:t>h</w:t>
      </w:r>
      <w:r w:rsidRPr="00D00F17">
        <w:rPr>
          <w:rStyle w:val="normaltextrun"/>
          <w:rFonts w:ascii="Calibri" w:hAnsi="Calibri" w:cs="Calibri"/>
          <w:szCs w:val="22"/>
          <w:lang w:val="en-GB"/>
        </w:rPr>
        <w:t xml:space="preserve">ome </w:t>
      </w:r>
      <w:r w:rsidR="005C5016">
        <w:rPr>
          <w:rStyle w:val="normaltextrun"/>
          <w:rFonts w:ascii="Calibri" w:hAnsi="Calibri" w:cs="Calibri"/>
          <w:szCs w:val="22"/>
          <w:lang w:val="en-GB"/>
        </w:rPr>
        <w:t>c</w:t>
      </w:r>
      <w:r w:rsidRPr="00D00F17">
        <w:rPr>
          <w:rStyle w:val="normaltextrun"/>
          <w:rFonts w:ascii="Calibri" w:hAnsi="Calibri" w:cs="Calibri"/>
          <w:szCs w:val="22"/>
          <w:lang w:val="en-GB"/>
        </w:rPr>
        <w:t xml:space="preserve">are </w:t>
      </w:r>
      <w:r w:rsidR="005C5016">
        <w:rPr>
          <w:rStyle w:val="normaltextrun"/>
          <w:rFonts w:ascii="Calibri" w:hAnsi="Calibri" w:cs="Calibri"/>
          <w:szCs w:val="22"/>
          <w:lang w:val="en-GB"/>
        </w:rPr>
        <w:t>a</w:t>
      </w:r>
      <w:r w:rsidRPr="00D00F17">
        <w:rPr>
          <w:rStyle w:val="normaltextrun"/>
          <w:rFonts w:ascii="Calibri" w:hAnsi="Calibri" w:cs="Calibri"/>
          <w:szCs w:val="22"/>
          <w:lang w:val="en-GB"/>
        </w:rPr>
        <w:t xml:space="preserve">ccount for future care and services.  </w:t>
      </w:r>
    </w:p>
    <w:p w14:paraId="17C43209" w14:textId="5E728F7D" w:rsidR="000E6EC8" w:rsidRDefault="000E6EC8" w:rsidP="000E6EC8">
      <w:r w:rsidRPr="00D00F17">
        <w:rPr>
          <w:rStyle w:val="normaltextrun"/>
          <w:rFonts w:ascii="Calibri" w:hAnsi="Calibri" w:cs="Calibri"/>
          <w:szCs w:val="22"/>
          <w:lang w:val="en-GB"/>
        </w:rPr>
        <w:t>It is the responsibility of the provider to put in place the business processes to collect and manage income tested care fees from care recipients who have been assessed as needing to pay the fee.</w:t>
      </w:r>
      <w:r w:rsidRPr="00D00F17">
        <w:rPr>
          <w:rStyle w:val="normaltextrun"/>
          <w:lang w:val="en-GB"/>
        </w:rPr>
        <w:t> </w:t>
      </w:r>
      <w:r w:rsidR="00A95AAF">
        <w:t>Providers</w:t>
      </w:r>
      <w:r w:rsidR="00955FC7">
        <w:t xml:space="preserve"> must collect the income tested care fee regardless of whether the care recipient is using the full amount of their package.</w:t>
      </w:r>
    </w:p>
    <w:p w14:paraId="48E62318" w14:textId="0B5AEB2D" w:rsidR="000E6EC8" w:rsidRPr="00D00F17" w:rsidRDefault="000E6EC8" w:rsidP="000E6EC8">
      <w:pPr>
        <w:rPr>
          <w:rStyle w:val="normaltextrun"/>
          <w:rFonts w:ascii="Calibri" w:hAnsi="Calibri" w:cs="Calibri"/>
          <w:szCs w:val="22"/>
          <w:lang w:val="en-GB"/>
        </w:rPr>
      </w:pPr>
      <w:r w:rsidRPr="00D00F17">
        <w:rPr>
          <w:rStyle w:val="normaltextrun"/>
          <w:rFonts w:ascii="Calibri" w:hAnsi="Calibri" w:cs="Calibri"/>
          <w:szCs w:val="22"/>
          <w:lang w:val="en-GB"/>
        </w:rPr>
        <w:t xml:space="preserve">Providers must </w:t>
      </w:r>
      <w:r w:rsidR="00990278" w:rsidRPr="00D00F17">
        <w:rPr>
          <w:rStyle w:val="normaltextrun"/>
          <w:rFonts w:ascii="Calibri" w:hAnsi="Calibri" w:cs="Calibri"/>
          <w:szCs w:val="22"/>
          <w:lang w:val="en-GB"/>
        </w:rPr>
        <w:t>continue</w:t>
      </w:r>
      <w:r w:rsidRPr="00D00F17">
        <w:rPr>
          <w:rStyle w:val="normaltextrun"/>
          <w:rFonts w:ascii="Calibri" w:hAnsi="Calibri" w:cs="Calibri"/>
          <w:szCs w:val="22"/>
          <w:lang w:val="en-GB"/>
        </w:rPr>
        <w:t xml:space="preserve"> to </w:t>
      </w:r>
      <w:r w:rsidR="00990278" w:rsidRPr="00D00F17">
        <w:rPr>
          <w:rStyle w:val="normaltextrun"/>
          <w:rFonts w:ascii="Calibri" w:hAnsi="Calibri" w:cs="Calibri"/>
          <w:szCs w:val="22"/>
          <w:lang w:val="en-GB"/>
        </w:rPr>
        <w:t xml:space="preserve">support </w:t>
      </w:r>
      <w:r w:rsidRPr="00D00F17">
        <w:rPr>
          <w:rStyle w:val="normaltextrun"/>
          <w:rFonts w:ascii="Calibri" w:hAnsi="Calibri" w:cs="Calibri"/>
          <w:szCs w:val="22"/>
          <w:lang w:val="en-GB"/>
        </w:rPr>
        <w:t xml:space="preserve">care recipients </w:t>
      </w:r>
      <w:r w:rsidR="00990278" w:rsidRPr="00D00F17">
        <w:rPr>
          <w:rStyle w:val="normaltextrun"/>
          <w:rFonts w:ascii="Calibri" w:hAnsi="Calibri" w:cs="Calibri"/>
          <w:szCs w:val="22"/>
          <w:lang w:val="en-GB"/>
        </w:rPr>
        <w:t xml:space="preserve">to understand </w:t>
      </w:r>
      <w:r w:rsidRPr="00D00F17">
        <w:rPr>
          <w:rStyle w:val="normaltextrun"/>
          <w:rFonts w:ascii="Calibri" w:hAnsi="Calibri" w:cs="Calibri"/>
          <w:szCs w:val="22"/>
          <w:lang w:val="en-GB"/>
        </w:rPr>
        <w:t>fees</w:t>
      </w:r>
      <w:r w:rsidR="00990278" w:rsidRPr="00D00F17">
        <w:rPr>
          <w:rStyle w:val="normaltextrun"/>
          <w:rFonts w:ascii="Calibri" w:hAnsi="Calibri" w:cs="Calibri"/>
          <w:szCs w:val="22"/>
          <w:lang w:val="en-GB"/>
        </w:rPr>
        <w:t xml:space="preserve"> and their means assessment. This may also require </w:t>
      </w:r>
      <w:r w:rsidRPr="00D00F17">
        <w:rPr>
          <w:rStyle w:val="normaltextrun"/>
          <w:rFonts w:ascii="Calibri" w:hAnsi="Calibri" w:cs="Calibri"/>
          <w:szCs w:val="22"/>
          <w:lang w:val="en-GB"/>
        </w:rPr>
        <w:t>provid</w:t>
      </w:r>
      <w:r w:rsidR="00990278" w:rsidRPr="00D00F17">
        <w:rPr>
          <w:rStyle w:val="normaltextrun"/>
          <w:rFonts w:ascii="Calibri" w:hAnsi="Calibri" w:cs="Calibri"/>
          <w:szCs w:val="22"/>
          <w:lang w:val="en-GB"/>
        </w:rPr>
        <w:t>ing</w:t>
      </w:r>
      <w:r w:rsidRPr="00D00F17">
        <w:rPr>
          <w:rStyle w:val="normaltextrun"/>
          <w:rFonts w:ascii="Calibri" w:hAnsi="Calibri" w:cs="Calibri"/>
          <w:szCs w:val="22"/>
          <w:lang w:val="en-GB"/>
        </w:rPr>
        <w:t xml:space="preserve"> information about</w:t>
      </w:r>
      <w:r w:rsidR="00990278" w:rsidRPr="00D00F17">
        <w:rPr>
          <w:rStyle w:val="normaltextrun"/>
          <w:rFonts w:ascii="Calibri" w:hAnsi="Calibri" w:cs="Calibri"/>
          <w:szCs w:val="22"/>
          <w:lang w:val="en-GB"/>
        </w:rPr>
        <w:t xml:space="preserve"> how to request to Services Australia review of the assessment decision, or how to apply for financial hardship supports through Services Australia.</w:t>
      </w:r>
    </w:p>
    <w:p w14:paraId="6BA62F2B" w14:textId="77777777" w:rsidR="000E6EC8" w:rsidRPr="00D00F17" w:rsidRDefault="000E6EC8" w:rsidP="000E6EC8">
      <w:pPr>
        <w:rPr>
          <w:rStyle w:val="normaltextrun"/>
          <w:rFonts w:ascii="Calibri" w:hAnsi="Calibri" w:cs="Calibri"/>
          <w:szCs w:val="22"/>
          <w:lang w:val="en-GB"/>
        </w:rPr>
      </w:pPr>
      <w:r w:rsidRPr="00D00F17">
        <w:rPr>
          <w:rStyle w:val="normaltextrun"/>
          <w:rFonts w:ascii="Calibri" w:hAnsi="Calibri" w:cs="Calibri"/>
          <w:szCs w:val="22"/>
          <w:lang w:val="en-GB"/>
        </w:rPr>
        <w:t>As per existing arrangements, fees must be outlined in the Home Care Agreement and providers must discuss and agree these fees with the care recipient before they start services.</w:t>
      </w:r>
    </w:p>
    <w:p w14:paraId="4C4EA1BD" w14:textId="1DA09D99" w:rsidR="00747840" w:rsidRPr="0007358F" w:rsidRDefault="00747840" w:rsidP="00747840">
      <w:pPr>
        <w:pStyle w:val="Heading2"/>
        <w:numPr>
          <w:ilvl w:val="0"/>
          <w:numId w:val="5"/>
        </w:numPr>
        <w:ind w:left="284"/>
      </w:pPr>
      <w:bookmarkStart w:id="25" w:name="_What_happens_if"/>
      <w:bookmarkEnd w:id="25"/>
      <w:r w:rsidRPr="0007358F">
        <w:t>What happens if a provider ha</w:t>
      </w:r>
      <w:r w:rsidR="00296629">
        <w:t>d</w:t>
      </w:r>
      <w:r w:rsidRPr="0007358F">
        <w:t xml:space="preserve"> </w:t>
      </w:r>
      <w:r w:rsidR="00C672D5">
        <w:t xml:space="preserve">not </w:t>
      </w:r>
      <w:r w:rsidRPr="0007358F">
        <w:t xml:space="preserve">been </w:t>
      </w:r>
      <w:r w:rsidR="00C672D5">
        <w:t>collecting</w:t>
      </w:r>
      <w:r w:rsidR="00C672D5" w:rsidRPr="0007358F">
        <w:t xml:space="preserve"> </w:t>
      </w:r>
      <w:r w:rsidRPr="0007358F">
        <w:t>the income tested care fee</w:t>
      </w:r>
      <w:r w:rsidR="00296629">
        <w:t xml:space="preserve"> prior to 1 September 2021</w:t>
      </w:r>
      <w:r w:rsidRPr="0007358F">
        <w:t xml:space="preserve">? </w:t>
      </w:r>
    </w:p>
    <w:p w14:paraId="29B3A153" w14:textId="4A473381" w:rsidR="00CA7CFC" w:rsidRDefault="00296629" w:rsidP="00CA7CFC">
      <w:r>
        <w:t xml:space="preserve">In </w:t>
      </w:r>
      <w:proofErr w:type="gramStart"/>
      <w:r>
        <w:t>the majority of</w:t>
      </w:r>
      <w:proofErr w:type="gramEnd"/>
      <w:r>
        <w:t xml:space="preserve"> cases, providers will need to commence collecting </w:t>
      </w:r>
      <w:r w:rsidRPr="008329DB">
        <w:t>income tested care fee</w:t>
      </w:r>
      <w:r>
        <w:t xml:space="preserve">s from care recipients who are assessed as needing to pay. </w:t>
      </w:r>
      <w:r w:rsidR="00CA7CFC">
        <w:t xml:space="preserve">See </w:t>
      </w:r>
      <w:r w:rsidR="00C30C3A">
        <w:t xml:space="preserve">question </w:t>
      </w:r>
      <w:hyperlink w:anchor="_How_will_Income" w:history="1">
        <w:r w:rsidR="00CA7CFC" w:rsidRPr="00C30C3A">
          <w:rPr>
            <w:rStyle w:val="Hyperlink"/>
          </w:rPr>
          <w:t>20</w:t>
        </w:r>
      </w:hyperlink>
      <w:r w:rsidR="00CA7CFC">
        <w:t xml:space="preserve"> for implications if a provider does not collect the income tested care fee.</w:t>
      </w:r>
    </w:p>
    <w:p w14:paraId="49C88962" w14:textId="69D210B7" w:rsidR="00296629" w:rsidRDefault="00296629" w:rsidP="00A84F39">
      <w:r>
        <w:t>The only exception to this is where a provider had made a business decision prior to 1 September 2021 that they would not collect</w:t>
      </w:r>
      <w:r w:rsidR="00EE0146">
        <w:t xml:space="preserve"> the</w:t>
      </w:r>
      <w:r>
        <w:t xml:space="preserve"> income tested care fees from care recipients where a care recipient was not using the full amount of their package. </w:t>
      </w:r>
      <w:r w:rsidRPr="008329DB">
        <w:t xml:space="preserve"> </w:t>
      </w:r>
    </w:p>
    <w:p w14:paraId="018FE4F6" w14:textId="2F53E85F" w:rsidR="00955FC7" w:rsidRDefault="00955FC7" w:rsidP="00A84F39">
      <w:r>
        <w:t xml:space="preserve">Providers are permitted to continue to </w:t>
      </w:r>
      <w:r w:rsidR="00A917B9">
        <w:t>not collect</w:t>
      </w:r>
      <w:r w:rsidR="002C5AB8">
        <w:t xml:space="preserve"> </w:t>
      </w:r>
      <w:r>
        <w:t>the income tested care fee where:</w:t>
      </w:r>
    </w:p>
    <w:p w14:paraId="51507887" w14:textId="04033116" w:rsidR="00955FC7" w:rsidRDefault="00955FC7" w:rsidP="00955FC7">
      <w:pPr>
        <w:pStyle w:val="ListParagraph"/>
        <w:numPr>
          <w:ilvl w:val="0"/>
          <w:numId w:val="23"/>
        </w:numPr>
      </w:pPr>
      <w:r>
        <w:t>they can demonstrate that the</w:t>
      </w:r>
      <w:r w:rsidR="00CA7CFC">
        <w:t>y</w:t>
      </w:r>
      <w:r>
        <w:t xml:space="preserve"> had not collected fees from that care recipient on an ongoing basis (not just ad-hoc) for some months prior to 1 September 2021; AND</w:t>
      </w:r>
    </w:p>
    <w:p w14:paraId="13C4B92A" w14:textId="212EAA81" w:rsidR="00955FC7" w:rsidRDefault="00955FC7" w:rsidP="00E05B18">
      <w:pPr>
        <w:pStyle w:val="ListParagraph"/>
        <w:numPr>
          <w:ilvl w:val="0"/>
          <w:numId w:val="23"/>
        </w:numPr>
      </w:pPr>
      <w:r>
        <w:t xml:space="preserve">they hold unspent funds and have not opted-in for this care recipient so have access to </w:t>
      </w:r>
      <w:r w:rsidR="00CA7CFC">
        <w:t>unspent</w:t>
      </w:r>
      <w:r>
        <w:t xml:space="preserve"> funds. </w:t>
      </w:r>
    </w:p>
    <w:p w14:paraId="102AA883" w14:textId="16DDFB72" w:rsidR="00C672D5" w:rsidRDefault="00297682" w:rsidP="00C672D5">
      <w:r w:rsidRPr="008329DB">
        <w:t>I</w:t>
      </w:r>
      <w:r w:rsidR="00CA7CFC">
        <w:t xml:space="preserve">n all other circumstances, including where the provider is not holding any unspent funds for the care recipient, the provider </w:t>
      </w:r>
      <w:r w:rsidR="00CA7CFC" w:rsidRPr="00373078">
        <w:rPr>
          <w:b/>
          <w:bCs/>
        </w:rPr>
        <w:t>must</w:t>
      </w:r>
      <w:r w:rsidR="00CA7CFC">
        <w:t xml:space="preserve"> collect the</w:t>
      </w:r>
      <w:r w:rsidRPr="008329DB">
        <w:t xml:space="preserve"> income tested care fee</w:t>
      </w:r>
      <w:r w:rsidR="00CA7CFC">
        <w:t xml:space="preserve">. </w:t>
      </w:r>
      <w:r w:rsidR="00A67AD8">
        <w:rPr>
          <w:rStyle w:val="normaltextrun"/>
          <w:rFonts w:ascii="Calibri" w:hAnsi="Calibri" w:cs="Calibri"/>
          <w:szCs w:val="22"/>
          <w:lang w:val="en-GB"/>
        </w:rPr>
        <w:t xml:space="preserve">For advice on what to do if a care recipient refuses to pay see </w:t>
      </w:r>
      <w:r w:rsidR="00C30C3A">
        <w:rPr>
          <w:rStyle w:val="normaltextrun"/>
          <w:rFonts w:ascii="Calibri" w:hAnsi="Calibri" w:cs="Calibri"/>
          <w:szCs w:val="22"/>
          <w:lang w:val="en-GB"/>
        </w:rPr>
        <w:t>question</w:t>
      </w:r>
      <w:r w:rsidR="00A67AD8">
        <w:rPr>
          <w:rStyle w:val="normaltextrun"/>
          <w:rFonts w:ascii="Calibri" w:hAnsi="Calibri" w:cs="Calibri"/>
          <w:szCs w:val="22"/>
          <w:lang w:val="en-GB"/>
        </w:rPr>
        <w:t xml:space="preserve"> </w:t>
      </w:r>
      <w:hyperlink w:anchor="_What_if_a" w:history="1">
        <w:r w:rsidR="00A67AD8" w:rsidRPr="00C30C3A">
          <w:rPr>
            <w:rStyle w:val="Hyperlink"/>
            <w:rFonts w:ascii="Calibri" w:hAnsi="Calibri" w:cs="Calibri"/>
            <w:szCs w:val="22"/>
            <w:lang w:val="en-GB"/>
          </w:rPr>
          <w:t>27</w:t>
        </w:r>
      </w:hyperlink>
      <w:r w:rsidR="00A67AD8">
        <w:rPr>
          <w:rStyle w:val="normaltextrun"/>
          <w:rFonts w:ascii="Calibri" w:hAnsi="Calibri" w:cs="Calibri"/>
          <w:szCs w:val="22"/>
          <w:lang w:val="en-GB"/>
        </w:rPr>
        <w:t>.</w:t>
      </w:r>
      <w:r w:rsidR="00FD240F" w:rsidRPr="001E1FEE">
        <w:t xml:space="preserve"> </w:t>
      </w:r>
    </w:p>
    <w:p w14:paraId="42A80A41" w14:textId="7DA14448" w:rsidR="00A81C6B" w:rsidRDefault="00C672D5" w:rsidP="00C672D5">
      <w:r w:rsidRPr="00A84F39">
        <w:t xml:space="preserve">The </w:t>
      </w:r>
      <w:r w:rsidR="00253689">
        <w:t>D</w:t>
      </w:r>
      <w:r w:rsidRPr="00A84F39">
        <w:t xml:space="preserve">epartment and Services Australia do not have oversight of the </w:t>
      </w:r>
      <w:r w:rsidR="00EE0146">
        <w:t xml:space="preserve">income tested care fee </w:t>
      </w:r>
      <w:r w:rsidRPr="00A84F39">
        <w:t>arrangements. It is the provider</w:t>
      </w:r>
      <w:r w:rsidR="00A81C6B">
        <w:t>’</w:t>
      </w:r>
      <w:r w:rsidRPr="00A84F39">
        <w:t xml:space="preserve">s responsibility to ensure they keep track of these arrangements as part of their business processes. </w:t>
      </w:r>
      <w:r w:rsidR="000519BB" w:rsidRPr="002546BA">
        <w:t>Providers should document the arrangement to not collect income tested care fees and the use of unspent funds with agreement between themselves and the care recipient. This evidence could be used to support review or assurance activities.</w:t>
      </w:r>
    </w:p>
    <w:p w14:paraId="146A2D80" w14:textId="59908CF4" w:rsidR="0099120B" w:rsidRDefault="0099120B" w:rsidP="0099120B">
      <w:r>
        <w:lastRenderedPageBreak/>
        <w:t xml:space="preserve">Providers must advise departing care recipients, who are transferring providers, that they will be required to start paying their full assessed income tested care fee with their new provider. Previous income tested care fee arrangements do not carry over to new providers. </w:t>
      </w:r>
    </w:p>
    <w:p w14:paraId="42C841F7" w14:textId="2EC5803C" w:rsidR="00990278" w:rsidRPr="0007358F" w:rsidRDefault="00990278" w:rsidP="00747840">
      <w:r w:rsidRPr="0007358F">
        <w:t xml:space="preserve">Providers cannot charge care recipients the income tested care fees that they have </w:t>
      </w:r>
      <w:r w:rsidR="00A81C6B">
        <w:t>not collected</w:t>
      </w:r>
      <w:r w:rsidRPr="0007358F">
        <w:t xml:space="preserve"> in the past. </w:t>
      </w:r>
    </w:p>
    <w:p w14:paraId="3ED33AFA" w14:textId="06BAB353" w:rsidR="00990278" w:rsidRPr="0007358F" w:rsidRDefault="00990278" w:rsidP="00747840">
      <w:r w:rsidRPr="0007358F">
        <w:t xml:space="preserve">Care recipients may not need to be referred to Services Australia for an assessment, see </w:t>
      </w:r>
      <w:hyperlink r:id="rId15" w:history="1">
        <w:r w:rsidRPr="0007358F">
          <w:rPr>
            <w:rStyle w:val="Hyperlink"/>
          </w:rPr>
          <w:t>Income and means assessments | My Aged Care</w:t>
        </w:r>
      </w:hyperlink>
      <w:r w:rsidRPr="0007358F">
        <w:t xml:space="preserve"> for more information</w:t>
      </w:r>
      <w:r w:rsidR="003B14C9" w:rsidRPr="0007358F">
        <w:t>.</w:t>
      </w:r>
    </w:p>
    <w:p w14:paraId="48DA06CB" w14:textId="3A6ACDAC" w:rsidR="003E173B" w:rsidRPr="00D00F17" w:rsidRDefault="003E173B" w:rsidP="003E173B">
      <w:pPr>
        <w:pStyle w:val="Heading2"/>
        <w:numPr>
          <w:ilvl w:val="0"/>
          <w:numId w:val="5"/>
        </w:numPr>
        <w:ind w:left="284"/>
      </w:pPr>
      <w:r w:rsidRPr="00D00F17">
        <w:t xml:space="preserve">Will income tested care fee contributions always be used in full? </w:t>
      </w:r>
    </w:p>
    <w:p w14:paraId="0726B0A7" w14:textId="77777777" w:rsidR="003E173B" w:rsidRPr="00D00F17" w:rsidRDefault="003E173B" w:rsidP="003E173B">
      <w:r w:rsidRPr="00D00F17">
        <w:t>There are a limited number of circumstances where an income tested care fee may be accrued by the provider. For example:</w:t>
      </w:r>
    </w:p>
    <w:p w14:paraId="7253BCB9" w14:textId="10A0F4D4" w:rsidR="003E173B" w:rsidRPr="00D00F17" w:rsidRDefault="003E173B" w:rsidP="003E173B">
      <w:pPr>
        <w:pStyle w:val="ListParagraph"/>
        <w:numPr>
          <w:ilvl w:val="0"/>
          <w:numId w:val="1"/>
        </w:numPr>
      </w:pPr>
      <w:r w:rsidRPr="00D00F17">
        <w:t xml:space="preserve">If a care recipient is on leave from their Home Care Package but </w:t>
      </w:r>
      <w:r w:rsidR="008F22F7">
        <w:t>is</w:t>
      </w:r>
      <w:r w:rsidRPr="00D00F17">
        <w:t xml:space="preserve"> still paying an income tested care fee to their provider.</w:t>
      </w:r>
    </w:p>
    <w:p w14:paraId="117BFF0B" w14:textId="2C1C7230" w:rsidR="00BA1C21" w:rsidRDefault="003E173B" w:rsidP="003E173B">
      <w:pPr>
        <w:pStyle w:val="ListParagraph"/>
        <w:numPr>
          <w:ilvl w:val="0"/>
          <w:numId w:val="1"/>
        </w:numPr>
      </w:pPr>
      <w:r w:rsidRPr="00D00F17">
        <w:t>If a provider opts-in to return the Commonwealth portion of unspent funds held for a care recipient, the provider may accrue unspent income tested care fees while drawing down on these unspent funds.</w:t>
      </w:r>
    </w:p>
    <w:p w14:paraId="0D280736" w14:textId="21B58B2D" w:rsidR="00C02111" w:rsidRPr="0007358F" w:rsidRDefault="00C02111" w:rsidP="00C02111">
      <w:pPr>
        <w:pStyle w:val="Heading2"/>
        <w:numPr>
          <w:ilvl w:val="0"/>
          <w:numId w:val="5"/>
        </w:numPr>
        <w:ind w:left="284"/>
        <w:rPr>
          <w:b w:val="0"/>
          <w:bCs w:val="0"/>
        </w:rPr>
      </w:pPr>
      <w:r w:rsidRPr="0007358F">
        <w:t>What if a care recipient has not had a means test when they start home care?</w:t>
      </w:r>
    </w:p>
    <w:p w14:paraId="32578B4D" w14:textId="6684CF40" w:rsidR="00DD5819" w:rsidRPr="0007358F" w:rsidRDefault="00FA031E" w:rsidP="00C02111">
      <w:r w:rsidRPr="0007358F">
        <w:t xml:space="preserve">A care recipient may begin to receive services prior to their means test being finalised. </w:t>
      </w:r>
      <w:r w:rsidRPr="00D00F17">
        <w:t xml:space="preserve">Services Australia assume no income tested care fee is payable </w:t>
      </w:r>
      <w:r w:rsidR="00DD5819" w:rsidRPr="00D00F17">
        <w:t xml:space="preserve">and will pay </w:t>
      </w:r>
      <w:r w:rsidRPr="00D00F17">
        <w:t xml:space="preserve">the full monthly claim entitlement </w:t>
      </w:r>
      <w:r w:rsidR="00DD5819" w:rsidRPr="00D00F17">
        <w:t xml:space="preserve">until the care recipient is assigned a ‘means not disclosed </w:t>
      </w:r>
      <w:proofErr w:type="gramStart"/>
      <w:r w:rsidR="00DD5819" w:rsidRPr="00D00F17">
        <w:t>status’</w:t>
      </w:r>
      <w:proofErr w:type="gramEnd"/>
      <w:r w:rsidR="00DD5819" w:rsidRPr="00D00F17">
        <w:t>.</w:t>
      </w:r>
      <w:r w:rsidR="00DD5819" w:rsidRPr="0007358F">
        <w:t xml:space="preserve"> </w:t>
      </w:r>
    </w:p>
    <w:p w14:paraId="049A7C75" w14:textId="51F83E58" w:rsidR="00E257B3" w:rsidRPr="0007358F" w:rsidRDefault="00E257B3" w:rsidP="00E257B3">
      <w:r w:rsidRPr="0007358F">
        <w:t>If a care recipient is assigned a ‘means not disclosed status’ Services Australia assume the full income tested care fee is payable. This may result in a provider being paid less than the care recipient is entitled to.</w:t>
      </w:r>
    </w:p>
    <w:p w14:paraId="307046EF" w14:textId="65521741" w:rsidR="00715BF0" w:rsidRDefault="00DD5819" w:rsidP="00DD5819">
      <w:r w:rsidRPr="00D00F17">
        <w:t>Once a means test outcome is finalised, Services Australia will apply the correct income tested subsidy reduction backdated to the date the care recipient first entered the Home Care Packages Program.</w:t>
      </w:r>
      <w:r w:rsidR="00E337AC" w:rsidRPr="0007358F">
        <w:t xml:space="preserve"> </w:t>
      </w:r>
      <w:r w:rsidRPr="0007358F">
        <w:t>This means that</w:t>
      </w:r>
      <w:r w:rsidR="00715BF0" w:rsidRPr="0007358F">
        <w:t>:</w:t>
      </w:r>
    </w:p>
    <w:p w14:paraId="4EDFE7E7" w14:textId="3987539D" w:rsidR="00715BF0" w:rsidRDefault="00715BF0" w:rsidP="00715BF0">
      <w:pPr>
        <w:pStyle w:val="ListParagraph"/>
        <w:numPr>
          <w:ilvl w:val="0"/>
          <w:numId w:val="8"/>
        </w:numPr>
      </w:pPr>
      <w:r>
        <w:t>I</w:t>
      </w:r>
      <w:r w:rsidR="00E604F2">
        <w:t xml:space="preserve">f </w:t>
      </w:r>
      <w:r w:rsidR="008B63E2">
        <w:t xml:space="preserve">a </w:t>
      </w:r>
      <w:r w:rsidR="00E604F2">
        <w:t xml:space="preserve">care recipient’s means test </w:t>
      </w:r>
      <w:r w:rsidR="00FA031E">
        <w:t>outcome</w:t>
      </w:r>
      <w:r w:rsidR="00E604F2">
        <w:t xml:space="preserve"> </w:t>
      </w:r>
      <w:r>
        <w:t>has resulted in an overpayment to the provider, Services Australia will deduct the overpayment from the next payment to the provider.</w:t>
      </w:r>
    </w:p>
    <w:p w14:paraId="3A4D7DBA" w14:textId="5EC05206" w:rsidR="00715BF0" w:rsidRDefault="00715BF0" w:rsidP="00715BF0">
      <w:pPr>
        <w:pStyle w:val="ListParagraph"/>
        <w:numPr>
          <w:ilvl w:val="0"/>
          <w:numId w:val="8"/>
        </w:numPr>
      </w:pPr>
      <w:r>
        <w:t>If a care recipient paid income test</w:t>
      </w:r>
      <w:r w:rsidR="00DA5E70">
        <w:t>ed</w:t>
      </w:r>
      <w:r>
        <w:t xml:space="preserve"> care fees </w:t>
      </w:r>
      <w:proofErr w:type="gramStart"/>
      <w:r>
        <w:t>in excess of</w:t>
      </w:r>
      <w:proofErr w:type="gramEnd"/>
      <w:r>
        <w:t xml:space="preserve"> what they were required to pay, the provider must repay these to the care recipient.</w:t>
      </w:r>
    </w:p>
    <w:p w14:paraId="3F922A96" w14:textId="77777777" w:rsidR="00BA1C21" w:rsidRDefault="00983D37" w:rsidP="00983D37">
      <w:r>
        <w:t>To manage risk for new care recipients</w:t>
      </w:r>
      <w:r w:rsidR="00E93757">
        <w:t>,</w:t>
      </w:r>
      <w:r>
        <w:t xml:space="preserve"> providers can apply the maximum income</w:t>
      </w:r>
      <w:r w:rsidR="00383B25">
        <w:t xml:space="preserve"> </w:t>
      </w:r>
      <w:r>
        <w:t xml:space="preserve">tested fee, </w:t>
      </w:r>
      <w:r w:rsidRPr="00C02111">
        <w:t xml:space="preserve">the second daily cap in the </w:t>
      </w:r>
      <w:hyperlink r:id="rId16" w:history="1">
        <w:r w:rsidRPr="00C02111">
          <w:rPr>
            <w:rStyle w:val="Hyperlink"/>
          </w:rPr>
          <w:t>Schedule of Fees and Charges</w:t>
        </w:r>
      </w:hyperlink>
      <w:r>
        <w:t>, for any care recipients where they have not received their initial means testing advice.</w:t>
      </w:r>
      <w:r w:rsidR="00E257B3">
        <w:t xml:space="preserve"> </w:t>
      </w:r>
    </w:p>
    <w:p w14:paraId="5F51D8D8" w14:textId="78D5DD27" w:rsidR="00E257B3" w:rsidRDefault="00E257B3" w:rsidP="00983D37">
      <w:r>
        <w:rPr>
          <w:lang w:val="en"/>
        </w:rPr>
        <w:t>T</w:t>
      </w:r>
      <w:r w:rsidRPr="001C001B">
        <w:rPr>
          <w:lang w:val="en"/>
        </w:rPr>
        <w:t xml:space="preserve">his should not impact pensioners as their means tests are automatically matched by Services Australia through </w:t>
      </w:r>
      <w:r w:rsidR="00DD5819">
        <w:rPr>
          <w:lang w:val="en"/>
        </w:rPr>
        <w:t>G</w:t>
      </w:r>
      <w:r w:rsidRPr="001C001B">
        <w:rPr>
          <w:lang w:val="en"/>
        </w:rPr>
        <w:t xml:space="preserve">overnment data and full pensioners do not pay the </w:t>
      </w:r>
      <w:r w:rsidR="00290B09">
        <w:rPr>
          <w:lang w:val="en"/>
        </w:rPr>
        <w:t>income tested</w:t>
      </w:r>
      <w:r>
        <w:rPr>
          <w:lang w:val="en"/>
        </w:rPr>
        <w:t xml:space="preserve"> </w:t>
      </w:r>
      <w:r w:rsidR="008F22F7">
        <w:rPr>
          <w:lang w:val="en"/>
        </w:rPr>
        <w:t xml:space="preserve">care </w:t>
      </w:r>
      <w:r>
        <w:rPr>
          <w:lang w:val="en"/>
        </w:rPr>
        <w:t>fee.</w:t>
      </w:r>
    </w:p>
    <w:p w14:paraId="53A94C6D" w14:textId="07742D65" w:rsidR="00C02111" w:rsidRPr="007A61ED" w:rsidRDefault="00C02111" w:rsidP="00C02111">
      <w:pPr>
        <w:rPr>
          <w:rFonts w:ascii="Calibri" w:hAnsi="Calibri" w:cs="Calibri"/>
        </w:rPr>
      </w:pPr>
      <w:r>
        <w:t>Providers should manage their cash-flow accordingly to cover any future liabilities arising from a late submitted means test.</w:t>
      </w:r>
    </w:p>
    <w:p w14:paraId="148D7C99" w14:textId="60BCE918" w:rsidR="00130D7B" w:rsidRDefault="00130D7B" w:rsidP="00AA67AC">
      <w:pPr>
        <w:pStyle w:val="Heading2"/>
        <w:numPr>
          <w:ilvl w:val="0"/>
          <w:numId w:val="5"/>
        </w:numPr>
        <w:ind w:left="284"/>
      </w:pPr>
      <w:bookmarkStart w:id="26" w:name="_Hlk79070084"/>
      <w:bookmarkEnd w:id="23"/>
      <w:r>
        <w:t xml:space="preserve">How </w:t>
      </w:r>
      <w:r w:rsidR="00A917B9">
        <w:t xml:space="preserve">are </w:t>
      </w:r>
      <w:r>
        <w:t>means testing adjustments be</w:t>
      </w:r>
      <w:r w:rsidR="002546BA">
        <w:t>ing</w:t>
      </w:r>
      <w:r>
        <w:t xml:space="preserve"> managed?</w:t>
      </w:r>
    </w:p>
    <w:p w14:paraId="707E8A3E" w14:textId="62F9318D" w:rsidR="00E257B3" w:rsidRDefault="001B420A" w:rsidP="0015154F">
      <w:r w:rsidRPr="007F4EB7">
        <w:t xml:space="preserve">As per existing arrangements, </w:t>
      </w:r>
      <w:r w:rsidR="00CD265D">
        <w:t>i</w:t>
      </w:r>
      <w:r w:rsidR="0015154F">
        <w:t xml:space="preserve">f a care recipient </w:t>
      </w:r>
      <w:r w:rsidR="00CD265D">
        <w:t>is paying an i</w:t>
      </w:r>
      <w:r w:rsidR="00CD265D" w:rsidRPr="0015154F">
        <w:t>ncome</w:t>
      </w:r>
      <w:r w:rsidR="00E257B3">
        <w:t xml:space="preserve"> </w:t>
      </w:r>
      <w:r w:rsidR="00CD265D">
        <w:t>t</w:t>
      </w:r>
      <w:r w:rsidR="00CD265D" w:rsidRPr="0015154F">
        <w:t xml:space="preserve">ested </w:t>
      </w:r>
      <w:r w:rsidR="00E257B3">
        <w:t xml:space="preserve">care </w:t>
      </w:r>
      <w:r w:rsidR="00CD265D">
        <w:t>f</w:t>
      </w:r>
      <w:r w:rsidR="00CD265D" w:rsidRPr="0015154F">
        <w:t xml:space="preserve">ee </w:t>
      </w:r>
      <w:r w:rsidR="00CD265D">
        <w:t xml:space="preserve">and </w:t>
      </w:r>
      <w:r w:rsidR="0015154F">
        <w:t xml:space="preserve">receives a delayed income assessment which determines they should </w:t>
      </w:r>
      <w:r w:rsidR="00E257B3">
        <w:t xml:space="preserve">have </w:t>
      </w:r>
      <w:r w:rsidR="00E604F2">
        <w:t>be</w:t>
      </w:r>
      <w:r w:rsidR="00E257B3">
        <w:t>en</w:t>
      </w:r>
      <w:r w:rsidR="00E604F2">
        <w:t xml:space="preserve"> p</w:t>
      </w:r>
      <w:r w:rsidR="0015154F">
        <w:t>ay</w:t>
      </w:r>
      <w:r w:rsidR="00CD265D">
        <w:t xml:space="preserve">ing </w:t>
      </w:r>
      <w:r w:rsidR="00E604F2">
        <w:t>a lower contribution than</w:t>
      </w:r>
      <w:r w:rsidR="00CD265D">
        <w:t xml:space="preserve"> the </w:t>
      </w:r>
      <w:r w:rsidR="00964681">
        <w:t xml:space="preserve">maximum </w:t>
      </w:r>
      <w:r w:rsidR="00CD265D">
        <w:t>income</w:t>
      </w:r>
      <w:r w:rsidR="00383B25">
        <w:t xml:space="preserve"> </w:t>
      </w:r>
      <w:r w:rsidR="00CD265D">
        <w:t xml:space="preserve">tested </w:t>
      </w:r>
      <w:r w:rsidR="008F22F7">
        <w:t xml:space="preserve">care </w:t>
      </w:r>
      <w:r w:rsidR="00CD265D">
        <w:t>fee</w:t>
      </w:r>
      <w:r w:rsidR="00E257B3">
        <w:t>,</w:t>
      </w:r>
      <w:r w:rsidR="00964681">
        <w:t xml:space="preserve"> or no fee</w:t>
      </w:r>
      <w:r w:rsidR="0015154F">
        <w:t xml:space="preserve">, the provider must refund the difference </w:t>
      </w:r>
      <w:r w:rsidR="00E604F2">
        <w:t xml:space="preserve">to the care recipient </w:t>
      </w:r>
      <w:r w:rsidR="0015154F">
        <w:t>once the care recipient fees are set.</w:t>
      </w:r>
      <w:r w:rsidR="00CD265D">
        <w:t xml:space="preserve"> </w:t>
      </w:r>
      <w:r w:rsidR="00FD44AB" w:rsidRPr="00FD44AB">
        <w:t>Services Australia will continue to pay all refunds to the provider as per existing arrangements and not to the home care account.</w:t>
      </w:r>
    </w:p>
    <w:p w14:paraId="213CFFDC" w14:textId="49B81346" w:rsidR="00F47FFA" w:rsidRDefault="0015154F" w:rsidP="00393E2D">
      <w:r>
        <w:t>I</w:t>
      </w:r>
      <w:r w:rsidR="001B420A" w:rsidRPr="007F4EB7">
        <w:t>f a care recipient receives a delayed income assessment which determines they should have been paying a</w:t>
      </w:r>
      <w:r w:rsidR="00E257B3">
        <w:t xml:space="preserve"> higher</w:t>
      </w:r>
      <w:r w:rsidR="001B420A" w:rsidRPr="007F4EB7">
        <w:t xml:space="preserve"> </w:t>
      </w:r>
      <w:r w:rsidR="00CD265D">
        <w:t>income</w:t>
      </w:r>
      <w:r w:rsidR="00E257B3">
        <w:t xml:space="preserve"> </w:t>
      </w:r>
      <w:r w:rsidR="00CD265D">
        <w:t xml:space="preserve">tested </w:t>
      </w:r>
      <w:r w:rsidR="00E257B3">
        <w:t xml:space="preserve">care </w:t>
      </w:r>
      <w:r w:rsidR="00CD265D">
        <w:t>fee</w:t>
      </w:r>
      <w:r w:rsidR="001B420A" w:rsidRPr="007F4EB7">
        <w:t>,</w:t>
      </w:r>
      <w:r w:rsidR="00F47FFA">
        <w:t xml:space="preserve"> this is backdated to their date of entry. This means the </w:t>
      </w:r>
      <w:r w:rsidR="00F47FFA">
        <w:lastRenderedPageBreak/>
        <w:t>income</w:t>
      </w:r>
      <w:r w:rsidR="00E257B3">
        <w:t xml:space="preserve"> </w:t>
      </w:r>
      <w:r w:rsidR="00F47FFA">
        <w:t xml:space="preserve">tested subsidy reduction is also backdated. An adjustment will be applied in the next claim, </w:t>
      </w:r>
      <w:r w:rsidR="00F47FFA" w:rsidRPr="00F47FFA">
        <w:t xml:space="preserve">and the subsidy paid for that care recipient in the next claim would be reduced by the </w:t>
      </w:r>
      <w:r w:rsidR="00B4513F">
        <w:t xml:space="preserve">backdated </w:t>
      </w:r>
      <w:r w:rsidR="00F47FFA" w:rsidRPr="00F47FFA">
        <w:t>adjustment amount.</w:t>
      </w:r>
    </w:p>
    <w:p w14:paraId="6776E2BC" w14:textId="78FCD0B7" w:rsidR="001B420A" w:rsidRDefault="00F47FFA" w:rsidP="00393E2D">
      <w:r w:rsidRPr="00F47FFA">
        <w:t>If the</w:t>
      </w:r>
      <w:r w:rsidR="00B4513F">
        <w:t xml:space="preserve"> </w:t>
      </w:r>
      <w:r w:rsidRPr="00F47FFA">
        <w:t>adjustment amount was greater than the care recipient’s payment determination for the current claim month, this would result in a negative payment amount for the care recipient for the month.</w:t>
      </w:r>
      <w:r>
        <w:t xml:space="preserve"> This negative amount would be factored into the </w:t>
      </w:r>
      <w:r w:rsidR="00B4513F">
        <w:t xml:space="preserve">overall service payment. </w:t>
      </w:r>
      <w:r w:rsidR="001B420A" w:rsidRPr="007F4EB7">
        <w:t xml:space="preserve">The provider </w:t>
      </w:r>
      <w:r w:rsidR="00B4513F">
        <w:t>may</w:t>
      </w:r>
      <w:r w:rsidR="001B420A" w:rsidRPr="007F4EB7">
        <w:t xml:space="preserve"> then claim the</w:t>
      </w:r>
      <w:r w:rsidR="00E55BF1">
        <w:t xml:space="preserve"> underpaid</w:t>
      </w:r>
      <w:r w:rsidR="001B420A" w:rsidRPr="007F4EB7">
        <w:t xml:space="preserve"> </w:t>
      </w:r>
      <w:r w:rsidR="00CD265D">
        <w:t>income</w:t>
      </w:r>
      <w:r w:rsidR="00E257B3">
        <w:t xml:space="preserve"> </w:t>
      </w:r>
      <w:r w:rsidR="00CD265D">
        <w:t>tested</w:t>
      </w:r>
      <w:r w:rsidR="00E257B3">
        <w:t xml:space="preserve"> care</w:t>
      </w:r>
      <w:r w:rsidR="00CD265D">
        <w:t xml:space="preserve"> fee </w:t>
      </w:r>
      <w:r w:rsidR="001B420A" w:rsidRPr="007F4EB7">
        <w:t>from the care recipient.</w:t>
      </w:r>
    </w:p>
    <w:p w14:paraId="7EDF82D8" w14:textId="6982A269" w:rsidR="003E41B8" w:rsidRPr="007F4EB7" w:rsidRDefault="003E41B8" w:rsidP="00393E2D">
      <w:r w:rsidRPr="007F4EB7">
        <w:t xml:space="preserve">If an </w:t>
      </w:r>
      <w:r w:rsidR="00CD265D">
        <w:t>income</w:t>
      </w:r>
      <w:r w:rsidR="00E257B3">
        <w:t xml:space="preserve"> </w:t>
      </w:r>
      <w:r w:rsidR="00CD265D">
        <w:t xml:space="preserve">tested </w:t>
      </w:r>
      <w:r w:rsidR="00E257B3">
        <w:t xml:space="preserve">care </w:t>
      </w:r>
      <w:r w:rsidR="00CD265D">
        <w:t xml:space="preserve">fee </w:t>
      </w:r>
      <w:r w:rsidRPr="007F4EB7">
        <w:t xml:space="preserve">is refunded to a provider due to a quarterly review but the care recipient has already left care and </w:t>
      </w:r>
      <w:r w:rsidR="00695BE7">
        <w:t xml:space="preserve">their </w:t>
      </w:r>
      <w:r w:rsidRPr="007F4EB7">
        <w:t>balance ha</w:t>
      </w:r>
      <w:r w:rsidR="008F22F7">
        <w:t>s</w:t>
      </w:r>
      <w:r w:rsidRPr="007F4EB7">
        <w:t xml:space="preserve"> been sett</w:t>
      </w:r>
      <w:r w:rsidR="004F08CB" w:rsidRPr="007F4EB7">
        <w:t>led</w:t>
      </w:r>
      <w:r w:rsidR="00695BE7">
        <w:t xml:space="preserve"> the following applies</w:t>
      </w:r>
      <w:r w:rsidR="004F08CB" w:rsidRPr="007F4EB7">
        <w:t>:</w:t>
      </w:r>
    </w:p>
    <w:p w14:paraId="5FAB9CF1" w14:textId="6AE1A667" w:rsidR="003E41B8" w:rsidRPr="007F4EB7" w:rsidRDefault="00F07275" w:rsidP="00AA67AC">
      <w:pPr>
        <w:pStyle w:val="ListParagraph"/>
        <w:numPr>
          <w:ilvl w:val="0"/>
          <w:numId w:val="1"/>
        </w:numPr>
      </w:pPr>
      <w:r>
        <w:t>I</w:t>
      </w:r>
      <w:r w:rsidR="003E41B8" w:rsidRPr="007F4EB7">
        <w:t xml:space="preserve">f the care recipient has exited care to </w:t>
      </w:r>
      <w:r w:rsidR="00DA4AE7">
        <w:t xml:space="preserve">move to </w:t>
      </w:r>
      <w:r w:rsidR="003E41B8" w:rsidRPr="007F4EB7">
        <w:t xml:space="preserve">another provider, the refunded </w:t>
      </w:r>
      <w:r w:rsidR="00CD265D">
        <w:t>income</w:t>
      </w:r>
      <w:r w:rsidR="00E257B3">
        <w:t xml:space="preserve"> </w:t>
      </w:r>
      <w:r w:rsidR="00CD265D">
        <w:t xml:space="preserve">tested </w:t>
      </w:r>
      <w:r w:rsidR="00E257B3">
        <w:t xml:space="preserve">care </w:t>
      </w:r>
      <w:r w:rsidR="00CD265D">
        <w:t>fee</w:t>
      </w:r>
      <w:r w:rsidR="003E41B8" w:rsidRPr="007F4EB7">
        <w:t xml:space="preserve"> </w:t>
      </w:r>
      <w:r w:rsidR="00DA5E70">
        <w:t>must</w:t>
      </w:r>
      <w:r w:rsidR="00DA5E70" w:rsidRPr="007F4EB7">
        <w:t xml:space="preserve"> </w:t>
      </w:r>
      <w:r w:rsidR="003E41B8" w:rsidRPr="007F4EB7">
        <w:t xml:space="preserve">be transferred </w:t>
      </w:r>
      <w:r w:rsidR="009A78B7">
        <w:t xml:space="preserve">from the previous provider </w:t>
      </w:r>
      <w:r w:rsidR="003E41B8" w:rsidRPr="007F4EB7">
        <w:t>to the new provider</w:t>
      </w:r>
    </w:p>
    <w:p w14:paraId="552FC909" w14:textId="6DB9B1C7" w:rsidR="00F105D6" w:rsidRDefault="00F07275" w:rsidP="00AA67AC">
      <w:pPr>
        <w:pStyle w:val="ListParagraph"/>
        <w:numPr>
          <w:ilvl w:val="0"/>
          <w:numId w:val="1"/>
        </w:numPr>
      </w:pPr>
      <w:r>
        <w:t>I</w:t>
      </w:r>
      <w:r w:rsidR="003E41B8" w:rsidRPr="007F4EB7">
        <w:t>f the care recipient has exited care</w:t>
      </w:r>
      <w:r w:rsidR="00685B49">
        <w:t>,</w:t>
      </w:r>
      <w:r w:rsidR="003E41B8" w:rsidRPr="007F4EB7">
        <w:t xml:space="preserve"> due to entry into residential care or </w:t>
      </w:r>
      <w:r w:rsidR="001B420A" w:rsidRPr="007F4EB7">
        <w:t>has passed away</w:t>
      </w:r>
      <w:r w:rsidR="003E41B8" w:rsidRPr="007F4EB7">
        <w:t xml:space="preserve">, then the </w:t>
      </w:r>
      <w:r w:rsidR="00CD265D">
        <w:t>income</w:t>
      </w:r>
      <w:r w:rsidR="00E257B3">
        <w:t xml:space="preserve"> </w:t>
      </w:r>
      <w:r w:rsidR="00CD265D">
        <w:t xml:space="preserve">tested </w:t>
      </w:r>
      <w:r w:rsidR="00E257B3">
        <w:t xml:space="preserve">care </w:t>
      </w:r>
      <w:r w:rsidR="00CD265D">
        <w:t>fee</w:t>
      </w:r>
      <w:r w:rsidR="001B420A" w:rsidRPr="007F4EB7">
        <w:t xml:space="preserve"> </w:t>
      </w:r>
      <w:r w:rsidR="00DA5E70">
        <w:t>must</w:t>
      </w:r>
      <w:r w:rsidR="00DA5E70" w:rsidRPr="007F4EB7">
        <w:t xml:space="preserve"> </w:t>
      </w:r>
      <w:r w:rsidR="003E41B8" w:rsidRPr="007F4EB7">
        <w:t>be r</w:t>
      </w:r>
      <w:r w:rsidR="00685B49">
        <w:t xml:space="preserve">efunded to the care recipient/or their </w:t>
      </w:r>
      <w:r w:rsidR="003E41B8" w:rsidRPr="007F4EB7">
        <w:t>estate</w:t>
      </w:r>
    </w:p>
    <w:p w14:paraId="3D206A7E" w14:textId="5375FB2C" w:rsidR="00855CBC" w:rsidRDefault="00855CBC" w:rsidP="00F77063">
      <w:r w:rsidRPr="007F4EB7">
        <w:t xml:space="preserve">If a care recipient does not agree with the outcome of their means test, they can request Services Australia </w:t>
      </w:r>
      <w:r>
        <w:t xml:space="preserve">to </w:t>
      </w:r>
      <w:r w:rsidRPr="007F4EB7">
        <w:t xml:space="preserve">review this decision. If a care recipient is unable to pay their fees due to financial hardship, they can apply for financial hardship </w:t>
      </w:r>
      <w:r w:rsidR="00E24DB7">
        <w:t>help</w:t>
      </w:r>
      <w:r w:rsidRPr="007F4EB7">
        <w:t xml:space="preserve"> from the Government.</w:t>
      </w:r>
    </w:p>
    <w:p w14:paraId="658F7284" w14:textId="07EA7732" w:rsidR="003E41B8" w:rsidRPr="007F4EB7" w:rsidRDefault="00A917B9" w:rsidP="00AA67AC">
      <w:pPr>
        <w:pStyle w:val="Heading2"/>
        <w:numPr>
          <w:ilvl w:val="0"/>
          <w:numId w:val="5"/>
        </w:numPr>
        <w:ind w:left="284"/>
      </w:pPr>
      <w:bookmarkStart w:id="27" w:name="_Toc77684710"/>
      <w:bookmarkStart w:id="28" w:name="_Toc77684811"/>
      <w:bookmarkStart w:id="29" w:name="_Toc77684712"/>
      <w:bookmarkStart w:id="30" w:name="_Toc77684813"/>
      <w:bookmarkStart w:id="31" w:name="_Toc77762307"/>
      <w:bookmarkStart w:id="32" w:name="_Toc77762429"/>
      <w:bookmarkStart w:id="33" w:name="_Toc77762514"/>
      <w:bookmarkStart w:id="34" w:name="_Toc77762599"/>
      <w:bookmarkStart w:id="35" w:name="_Toc77684713"/>
      <w:bookmarkStart w:id="36" w:name="_Toc77684814"/>
      <w:bookmarkStart w:id="37" w:name="_Toc77762308"/>
      <w:bookmarkStart w:id="38" w:name="_Toc77762430"/>
      <w:bookmarkStart w:id="39" w:name="_Toc77762515"/>
      <w:bookmarkStart w:id="40" w:name="_Toc7776260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Is</w:t>
      </w:r>
      <w:r w:rsidRPr="007F4EB7">
        <w:t xml:space="preserve"> </w:t>
      </w:r>
      <w:r w:rsidR="00FD44AB" w:rsidRPr="007F4EB7">
        <w:t>there a</w:t>
      </w:r>
      <w:r w:rsidR="003E41B8" w:rsidRPr="007F4EB7">
        <w:t xml:space="preserve"> report from Services Australia </w:t>
      </w:r>
      <w:r w:rsidR="00D045F8">
        <w:t>which</w:t>
      </w:r>
      <w:r w:rsidR="003E41B8" w:rsidRPr="007F4EB7">
        <w:t xml:space="preserve"> details each care recipient’s </w:t>
      </w:r>
      <w:r w:rsidR="004F08CB" w:rsidRPr="007F4EB7">
        <w:t>subsidy and fees</w:t>
      </w:r>
      <w:r w:rsidR="003E41B8" w:rsidRPr="007F4EB7">
        <w:t>?</w:t>
      </w:r>
    </w:p>
    <w:p w14:paraId="54707218" w14:textId="41B67608" w:rsidR="00BA1C21" w:rsidRDefault="003E41B8">
      <w:r w:rsidRPr="007F4EB7">
        <w:t>The home care payment statement available within the Aged Care Provider Portal show</w:t>
      </w:r>
      <w:r w:rsidR="00E7166B">
        <w:t>s</w:t>
      </w:r>
      <w:r w:rsidRPr="007F4EB7">
        <w:t xml:space="preserve"> supplements and subsidi</w:t>
      </w:r>
      <w:r w:rsidR="004F08CB" w:rsidRPr="007F4EB7">
        <w:t>es</w:t>
      </w:r>
      <w:r w:rsidR="00D1507A">
        <w:t xml:space="preserve"> amounts</w:t>
      </w:r>
      <w:r w:rsidR="004F08CB" w:rsidRPr="007F4EB7">
        <w:t xml:space="preserve"> paid for each care recipient</w:t>
      </w:r>
      <w:r w:rsidRPr="007F4EB7">
        <w:t xml:space="preserve">. </w:t>
      </w:r>
    </w:p>
    <w:p w14:paraId="68786DE4" w14:textId="5EC25828" w:rsidR="00A95AAF" w:rsidRDefault="003E41B8" w:rsidP="00800650">
      <w:r w:rsidRPr="007F4EB7">
        <w:t>It also show</w:t>
      </w:r>
      <w:r w:rsidR="00E7166B">
        <w:t>s</w:t>
      </w:r>
      <w:r w:rsidRPr="007F4EB7">
        <w:t xml:space="preserve"> the home care account b</w:t>
      </w:r>
      <w:r w:rsidR="004F08CB" w:rsidRPr="007F4EB7">
        <w:t xml:space="preserve">alance for each care recipient (where unspent </w:t>
      </w:r>
      <w:r w:rsidR="00B9469B">
        <w:t>Government</w:t>
      </w:r>
      <w:r w:rsidR="00B9469B" w:rsidRPr="007F4EB7">
        <w:t xml:space="preserve"> </w:t>
      </w:r>
      <w:r w:rsidR="004F08CB" w:rsidRPr="007F4EB7">
        <w:t xml:space="preserve">subsidy and supplements accrue from 1 September 2021 onwards). </w:t>
      </w:r>
      <w:bookmarkStart w:id="41" w:name="_Toc77762310"/>
      <w:bookmarkStart w:id="42" w:name="_Toc77762432"/>
      <w:bookmarkStart w:id="43" w:name="_Toc77762517"/>
      <w:bookmarkStart w:id="44" w:name="_Toc77762602"/>
      <w:bookmarkStart w:id="45" w:name="_Toc77674328"/>
      <w:bookmarkStart w:id="46" w:name="_Toc77684717"/>
      <w:bookmarkStart w:id="47" w:name="_Toc77684818"/>
      <w:bookmarkEnd w:id="41"/>
      <w:bookmarkEnd w:id="42"/>
      <w:bookmarkEnd w:id="43"/>
      <w:bookmarkEnd w:id="44"/>
      <w:bookmarkEnd w:id="45"/>
      <w:bookmarkEnd w:id="46"/>
      <w:bookmarkEnd w:id="47"/>
    </w:p>
    <w:p w14:paraId="67CCAE7B" w14:textId="77777777" w:rsidR="00800650" w:rsidRDefault="003E41B8" w:rsidP="00800650">
      <w:pPr>
        <w:pStyle w:val="Heading2"/>
        <w:numPr>
          <w:ilvl w:val="0"/>
          <w:numId w:val="5"/>
        </w:numPr>
        <w:ind w:left="284"/>
      </w:pPr>
      <w:bookmarkStart w:id="48" w:name="_Do_providers_need_1"/>
      <w:bookmarkEnd w:id="48"/>
      <w:r w:rsidRPr="007F4EB7">
        <w:t xml:space="preserve">Do providers need to </w:t>
      </w:r>
      <w:r w:rsidR="0084582A">
        <w:t>remove</w:t>
      </w:r>
      <w:r w:rsidRPr="007F4EB7">
        <w:t xml:space="preserve"> the </w:t>
      </w:r>
      <w:r w:rsidR="00E257B3" w:rsidRPr="00E257B3">
        <w:t xml:space="preserve">income tested care fee </w:t>
      </w:r>
      <w:r w:rsidRPr="007F4EB7">
        <w:t>when reporting the 'price' to Services Australia</w:t>
      </w:r>
      <w:r w:rsidR="00330FD5">
        <w:t xml:space="preserve"> in their claim</w:t>
      </w:r>
      <w:r w:rsidRPr="007F4EB7">
        <w:t xml:space="preserve">? </w:t>
      </w:r>
    </w:p>
    <w:p w14:paraId="324C88A7" w14:textId="23A09A5A" w:rsidR="00800650" w:rsidRDefault="001770F1" w:rsidP="00800650">
      <w:r w:rsidRPr="007F4EB7">
        <w:t>No, p</w:t>
      </w:r>
      <w:r w:rsidR="003E41B8" w:rsidRPr="007F4EB7">
        <w:t xml:space="preserve">roviders do </w:t>
      </w:r>
      <w:r w:rsidR="003E41B8" w:rsidRPr="001D4559">
        <w:rPr>
          <w:b/>
          <w:bCs/>
        </w:rPr>
        <w:t>not</w:t>
      </w:r>
      <w:r w:rsidR="003E41B8" w:rsidRPr="007F4EB7">
        <w:t xml:space="preserve"> need to </w:t>
      </w:r>
      <w:r w:rsidR="00EE4407">
        <w:t>remove</w:t>
      </w:r>
      <w:r w:rsidR="003E41B8" w:rsidRPr="007F4EB7">
        <w:t xml:space="preserve"> the </w:t>
      </w:r>
      <w:r w:rsidR="00E257B3">
        <w:t xml:space="preserve">income tested care fee </w:t>
      </w:r>
      <w:r w:rsidR="007B720A">
        <w:t>payable</w:t>
      </w:r>
      <w:r w:rsidR="003E41B8" w:rsidRPr="007F4EB7">
        <w:t xml:space="preserve"> when reporting the </w:t>
      </w:r>
      <w:hyperlink w:anchor="_What_is_the" w:history="1">
        <w:r w:rsidR="00B9469B" w:rsidRPr="00EB0DF7">
          <w:rPr>
            <w:rStyle w:val="Hyperlink"/>
            <w:b/>
            <w:bCs/>
            <w:color w:val="auto"/>
            <w:u w:val="none"/>
          </w:rPr>
          <w:t>price</w:t>
        </w:r>
      </w:hyperlink>
      <w:r w:rsidR="003E41B8" w:rsidRPr="007F4EB7">
        <w:t xml:space="preserve"> to Services Australia.</w:t>
      </w:r>
    </w:p>
    <w:p w14:paraId="7C8C009F" w14:textId="77777777" w:rsidR="00800650" w:rsidRDefault="003E41B8" w:rsidP="00800650">
      <w:r w:rsidRPr="0007358F">
        <w:t xml:space="preserve">Services Australia will automatically </w:t>
      </w:r>
      <w:r w:rsidR="001770F1" w:rsidRPr="0007358F">
        <w:t>deduct</w:t>
      </w:r>
      <w:r w:rsidRPr="0007358F">
        <w:t xml:space="preserve"> the </w:t>
      </w:r>
      <w:r w:rsidR="00E257B3" w:rsidRPr="0007358F">
        <w:t xml:space="preserve">income tested care fee </w:t>
      </w:r>
      <w:r w:rsidRPr="0007358F">
        <w:t>when making subsidy payments to providers.</w:t>
      </w:r>
      <w:r w:rsidR="004400FC" w:rsidRPr="0007358F">
        <w:t xml:space="preserve"> </w:t>
      </w:r>
    </w:p>
    <w:p w14:paraId="19A4CBC7" w14:textId="77777777" w:rsidR="00394F47" w:rsidRDefault="004400FC" w:rsidP="00394F47">
      <w:r w:rsidRPr="00D00F17">
        <w:t>If the price reported is equal to or less than a care recipient’s assessed income tested care fee, no subsidy will be paid to the provider for that care recipient.</w:t>
      </w:r>
      <w:r w:rsidR="00394F47">
        <w:t xml:space="preserve"> </w:t>
      </w:r>
    </w:p>
    <w:p w14:paraId="0FBE8F0F" w14:textId="77777777" w:rsidR="00394F47" w:rsidRDefault="00C30C3A" w:rsidP="00394F47">
      <w:pPr>
        <w:pStyle w:val="ListParagraph"/>
        <w:numPr>
          <w:ilvl w:val="0"/>
          <w:numId w:val="5"/>
        </w:numPr>
        <w:ind w:left="284"/>
        <w:rPr>
          <w:b/>
          <w:bCs/>
        </w:rPr>
      </w:pPr>
      <w:r w:rsidRPr="00394F47">
        <w:rPr>
          <w:b/>
          <w:bCs/>
        </w:rPr>
        <w:t xml:space="preserve">What if a care recipient refuses to pay their income tested care fee? </w:t>
      </w:r>
    </w:p>
    <w:p w14:paraId="6F7EA4F3" w14:textId="77777777" w:rsidR="00394F47" w:rsidRDefault="007A3C72" w:rsidP="00394F47">
      <w:pPr>
        <w:ind w:left="-76"/>
      </w:pPr>
      <w:r w:rsidRPr="007A3C72">
        <w:t xml:space="preserve">All providers must provide security of tenure to all care recipients, however </w:t>
      </w:r>
      <w:r>
        <w:t>re</w:t>
      </w:r>
      <w:r w:rsidRPr="007A3C72">
        <w:t xml:space="preserve">fusal to pay agreed fees without a valid reason is grounds for a provider to cease care. </w:t>
      </w:r>
    </w:p>
    <w:p w14:paraId="7F4E7707" w14:textId="77777777" w:rsidR="00394F47" w:rsidRDefault="007A3C72" w:rsidP="00394F47">
      <w:pPr>
        <w:ind w:left="-76"/>
      </w:pPr>
      <w:r>
        <w:t xml:space="preserve">A </w:t>
      </w:r>
      <w:r w:rsidR="00CC7342" w:rsidRPr="00CC7342">
        <w:t xml:space="preserve">provider may cease to provide home care to </w:t>
      </w:r>
      <w:r w:rsidR="00CC7342">
        <w:t>a</w:t>
      </w:r>
      <w:r w:rsidR="00CC7342" w:rsidRPr="00CC7342">
        <w:t xml:space="preserve"> care recipient if</w:t>
      </w:r>
      <w:r w:rsidR="008C2B67">
        <w:t>:</w:t>
      </w:r>
      <w:r w:rsidR="00CC7342" w:rsidRPr="00CC7342">
        <w:t xml:space="preserve"> </w:t>
      </w:r>
    </w:p>
    <w:p w14:paraId="62BEECEB" w14:textId="77777777" w:rsidR="00394F47" w:rsidRDefault="00CC7342" w:rsidP="00394F47">
      <w:pPr>
        <w:pStyle w:val="ListParagraph"/>
        <w:numPr>
          <w:ilvl w:val="0"/>
          <w:numId w:val="34"/>
        </w:numPr>
      </w:pPr>
      <w:r w:rsidRPr="00CC7342">
        <w:t>the care recipient has not paid to the provider</w:t>
      </w:r>
      <w:r w:rsidR="007A3C72">
        <w:t xml:space="preserve"> </w:t>
      </w:r>
      <w:r w:rsidRPr="00CC7342">
        <w:t xml:space="preserve">any home care </w:t>
      </w:r>
      <w:r w:rsidR="007A3C72" w:rsidRPr="00CC7342">
        <w:t>fee</w:t>
      </w:r>
      <w:r w:rsidR="007A3C72">
        <w:t>s</w:t>
      </w:r>
      <w:r w:rsidRPr="00CC7342">
        <w:t xml:space="preserve"> </w:t>
      </w:r>
      <w:r w:rsidR="007A3C72">
        <w:t>as</w:t>
      </w:r>
      <w:r>
        <w:t xml:space="preserve"> agreed to </w:t>
      </w:r>
      <w:r w:rsidRPr="00CC7342">
        <w:t>in the home care agreement</w:t>
      </w:r>
      <w:r w:rsidR="007A3C72">
        <w:t xml:space="preserve"> </w:t>
      </w:r>
      <w:r w:rsidR="007A3C72" w:rsidRPr="00CC7342">
        <w:t>for a reason within the care recipient’s contro</w:t>
      </w:r>
      <w:r w:rsidR="007A3C72">
        <w:t>l,</w:t>
      </w:r>
    </w:p>
    <w:p w14:paraId="7F309D10" w14:textId="77777777" w:rsidR="00394F47" w:rsidRDefault="00CC7342" w:rsidP="00394F47">
      <w:pPr>
        <w:pStyle w:val="ListParagraph"/>
        <w:numPr>
          <w:ilvl w:val="0"/>
          <w:numId w:val="34"/>
        </w:numPr>
      </w:pPr>
      <w:r w:rsidRPr="00CC7342">
        <w:t>has not negotiated an alternative arrangement with the provider for payment of the home care fee</w:t>
      </w:r>
      <w:r w:rsidR="00EA5453">
        <w:t>s</w:t>
      </w:r>
      <w:r w:rsidRPr="00CC7342">
        <w:t>.</w:t>
      </w:r>
    </w:p>
    <w:p w14:paraId="4539CB5F" w14:textId="77777777" w:rsidR="00394F47" w:rsidRDefault="00B23ABC" w:rsidP="00394F47">
      <w:r>
        <w:t xml:space="preserve">As a provider you have a responsibility to support your care recipient if they are experiencing financial hardship. You should advise them to apply for financial hardship assistance via Services Australia. Discuss with your care recipient an appropriate timeframe for them to pay their agreed fees. </w:t>
      </w:r>
    </w:p>
    <w:p w14:paraId="5917E082" w14:textId="6DAA9C44" w:rsidR="00B23ABC" w:rsidRPr="00394F47" w:rsidRDefault="006753B9" w:rsidP="00394F47">
      <w:pPr>
        <w:rPr>
          <w:rStyle w:val="Hyperlink"/>
          <w:color w:val="auto"/>
          <w:u w:val="none"/>
        </w:rPr>
      </w:pPr>
      <w:r>
        <w:t>You can r</w:t>
      </w:r>
      <w:r w:rsidR="00B23ABC">
        <w:t xml:space="preserve">efer your care recipient to </w:t>
      </w:r>
      <w:r w:rsidR="00B23ABC" w:rsidRPr="00B23ABC">
        <w:rPr>
          <w:rFonts w:cs="Arial"/>
        </w:rPr>
        <w:t>Older Persons advocacy Network</w:t>
      </w:r>
      <w:r w:rsidR="00B23ABC">
        <w:rPr>
          <w:rFonts w:cs="Arial"/>
        </w:rPr>
        <w:t xml:space="preserve"> (OPAN)</w:t>
      </w:r>
      <w:r w:rsidR="00B23ABC">
        <w:t xml:space="preserve">. They can </w:t>
      </w:r>
      <w:r w:rsidR="00B23ABC">
        <w:rPr>
          <w:rFonts w:cs="Arial"/>
        </w:rPr>
        <w:t xml:space="preserve">access free, </w:t>
      </w:r>
      <w:proofErr w:type="gramStart"/>
      <w:r w:rsidR="00B23ABC">
        <w:rPr>
          <w:rFonts w:cs="Arial"/>
        </w:rPr>
        <w:t>confidential</w:t>
      </w:r>
      <w:proofErr w:type="gramEnd"/>
      <w:r w:rsidR="00B23ABC">
        <w:rPr>
          <w:rFonts w:cs="Arial"/>
        </w:rPr>
        <w:t xml:space="preserve"> and independent aged care advocacy through OPAN on 1800 700 600 or visit </w:t>
      </w:r>
      <w:hyperlink r:id="rId17" w:history="1">
        <w:r w:rsidR="00B23ABC" w:rsidRPr="0093432F">
          <w:rPr>
            <w:rStyle w:val="Hyperlink"/>
            <w:rFonts w:cs="Arial"/>
          </w:rPr>
          <w:t>www.opan.org.au</w:t>
        </w:r>
      </w:hyperlink>
    </w:p>
    <w:p w14:paraId="52B14566" w14:textId="47354608" w:rsidR="003E41B8" w:rsidRPr="007F4EB7" w:rsidRDefault="003E41B8">
      <w:pPr>
        <w:pStyle w:val="Heading1"/>
      </w:pPr>
      <w:bookmarkStart w:id="49" w:name="_Toc95839128"/>
      <w:r w:rsidRPr="007F4EB7">
        <w:lastRenderedPageBreak/>
        <w:t>Basic Daily Fees</w:t>
      </w:r>
      <w:bookmarkEnd w:id="49"/>
    </w:p>
    <w:p w14:paraId="75C03F0E" w14:textId="452E250B" w:rsidR="003E41B8" w:rsidRPr="007F4EB7" w:rsidRDefault="003E41B8" w:rsidP="00AA67AC">
      <w:pPr>
        <w:pStyle w:val="Heading2"/>
        <w:numPr>
          <w:ilvl w:val="0"/>
          <w:numId w:val="5"/>
        </w:numPr>
        <w:ind w:left="284"/>
      </w:pPr>
      <w:r w:rsidRPr="007F4EB7">
        <w:t xml:space="preserve">What if there are no Basic Daily Fees collected from the </w:t>
      </w:r>
      <w:r w:rsidR="000865C1" w:rsidRPr="007F4EB7">
        <w:t>care recipient</w:t>
      </w:r>
      <w:r w:rsidRPr="007F4EB7">
        <w:t>?</w:t>
      </w:r>
      <w:r w:rsidR="00AA67AC">
        <w:t xml:space="preserve"> </w:t>
      </w:r>
    </w:p>
    <w:p w14:paraId="6C517766" w14:textId="5DB1EFC7" w:rsidR="00EE4407" w:rsidRPr="007F4EB7" w:rsidRDefault="00A05058" w:rsidP="00393E2D">
      <w:r>
        <w:t xml:space="preserve">If the provider has </w:t>
      </w:r>
      <w:r w:rsidRPr="00541641">
        <w:rPr>
          <w:b/>
          <w:bCs/>
        </w:rPr>
        <w:t>not</w:t>
      </w:r>
      <w:r>
        <w:t xml:space="preserve"> collected a Basic Daily Fee</w:t>
      </w:r>
      <w:r w:rsidR="00541641">
        <w:t>,</w:t>
      </w:r>
      <w:r>
        <w:t xml:space="preserve"> they should </w:t>
      </w:r>
      <w:r w:rsidRPr="00541641">
        <w:rPr>
          <w:b/>
          <w:bCs/>
        </w:rPr>
        <w:t>not</w:t>
      </w:r>
      <w:r>
        <w:t xml:space="preserve"> deduct this from the price they report to Service Australia.</w:t>
      </w:r>
    </w:p>
    <w:p w14:paraId="0FE3FE76" w14:textId="777F87E0" w:rsidR="003E41B8" w:rsidRPr="007F4EB7" w:rsidRDefault="003E41B8" w:rsidP="00AA67AC">
      <w:pPr>
        <w:pStyle w:val="Heading2"/>
        <w:numPr>
          <w:ilvl w:val="0"/>
          <w:numId w:val="5"/>
        </w:numPr>
        <w:ind w:left="284"/>
      </w:pPr>
      <w:r w:rsidRPr="007F4EB7">
        <w:t xml:space="preserve">Is the Basic Daily Fee treated the same as the </w:t>
      </w:r>
      <w:r w:rsidR="00E257B3" w:rsidRPr="00E257B3">
        <w:t>income tested care fee</w:t>
      </w:r>
      <w:r w:rsidRPr="007F4EB7">
        <w:t>?</w:t>
      </w:r>
    </w:p>
    <w:p w14:paraId="38A5B53B" w14:textId="13E7738D" w:rsidR="003E41B8" w:rsidRPr="007F4EB7" w:rsidRDefault="003E41B8">
      <w:r w:rsidRPr="007F4EB7">
        <w:t xml:space="preserve">The Basic Daily Fee and </w:t>
      </w:r>
      <w:r w:rsidR="00E257B3">
        <w:t xml:space="preserve">income tested care fee </w:t>
      </w:r>
      <w:r w:rsidRPr="007F4EB7">
        <w:t>are treated differently.</w:t>
      </w:r>
    </w:p>
    <w:p w14:paraId="564F7BFE" w14:textId="127A124D" w:rsidR="00C0462A" w:rsidRDefault="00FE3426">
      <w:r>
        <w:t xml:space="preserve">The Basic Daily Fee is a non-mandatory fee which a provider can charge a care recipient. If a provider </w:t>
      </w:r>
      <w:r w:rsidR="006176BD">
        <w:t xml:space="preserve">collects a Basic Daily Fee, it </w:t>
      </w:r>
      <w:r w:rsidR="006176BD" w:rsidRPr="006176BD">
        <w:t xml:space="preserve">is added to the </w:t>
      </w:r>
      <w:r w:rsidR="007500AF">
        <w:t xml:space="preserve">amount of </w:t>
      </w:r>
      <w:r w:rsidR="006176BD">
        <w:t>G</w:t>
      </w:r>
      <w:r w:rsidR="006176BD" w:rsidRPr="006176BD">
        <w:t xml:space="preserve">overnment subsidy to increase the funds available to </w:t>
      </w:r>
      <w:r w:rsidR="006176BD">
        <w:t xml:space="preserve">the care recipient </w:t>
      </w:r>
      <w:r w:rsidR="006176BD" w:rsidRPr="006176BD">
        <w:t>in</w:t>
      </w:r>
      <w:r w:rsidR="006176BD">
        <w:t xml:space="preserve"> their</w:t>
      </w:r>
      <w:r w:rsidR="006176BD" w:rsidRPr="006176BD">
        <w:t xml:space="preserve"> Home Care Package budget. </w:t>
      </w:r>
      <w:r w:rsidR="00646613">
        <w:t>If a care recipient pays a Basic Daily Fee</w:t>
      </w:r>
      <w:r w:rsidR="004113A3">
        <w:t>,</w:t>
      </w:r>
      <w:r w:rsidR="00646613">
        <w:t xml:space="preserve"> the prov</w:t>
      </w:r>
      <w:r w:rsidR="006176BD">
        <w:t xml:space="preserve">ider will reduce this from the </w:t>
      </w:r>
      <w:hyperlink w:anchor="_What_is_the" w:history="1">
        <w:r w:rsidR="00B9469B" w:rsidRPr="00EB0DF7">
          <w:rPr>
            <w:rStyle w:val="Hyperlink"/>
            <w:b/>
            <w:bCs/>
            <w:color w:val="auto"/>
            <w:u w:val="none"/>
          </w:rPr>
          <w:t>price</w:t>
        </w:r>
      </w:hyperlink>
      <w:r w:rsidR="00646613">
        <w:t xml:space="preserve"> the</w:t>
      </w:r>
      <w:r w:rsidR="006176BD">
        <w:t>y report to Services Australia.</w:t>
      </w:r>
    </w:p>
    <w:p w14:paraId="62C8B39B" w14:textId="77777777" w:rsidR="008C2B67" w:rsidRDefault="00A97162">
      <w:r>
        <w:t>A</w:t>
      </w:r>
      <w:r w:rsidR="00646613">
        <w:t xml:space="preserve"> care recipient </w:t>
      </w:r>
      <w:r>
        <w:t xml:space="preserve">should contribute an </w:t>
      </w:r>
      <w:r w:rsidR="00E257B3">
        <w:t xml:space="preserve">income tested care fee </w:t>
      </w:r>
      <w:r>
        <w:t>if they have</w:t>
      </w:r>
      <w:r w:rsidR="00646613">
        <w:t xml:space="preserve"> been a</w:t>
      </w:r>
      <w:r w:rsidR="001B65B1">
        <w:t>ss</w:t>
      </w:r>
      <w:r w:rsidR="00646613">
        <w:t xml:space="preserve">essed as </w:t>
      </w:r>
      <w:r w:rsidR="00F14304">
        <w:t>needing</w:t>
      </w:r>
      <w:r w:rsidR="00646613">
        <w:t xml:space="preserve"> to pay it. </w:t>
      </w:r>
      <w:r w:rsidR="00F14304">
        <w:t xml:space="preserve">The </w:t>
      </w:r>
      <w:r w:rsidR="00E257B3">
        <w:t xml:space="preserve">income tested care fee </w:t>
      </w:r>
      <w:r w:rsidR="00F14304">
        <w:t xml:space="preserve">reduces the amount of Government subsidy a care recipient receives, as the care recipient is contributing that portion to their package. </w:t>
      </w:r>
    </w:p>
    <w:p w14:paraId="06FEFF67" w14:textId="644C6B99" w:rsidR="00EE4407" w:rsidRDefault="003E41B8">
      <w:r w:rsidRPr="007F4EB7">
        <w:t xml:space="preserve">If a care recipient </w:t>
      </w:r>
      <w:r w:rsidR="001B65B1">
        <w:t xml:space="preserve">is </w:t>
      </w:r>
      <w:r w:rsidR="00DA5E70">
        <w:t>assessed as needing to pay</w:t>
      </w:r>
      <w:r w:rsidRPr="007F4EB7">
        <w:t xml:space="preserve"> an </w:t>
      </w:r>
      <w:r w:rsidR="00E257B3">
        <w:t>income tested care fee</w:t>
      </w:r>
      <w:r w:rsidRPr="007F4EB7">
        <w:t xml:space="preserve">, their subsidy payment will be </w:t>
      </w:r>
      <w:r w:rsidR="004113A3">
        <w:t xml:space="preserve">automatically </w:t>
      </w:r>
      <w:r w:rsidRPr="007F4EB7">
        <w:t>reduced by th</w:t>
      </w:r>
      <w:r w:rsidR="004113A3">
        <w:t>e fee</w:t>
      </w:r>
      <w:r w:rsidRPr="007F4EB7">
        <w:t xml:space="preserve"> amount</w:t>
      </w:r>
      <w:r w:rsidR="007500AF">
        <w:t xml:space="preserve"> as </w:t>
      </w:r>
      <w:r w:rsidR="004113A3">
        <w:t>per existing arrangements</w:t>
      </w:r>
      <w:r w:rsidRPr="007F4EB7">
        <w:t xml:space="preserve">. </w:t>
      </w:r>
    </w:p>
    <w:p w14:paraId="0625D72A" w14:textId="69D53DDC" w:rsidR="00DC27FF" w:rsidRDefault="003E41B8">
      <w:r w:rsidRPr="007F4EB7">
        <w:t xml:space="preserve">If the provider decides to </w:t>
      </w:r>
      <w:r w:rsidR="00C43885">
        <w:t>not collect</w:t>
      </w:r>
      <w:r w:rsidR="00C43885" w:rsidRPr="007F4EB7">
        <w:t xml:space="preserve"> </w:t>
      </w:r>
      <w:r w:rsidRPr="007F4EB7">
        <w:t xml:space="preserve">the </w:t>
      </w:r>
      <w:r w:rsidR="00300AF8">
        <w:t xml:space="preserve">income tested care fee </w:t>
      </w:r>
      <w:r w:rsidR="0096499C">
        <w:t>payable, in part or in full</w:t>
      </w:r>
      <w:r w:rsidRPr="007F4EB7">
        <w:t xml:space="preserve">, the subsidy payment will still be reduced by </w:t>
      </w:r>
      <w:r w:rsidR="0096499C">
        <w:t xml:space="preserve">the full </w:t>
      </w:r>
      <w:r w:rsidR="00300AF8">
        <w:t xml:space="preserve">income tested care fee </w:t>
      </w:r>
      <w:r w:rsidRPr="007F4EB7">
        <w:t>amount by Services Australia.</w:t>
      </w:r>
      <w:r w:rsidR="00EE4407">
        <w:t xml:space="preserve"> </w:t>
      </w:r>
      <w:r w:rsidR="00AF2D4A">
        <w:t xml:space="preserve">Please refer to </w:t>
      </w:r>
      <w:hyperlink w:anchor="_What_happens_if" w:history="1">
        <w:r w:rsidR="00151D5E">
          <w:rPr>
            <w:rStyle w:val="Hyperlink"/>
          </w:rPr>
          <w:t>question 21</w:t>
        </w:r>
      </w:hyperlink>
      <w:r w:rsidR="00AF2D4A">
        <w:t xml:space="preserve"> for further details. </w:t>
      </w:r>
    </w:p>
    <w:p w14:paraId="1D7E60C1" w14:textId="182BC612" w:rsidR="00AB19E9" w:rsidRPr="007F4EB7" w:rsidRDefault="00AB19E9" w:rsidP="00F77063">
      <w:pPr>
        <w:pStyle w:val="Heading1"/>
      </w:pPr>
      <w:bookmarkStart w:id="50" w:name="_Toc95839129"/>
      <w:r w:rsidRPr="007F4EB7">
        <w:t xml:space="preserve">Exit </w:t>
      </w:r>
      <w:r w:rsidR="0042219F">
        <w:t>f</w:t>
      </w:r>
      <w:r w:rsidRPr="007F4EB7">
        <w:t>ees</w:t>
      </w:r>
      <w:bookmarkEnd w:id="50"/>
    </w:p>
    <w:p w14:paraId="1452800B" w14:textId="4B70ABA6" w:rsidR="00AB19E9" w:rsidRPr="007F4EB7" w:rsidRDefault="005C5016" w:rsidP="00AA67AC">
      <w:pPr>
        <w:pStyle w:val="Heading2"/>
        <w:numPr>
          <w:ilvl w:val="0"/>
          <w:numId w:val="5"/>
        </w:numPr>
        <w:ind w:left="284"/>
      </w:pPr>
      <w:r>
        <w:t>C</w:t>
      </w:r>
      <w:r w:rsidR="00AB19E9" w:rsidRPr="007F4EB7">
        <w:t xml:space="preserve">an providers </w:t>
      </w:r>
      <w:r>
        <w:t xml:space="preserve">continue to </w:t>
      </w:r>
      <w:r w:rsidR="00AB19E9" w:rsidRPr="007F4EB7">
        <w:t>charge exit fees?</w:t>
      </w:r>
    </w:p>
    <w:p w14:paraId="3A392CF0" w14:textId="4A13D080" w:rsidR="00760BDB" w:rsidRDefault="00760BDB" w:rsidP="00760BDB">
      <w:r w:rsidRPr="007F4EB7">
        <w:t xml:space="preserve">Exit </w:t>
      </w:r>
      <w:r>
        <w:t>amounts</w:t>
      </w:r>
      <w:r w:rsidRPr="007F4EB7">
        <w:t xml:space="preserve"> </w:t>
      </w:r>
      <w:r>
        <w:t>may only be deducted if the care recipient leaves a provider’s care (to change providers or to exit the HCP program altogether) and:</w:t>
      </w:r>
    </w:p>
    <w:p w14:paraId="3E7DD27F" w14:textId="77777777" w:rsidR="00760BDB" w:rsidRDefault="00760BDB" w:rsidP="00760BDB">
      <w:pPr>
        <w:pStyle w:val="ListParagraph"/>
        <w:numPr>
          <w:ilvl w:val="0"/>
          <w:numId w:val="3"/>
        </w:numPr>
      </w:pPr>
      <w:r>
        <w:t xml:space="preserve">the provider has </w:t>
      </w:r>
      <w:r w:rsidRPr="007D05B9">
        <w:t>publish</w:t>
      </w:r>
      <w:r>
        <w:t>ed</w:t>
      </w:r>
      <w:r w:rsidRPr="007D05B9">
        <w:t xml:space="preserve"> the exit amount on the My Aged Care website</w:t>
      </w:r>
    </w:p>
    <w:p w14:paraId="7C012DC5" w14:textId="77777777" w:rsidR="00760BDB" w:rsidRDefault="00760BDB" w:rsidP="00760BDB">
      <w:pPr>
        <w:pStyle w:val="ListParagraph"/>
        <w:numPr>
          <w:ilvl w:val="0"/>
          <w:numId w:val="3"/>
        </w:numPr>
      </w:pPr>
      <w:r>
        <w:t xml:space="preserve">the </w:t>
      </w:r>
      <w:r w:rsidRPr="007D05B9">
        <w:t xml:space="preserve">care recipient </w:t>
      </w:r>
      <w:r>
        <w:t>has agreed</w:t>
      </w:r>
      <w:r w:rsidRPr="007D05B9">
        <w:t xml:space="preserve"> to an exit </w:t>
      </w:r>
      <w:r>
        <w:t>amount</w:t>
      </w:r>
      <w:r w:rsidRPr="007D05B9">
        <w:t xml:space="preserve"> in their Home Care Agreement</w:t>
      </w:r>
    </w:p>
    <w:p w14:paraId="5445E463" w14:textId="5EB2D4D8" w:rsidR="00760BDB" w:rsidRPr="007D05B9" w:rsidRDefault="00760BDB" w:rsidP="00760BDB">
      <w:pPr>
        <w:pStyle w:val="ListParagraph"/>
        <w:numPr>
          <w:ilvl w:val="0"/>
          <w:numId w:val="3"/>
        </w:numPr>
      </w:pPr>
      <w:r>
        <w:t xml:space="preserve">the care recipient still has </w:t>
      </w:r>
      <w:r w:rsidRPr="007D05B9">
        <w:t>unspent funds held by the provider when they exit care</w:t>
      </w:r>
      <w:r>
        <w:t>.</w:t>
      </w:r>
    </w:p>
    <w:p w14:paraId="46B5A10A" w14:textId="77777777" w:rsidR="00BA1C21" w:rsidRDefault="00760BDB" w:rsidP="00E41115">
      <w:r w:rsidRPr="004272D3">
        <w:t>If the criteria above are not met</w:t>
      </w:r>
      <w:r w:rsidR="008F22F7">
        <w:t>,</w:t>
      </w:r>
      <w:r>
        <w:t xml:space="preserve"> the provider will not be able to charge an exit fee for that care recipient. </w:t>
      </w:r>
    </w:p>
    <w:p w14:paraId="38CF799A" w14:textId="4E817817" w:rsidR="0084582A" w:rsidRPr="001E1FEE" w:rsidRDefault="00760BDB" w:rsidP="00E41115">
      <w:r w:rsidRPr="00D00F17">
        <w:t xml:space="preserve">The department notes that the level of unspent funds held by providers is likely to reduce </w:t>
      </w:r>
      <w:proofErr w:type="gramStart"/>
      <w:r w:rsidRPr="00D00F17">
        <w:t>as a result of</w:t>
      </w:r>
      <w:proofErr w:type="gramEnd"/>
      <w:r w:rsidRPr="00D00F17">
        <w:t xml:space="preserve"> </w:t>
      </w:r>
      <w:r w:rsidR="00B66EF7">
        <w:t xml:space="preserve">IPA. </w:t>
      </w:r>
      <w:r w:rsidRPr="001E1FEE">
        <w:t xml:space="preserve">and that this may impact on the ability to charge exit fees into the future. </w:t>
      </w:r>
    </w:p>
    <w:p w14:paraId="76C2C74A" w14:textId="77777777" w:rsidR="006753B9" w:rsidRDefault="00AB19E9" w:rsidP="00E41115">
      <w:r w:rsidRPr="001E1FEE">
        <w:t xml:space="preserve">An exit amount is </w:t>
      </w:r>
      <w:r w:rsidRPr="00541641">
        <w:rPr>
          <w:b/>
          <w:bCs/>
        </w:rPr>
        <w:t>not</w:t>
      </w:r>
      <w:r w:rsidRPr="001E1FEE">
        <w:t xml:space="preserve"> considered a type of care or service and cannot be charged as part of the </w:t>
      </w:r>
      <w:hyperlink w:anchor="_What_is_the" w:history="1">
        <w:r w:rsidR="00B9469B" w:rsidRPr="001E1FEE">
          <w:rPr>
            <w:rStyle w:val="Hyperlink"/>
            <w:b/>
            <w:bCs/>
            <w:color w:val="auto"/>
            <w:u w:val="none"/>
          </w:rPr>
          <w:t>price</w:t>
        </w:r>
      </w:hyperlink>
      <w:r w:rsidRPr="001E1FEE">
        <w:t xml:space="preserve"> reported to Services Australia.</w:t>
      </w:r>
      <w:r w:rsidR="000A5564" w:rsidRPr="001E1FEE">
        <w:t xml:space="preserve"> </w:t>
      </w:r>
      <w:bookmarkStart w:id="51" w:name="_Additional_care_and"/>
      <w:bookmarkEnd w:id="51"/>
    </w:p>
    <w:p w14:paraId="6EC9A935" w14:textId="4C4A4C90" w:rsidR="006753B9" w:rsidRDefault="00253FA9">
      <w:r w:rsidRPr="001E1FEE">
        <w:t xml:space="preserve">If a provider holds no unspent funds on behalf of the care recipient when they exit care, the provider will have to absorb </w:t>
      </w:r>
      <w:r w:rsidR="00026733" w:rsidRPr="001E1FEE">
        <w:t>any potential</w:t>
      </w:r>
      <w:r w:rsidRPr="001E1FEE">
        <w:t xml:space="preserve"> cost </w:t>
      </w:r>
      <w:r w:rsidR="00026733" w:rsidRPr="001E1FEE">
        <w:t>related to</w:t>
      </w:r>
      <w:r w:rsidRPr="001E1FEE">
        <w:t xml:space="preserve"> exiting the care recipient. </w:t>
      </w:r>
    </w:p>
    <w:p w14:paraId="7FD90581" w14:textId="57E8E04C" w:rsidR="00C30C3A" w:rsidRPr="007F4EB7" w:rsidRDefault="00C30C3A" w:rsidP="00C30C3A">
      <w:pPr>
        <w:pStyle w:val="Heading2"/>
        <w:numPr>
          <w:ilvl w:val="0"/>
          <w:numId w:val="5"/>
        </w:numPr>
        <w:ind w:left="284"/>
      </w:pPr>
      <w:r>
        <w:t>Do providers need to calculate the percentage proportions of unspent funds they hold when a care recipient exits care?</w:t>
      </w:r>
    </w:p>
    <w:p w14:paraId="752273F4" w14:textId="6C0C3081" w:rsidR="00216D82" w:rsidRPr="001E1FEE" w:rsidRDefault="00300262" w:rsidP="00216D82">
      <w:pPr>
        <w:rPr>
          <w:szCs w:val="22"/>
        </w:rPr>
      </w:pPr>
      <w:r>
        <w:rPr>
          <w:szCs w:val="22"/>
        </w:rPr>
        <w:t>P</w:t>
      </w:r>
      <w:r w:rsidR="00216D82" w:rsidRPr="001E1FEE">
        <w:rPr>
          <w:szCs w:val="22"/>
        </w:rPr>
        <w:t xml:space="preserve">roviders are no longer required to recalculate the percentage breakdown of Commonwealth and care recipient portions of unspent funds when a care recipient exits care. </w:t>
      </w:r>
    </w:p>
    <w:p w14:paraId="6C8C43D3" w14:textId="77777777" w:rsidR="00216D82" w:rsidRPr="001E1FEE" w:rsidRDefault="00216D82" w:rsidP="00216D82">
      <w:pPr>
        <w:rPr>
          <w:szCs w:val="22"/>
        </w:rPr>
      </w:pPr>
      <w:r w:rsidRPr="001E1FEE">
        <w:rPr>
          <w:szCs w:val="22"/>
        </w:rPr>
        <w:t xml:space="preserve">The provider must be tracking the care recipient portion and (if they have not opted-in) tracking the Commonwealth portion separately. </w:t>
      </w:r>
    </w:p>
    <w:p w14:paraId="498B4E15" w14:textId="03482C92" w:rsidR="00BA1C21" w:rsidRPr="00BA1C21" w:rsidRDefault="00216D82">
      <w:r w:rsidRPr="001E1FEE">
        <w:rPr>
          <w:szCs w:val="22"/>
        </w:rPr>
        <w:t>If the provider has opted-in, Services Australia will track the Commonwealth portion on their behalf.</w:t>
      </w:r>
    </w:p>
    <w:p w14:paraId="715EDA02" w14:textId="78CB08C7" w:rsidR="003E41B8" w:rsidRPr="001E1FEE" w:rsidRDefault="003E41B8" w:rsidP="00E41115">
      <w:pPr>
        <w:pStyle w:val="Heading1"/>
      </w:pPr>
      <w:bookmarkStart w:id="52" w:name="_Toc95839130"/>
      <w:r w:rsidRPr="001E1FEE">
        <w:lastRenderedPageBreak/>
        <w:t xml:space="preserve">Additional </w:t>
      </w:r>
      <w:r w:rsidR="00564EAD" w:rsidRPr="001E1FEE">
        <w:t xml:space="preserve">care and </w:t>
      </w:r>
      <w:r w:rsidRPr="001E1FEE">
        <w:t>services</w:t>
      </w:r>
      <w:bookmarkEnd w:id="52"/>
      <w:r w:rsidRPr="001E1FEE">
        <w:t xml:space="preserve"> </w:t>
      </w:r>
    </w:p>
    <w:p w14:paraId="5EDE6274" w14:textId="426162D0" w:rsidR="003E41B8" w:rsidRPr="007F4EB7" w:rsidRDefault="003E41B8" w:rsidP="00AA67AC">
      <w:pPr>
        <w:pStyle w:val="Heading2"/>
        <w:numPr>
          <w:ilvl w:val="0"/>
          <w:numId w:val="5"/>
        </w:numPr>
        <w:ind w:left="284"/>
      </w:pPr>
      <w:r w:rsidRPr="001E1FEE">
        <w:t xml:space="preserve">What happens </w:t>
      </w:r>
      <w:r w:rsidR="00564EAD" w:rsidRPr="001E1FEE">
        <w:t>if</w:t>
      </w:r>
      <w:r w:rsidRPr="001E1FEE">
        <w:t xml:space="preserve"> a </w:t>
      </w:r>
      <w:r w:rsidR="00C3321F" w:rsidRPr="001E1FEE">
        <w:t>care recipient</w:t>
      </w:r>
      <w:r w:rsidRPr="001E1FEE">
        <w:t xml:space="preserve"> needs </w:t>
      </w:r>
      <w:r w:rsidR="00C3321F" w:rsidRPr="001E1FEE">
        <w:t xml:space="preserve">or wishes to purchase </w:t>
      </w:r>
      <w:r w:rsidR="00564EAD" w:rsidRPr="001E1FEE">
        <w:t xml:space="preserve">care and </w:t>
      </w:r>
      <w:r w:rsidRPr="001E1FEE">
        <w:t>services and this exceed</w:t>
      </w:r>
      <w:r w:rsidR="00B12A3F" w:rsidRPr="001E1FEE">
        <w:t>s</w:t>
      </w:r>
      <w:r w:rsidRPr="001E1FEE">
        <w:t xml:space="preserve"> the </w:t>
      </w:r>
      <w:r w:rsidR="006176BD" w:rsidRPr="001E1FEE">
        <w:t xml:space="preserve">available </w:t>
      </w:r>
      <w:r w:rsidR="00C3321F" w:rsidRPr="001E1FEE">
        <w:t>package</w:t>
      </w:r>
      <w:r w:rsidR="00C3321F">
        <w:t xml:space="preserve"> budget</w:t>
      </w:r>
      <w:r w:rsidR="00CC7342">
        <w:t>, can they top it up</w:t>
      </w:r>
      <w:r w:rsidRPr="007F4EB7">
        <w:t>?</w:t>
      </w:r>
    </w:p>
    <w:p w14:paraId="200A1897" w14:textId="503142AD" w:rsidR="00564EAD" w:rsidRDefault="003E41B8" w:rsidP="00393E2D">
      <w:r w:rsidRPr="007F4EB7">
        <w:t>Improved Payment Arrangements will not change the ability of providers to charge fees to cover additional care and services over and above those the</w:t>
      </w:r>
      <w:r w:rsidR="00755B8D">
        <w:t xml:space="preserve"> care recipient</w:t>
      </w:r>
      <w:r w:rsidRPr="007F4EB7">
        <w:t xml:space="preserve"> could othe</w:t>
      </w:r>
      <w:r w:rsidR="00B12A3F" w:rsidRPr="007F4EB7">
        <w:t>rwise afford under the</w:t>
      </w:r>
      <w:r w:rsidR="006176BD">
        <w:t>ir</w:t>
      </w:r>
      <w:r w:rsidR="00B12A3F" w:rsidRPr="007F4EB7">
        <w:t xml:space="preserve"> package.</w:t>
      </w:r>
    </w:p>
    <w:p w14:paraId="4C97DAC2" w14:textId="332D1587" w:rsidR="00C3321F" w:rsidRDefault="00C3321F" w:rsidP="00C3321F">
      <w:r>
        <w:t>If a care recipient needs or wishes to purchase care and services over and above the budget of their available package budget, they need to consider:</w:t>
      </w:r>
    </w:p>
    <w:p w14:paraId="78B01685" w14:textId="01127D44" w:rsidR="00C3321F" w:rsidRDefault="00C3321F" w:rsidP="00AA67AC">
      <w:pPr>
        <w:pStyle w:val="ListParagraph"/>
        <w:numPr>
          <w:ilvl w:val="0"/>
          <w:numId w:val="6"/>
        </w:numPr>
      </w:pPr>
      <w:r>
        <w:t>reviewing their care plan to identify alternatives and priorities</w:t>
      </w:r>
      <w:r w:rsidR="002731AC">
        <w:t xml:space="preserve"> or</w:t>
      </w:r>
    </w:p>
    <w:p w14:paraId="165CE88D" w14:textId="3D5C4AB5" w:rsidR="00C3321F" w:rsidRDefault="00C3321F" w:rsidP="00AA67AC">
      <w:pPr>
        <w:pStyle w:val="ListParagraph"/>
        <w:numPr>
          <w:ilvl w:val="0"/>
          <w:numId w:val="6"/>
        </w:numPr>
      </w:pPr>
      <w:r>
        <w:t>purchasing additional care and services from their own funds to increase the value of their package</w:t>
      </w:r>
      <w:r w:rsidR="008030E6">
        <w:t>.</w:t>
      </w:r>
    </w:p>
    <w:p w14:paraId="055222FF" w14:textId="610C559A" w:rsidR="00C3321F" w:rsidRPr="007F4EB7" w:rsidRDefault="00C3321F" w:rsidP="00683B7E">
      <w:r w:rsidRPr="007F4EB7">
        <w:t>As per existing arrangements, fee</w:t>
      </w:r>
      <w:r>
        <w:t xml:space="preserve"> changes</w:t>
      </w:r>
      <w:r w:rsidRPr="007F4EB7">
        <w:t xml:space="preserve"> must be included in the Home Care Agreement and providers must discuss </w:t>
      </w:r>
      <w:r>
        <w:t xml:space="preserve">and agree </w:t>
      </w:r>
      <w:r w:rsidR="008F22F7">
        <w:t xml:space="preserve">on </w:t>
      </w:r>
      <w:r w:rsidRPr="007F4EB7">
        <w:t xml:space="preserve">these fees with the care recipient before they </w:t>
      </w:r>
      <w:r>
        <w:t>start</w:t>
      </w:r>
      <w:r w:rsidRPr="007F4EB7">
        <w:t xml:space="preserve"> services. </w:t>
      </w:r>
    </w:p>
    <w:p w14:paraId="52D90316" w14:textId="06DB8EF7" w:rsidR="003E41B8" w:rsidRDefault="00C3321F">
      <w:r>
        <w:t>Any agreed</w:t>
      </w:r>
      <w:r w:rsidR="003E41B8" w:rsidRPr="007F4EB7">
        <w:t xml:space="preserve"> additional </w:t>
      </w:r>
      <w:r>
        <w:t xml:space="preserve">care and </w:t>
      </w:r>
      <w:r w:rsidR="003E41B8" w:rsidRPr="007F4EB7">
        <w:t xml:space="preserve">service fees </w:t>
      </w:r>
      <w:r w:rsidR="003E41B8" w:rsidRPr="001D4559">
        <w:rPr>
          <w:b/>
          <w:bCs/>
        </w:rPr>
        <w:t>must</w:t>
      </w:r>
      <w:r w:rsidR="006176BD">
        <w:t xml:space="preserve"> be subtracted from the </w:t>
      </w:r>
      <w:hyperlink w:anchor="_What_is_the" w:history="1">
        <w:r w:rsidR="00B9469B" w:rsidRPr="00EB0DF7">
          <w:rPr>
            <w:rStyle w:val="Hyperlink"/>
            <w:b/>
            <w:bCs/>
            <w:color w:val="auto"/>
            <w:u w:val="none"/>
          </w:rPr>
          <w:t>price</w:t>
        </w:r>
      </w:hyperlink>
      <w:r w:rsidR="00B9469B" w:rsidDel="00B9469B">
        <w:t xml:space="preserve"> </w:t>
      </w:r>
      <w:r w:rsidR="00B12A3F" w:rsidRPr="007F4EB7">
        <w:t>reported to Services Australia</w:t>
      </w:r>
      <w:r>
        <w:t>.</w:t>
      </w:r>
    </w:p>
    <w:p w14:paraId="30250691" w14:textId="77777777" w:rsidR="00A075E6" w:rsidRDefault="00564EAD" w:rsidP="00A075E6">
      <w:r>
        <w:t xml:space="preserve">An Aged Care Assessment Team (ACAT) assessment may </w:t>
      </w:r>
      <w:r w:rsidR="00C3321F">
        <w:t xml:space="preserve">also </w:t>
      </w:r>
      <w:r>
        <w:t>be required if the care recipient’s care needs have increased significantly. Some care recipients may already have suitable approvals.</w:t>
      </w:r>
      <w:r w:rsidRPr="00EB069D">
        <w:t xml:space="preserve"> </w:t>
      </w:r>
      <w:r>
        <w:t xml:space="preserve">If they do need a new ACAT assessment, the provider can assist to arrange this, with </w:t>
      </w:r>
      <w:r w:rsidR="002731AC">
        <w:t>the care recipient’s</w:t>
      </w:r>
      <w:r>
        <w:t xml:space="preserve"> permission.</w:t>
      </w:r>
      <w:bookmarkStart w:id="53" w:name="_Toc77762323"/>
      <w:bookmarkStart w:id="54" w:name="_Toc77762445"/>
      <w:bookmarkStart w:id="55" w:name="_Toc77762530"/>
      <w:bookmarkStart w:id="56" w:name="_Toc77762615"/>
      <w:bookmarkStart w:id="57" w:name="_Toc77684729"/>
      <w:bookmarkStart w:id="58" w:name="_Toc77684830"/>
      <w:bookmarkStart w:id="59" w:name="_Toc77762324"/>
      <w:bookmarkStart w:id="60" w:name="_Toc77762446"/>
      <w:bookmarkStart w:id="61" w:name="_Toc77762531"/>
      <w:bookmarkStart w:id="62" w:name="_Toc77762616"/>
      <w:bookmarkStart w:id="63" w:name="_Toc77684730"/>
      <w:bookmarkStart w:id="64" w:name="_Toc77684831"/>
      <w:bookmarkStart w:id="65" w:name="_Toc77762325"/>
      <w:bookmarkStart w:id="66" w:name="_Toc77762447"/>
      <w:bookmarkStart w:id="67" w:name="_Toc77762532"/>
      <w:bookmarkStart w:id="68" w:name="_Toc77762617"/>
      <w:bookmarkStart w:id="69" w:name="_Toc77684731"/>
      <w:bookmarkStart w:id="70" w:name="_Toc77684832"/>
      <w:bookmarkStart w:id="71" w:name="_Toc77762326"/>
      <w:bookmarkStart w:id="72" w:name="_Toc77762448"/>
      <w:bookmarkStart w:id="73" w:name="_Toc77762533"/>
      <w:bookmarkStart w:id="74" w:name="_Toc7776261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3DA4D5E9" w14:textId="1B47D522" w:rsidR="003E41B8" w:rsidRPr="007F4EB7" w:rsidRDefault="003E41B8" w:rsidP="00A075E6">
      <w:pPr>
        <w:pStyle w:val="Heading1"/>
      </w:pPr>
      <w:bookmarkStart w:id="75" w:name="_Toc95839131"/>
      <w:r w:rsidRPr="007F4EB7">
        <w:t xml:space="preserve">Business </w:t>
      </w:r>
      <w:r w:rsidR="0042219F">
        <w:t>p</w:t>
      </w:r>
      <w:r w:rsidRPr="007F4EB7">
        <w:t>ractices</w:t>
      </w:r>
      <w:bookmarkEnd w:id="75"/>
    </w:p>
    <w:p w14:paraId="49D8E1E1" w14:textId="59404557" w:rsidR="00CB53B6" w:rsidRPr="00FD55C3" w:rsidRDefault="003E41B8" w:rsidP="00AA67AC">
      <w:pPr>
        <w:pStyle w:val="Heading2"/>
        <w:numPr>
          <w:ilvl w:val="0"/>
          <w:numId w:val="5"/>
        </w:numPr>
        <w:ind w:left="284"/>
      </w:pPr>
      <w:r w:rsidRPr="00CB53B6">
        <w:t>W</w:t>
      </w:r>
      <w:r w:rsidR="002A5021">
        <w:t>ere</w:t>
      </w:r>
      <w:r w:rsidRPr="00CB53B6">
        <w:t xml:space="preserve"> there changes to leave arrangements</w:t>
      </w:r>
      <w:r w:rsidR="00217477">
        <w:t>?</w:t>
      </w:r>
    </w:p>
    <w:p w14:paraId="14DEFBFD" w14:textId="478EBC41" w:rsidR="003E41B8" w:rsidRPr="00CB53B6" w:rsidRDefault="003E41B8" w:rsidP="00393E2D">
      <w:r w:rsidRPr="00CB53B6">
        <w:t>No, there will be no</w:t>
      </w:r>
      <w:r w:rsidR="00483C0E" w:rsidRPr="00CB53B6">
        <w:t xml:space="preserve"> change to leave arrangements.</w:t>
      </w:r>
    </w:p>
    <w:p w14:paraId="4975E0EA" w14:textId="11B10289" w:rsidR="003E41B8" w:rsidRPr="007F4EB7" w:rsidRDefault="003E41B8" w:rsidP="00AA67AC">
      <w:pPr>
        <w:pStyle w:val="Heading2"/>
        <w:numPr>
          <w:ilvl w:val="0"/>
          <w:numId w:val="5"/>
        </w:numPr>
        <w:ind w:left="284"/>
      </w:pPr>
      <w:bookmarkStart w:id="76" w:name="_Hlk92879373"/>
      <w:r w:rsidRPr="007F4EB7">
        <w:t xml:space="preserve">How </w:t>
      </w:r>
      <w:r w:rsidR="002A5021">
        <w:t>do</w:t>
      </w:r>
      <w:r w:rsidR="002A5021" w:rsidRPr="007F4EB7">
        <w:t xml:space="preserve"> </w:t>
      </w:r>
      <w:r w:rsidRPr="007F4EB7">
        <w:t>providers manage paying for brokerage and contracted services</w:t>
      </w:r>
      <w:r w:rsidR="00217477">
        <w:t>?</w:t>
      </w:r>
    </w:p>
    <w:p w14:paraId="153D8200" w14:textId="77777777" w:rsidR="00A406C2" w:rsidRDefault="003E41B8" w:rsidP="00393E2D">
      <w:r w:rsidRPr="007F4EB7">
        <w:t xml:space="preserve">Providers should receive </w:t>
      </w:r>
      <w:r w:rsidR="00DA5E70">
        <w:t xml:space="preserve">and accept </w:t>
      </w:r>
      <w:r w:rsidRPr="007F4EB7">
        <w:t>a quote for these services and can claim these in the month the service was delivered.</w:t>
      </w:r>
    </w:p>
    <w:p w14:paraId="6EAA1BFA" w14:textId="08A7BCD7" w:rsidR="006753B9" w:rsidRDefault="003E41B8">
      <w:r w:rsidRPr="007F4EB7">
        <w:t>If at a later point</w:t>
      </w:r>
      <w:r w:rsidR="00F57CF1">
        <w:t>,</w:t>
      </w:r>
      <w:r w:rsidRPr="007F4EB7">
        <w:t xml:space="preserve"> the provider receives an invoice for a higher or lower amount, they will be able to correct this </w:t>
      </w:r>
      <w:r w:rsidR="00725FDE">
        <w:t xml:space="preserve">by adjusting the price </w:t>
      </w:r>
      <w:r w:rsidRPr="007F4EB7">
        <w:t xml:space="preserve">in </w:t>
      </w:r>
      <w:r w:rsidR="00D628FE">
        <w:t>a future</w:t>
      </w:r>
      <w:r w:rsidR="00D628FE" w:rsidRPr="007F4EB7">
        <w:t xml:space="preserve"> </w:t>
      </w:r>
      <w:r w:rsidRPr="007F4EB7">
        <w:t>month’s claim.</w:t>
      </w:r>
      <w:r w:rsidR="00725FDE">
        <w:t xml:space="preserve"> A price for a previous month cannot be updated once claimed.</w:t>
      </w:r>
    </w:p>
    <w:bookmarkEnd w:id="76"/>
    <w:p w14:paraId="74FCCE50" w14:textId="77777777" w:rsidR="00030A7F" w:rsidRDefault="00030A7F" w:rsidP="00AA67AC">
      <w:pPr>
        <w:pStyle w:val="Heading2"/>
        <w:numPr>
          <w:ilvl w:val="0"/>
          <w:numId w:val="5"/>
        </w:numPr>
        <w:ind w:left="284"/>
      </w:pPr>
      <w:r>
        <w:t>Can providers claim GST costs?</w:t>
      </w:r>
    </w:p>
    <w:p w14:paraId="2183B825" w14:textId="672EA46A" w:rsidR="00030A7F" w:rsidRPr="00C00672" w:rsidRDefault="00030A7F" w:rsidP="00030A7F">
      <w:pPr>
        <w:rPr>
          <w:rFonts w:eastAsia="Times New Roman"/>
          <w:color w:val="000000" w:themeColor="text1"/>
          <w:szCs w:val="22"/>
          <w:lang w:eastAsia="en-AU"/>
        </w:rPr>
      </w:pPr>
      <w:r w:rsidRPr="00C00672">
        <w:rPr>
          <w:rFonts w:eastAsia="Times New Roman"/>
          <w:color w:val="000000" w:themeColor="text1"/>
          <w:szCs w:val="22"/>
          <w:lang w:eastAsia="en-AU"/>
        </w:rPr>
        <w:t xml:space="preserve">There </w:t>
      </w:r>
      <w:r w:rsidR="002A5021">
        <w:rPr>
          <w:rFonts w:eastAsia="Times New Roman"/>
          <w:color w:val="000000" w:themeColor="text1"/>
          <w:szCs w:val="22"/>
          <w:lang w:eastAsia="en-AU"/>
        </w:rPr>
        <w:t>were</w:t>
      </w:r>
      <w:r w:rsidRPr="00C00672">
        <w:rPr>
          <w:rFonts w:eastAsia="Times New Roman"/>
          <w:color w:val="000000" w:themeColor="text1"/>
          <w:szCs w:val="22"/>
          <w:lang w:eastAsia="en-AU"/>
        </w:rPr>
        <w:t xml:space="preserve"> no changes to the way that GST can be paid or collected from a </w:t>
      </w:r>
      <w:r w:rsidR="00115706" w:rsidRPr="00C00672">
        <w:rPr>
          <w:rFonts w:eastAsia="Times New Roman"/>
          <w:color w:val="000000" w:themeColor="text1"/>
          <w:szCs w:val="22"/>
          <w:lang w:eastAsia="en-AU"/>
        </w:rPr>
        <w:t>Home Care Package</w:t>
      </w:r>
      <w:r w:rsidRPr="00C00672">
        <w:rPr>
          <w:rFonts w:eastAsia="Times New Roman"/>
          <w:color w:val="000000" w:themeColor="text1"/>
          <w:szCs w:val="22"/>
          <w:lang w:eastAsia="en-AU"/>
        </w:rPr>
        <w:t xml:space="preserve"> as part of </w:t>
      </w:r>
      <w:r w:rsidR="008030E6">
        <w:rPr>
          <w:rFonts w:eastAsia="Times New Roman"/>
          <w:color w:val="000000" w:themeColor="text1"/>
          <w:szCs w:val="22"/>
          <w:lang w:eastAsia="en-AU"/>
        </w:rPr>
        <w:t>Improved Payment Arrangements</w:t>
      </w:r>
      <w:r w:rsidRPr="00C00672">
        <w:rPr>
          <w:rFonts w:eastAsia="Times New Roman"/>
          <w:color w:val="000000" w:themeColor="text1"/>
          <w:szCs w:val="22"/>
          <w:lang w:eastAsia="en-AU"/>
        </w:rPr>
        <w:t xml:space="preserve">. </w:t>
      </w:r>
    </w:p>
    <w:p w14:paraId="7EB441C7" w14:textId="77777777" w:rsidR="008C2B67" w:rsidRDefault="00030A7F" w:rsidP="00030A7F">
      <w:pPr>
        <w:rPr>
          <w:rFonts w:eastAsia="Times New Roman"/>
          <w:color w:val="000000" w:themeColor="text1"/>
          <w:szCs w:val="22"/>
          <w:lang w:eastAsia="en-AU"/>
        </w:rPr>
      </w:pPr>
      <w:r w:rsidRPr="00C00672">
        <w:rPr>
          <w:rFonts w:eastAsia="Times New Roman"/>
          <w:color w:val="000000" w:themeColor="text1"/>
          <w:szCs w:val="22"/>
          <w:lang w:eastAsia="en-AU"/>
        </w:rPr>
        <w:t>GST should not be claimed as part of the price</w:t>
      </w:r>
      <w:r w:rsidR="00EA3CD0">
        <w:rPr>
          <w:rFonts w:eastAsia="Times New Roman"/>
          <w:color w:val="000000" w:themeColor="text1"/>
          <w:szCs w:val="22"/>
          <w:lang w:eastAsia="en-AU"/>
        </w:rPr>
        <w:t xml:space="preserve"> </w:t>
      </w:r>
      <w:r w:rsidRPr="00C00672">
        <w:rPr>
          <w:rFonts w:eastAsia="Times New Roman"/>
          <w:color w:val="000000" w:themeColor="text1"/>
          <w:szCs w:val="22"/>
          <w:lang w:eastAsia="en-AU"/>
        </w:rPr>
        <w:t>submitted to Services Australia. Providers should deal with GST that is incurred from sub-contracting arrangements and the purchase of goods through the Australian Taxation Office</w:t>
      </w:r>
      <w:r>
        <w:rPr>
          <w:rFonts w:eastAsia="Times New Roman"/>
          <w:color w:val="000000" w:themeColor="text1"/>
          <w:szCs w:val="22"/>
          <w:lang w:eastAsia="en-AU"/>
        </w:rPr>
        <w:t xml:space="preserve"> (ATO)</w:t>
      </w:r>
      <w:r w:rsidRPr="00C00672">
        <w:rPr>
          <w:rFonts w:eastAsia="Times New Roman"/>
          <w:color w:val="000000" w:themeColor="text1"/>
          <w:szCs w:val="22"/>
          <w:lang w:eastAsia="en-AU"/>
        </w:rPr>
        <w:t>.</w:t>
      </w:r>
      <w:r w:rsidR="0084582A">
        <w:rPr>
          <w:rFonts w:eastAsia="Times New Roman"/>
          <w:color w:val="000000" w:themeColor="text1"/>
          <w:szCs w:val="22"/>
          <w:lang w:eastAsia="en-AU"/>
        </w:rPr>
        <w:t xml:space="preserve"> </w:t>
      </w:r>
    </w:p>
    <w:p w14:paraId="7D7BC4B6" w14:textId="36192BDB" w:rsidR="00030A7F" w:rsidRDefault="00030A7F" w:rsidP="00030A7F">
      <w:pPr>
        <w:rPr>
          <w:rFonts w:eastAsia="Times New Roman"/>
          <w:color w:val="000000" w:themeColor="text1"/>
          <w:szCs w:val="22"/>
          <w:lang w:eastAsia="en-AU"/>
        </w:rPr>
      </w:pPr>
      <w:r w:rsidRPr="00C00672">
        <w:rPr>
          <w:rFonts w:eastAsia="Times New Roman"/>
          <w:color w:val="000000" w:themeColor="text1"/>
          <w:szCs w:val="22"/>
          <w:lang w:eastAsia="en-AU"/>
        </w:rPr>
        <w:t>More information about subcontracted services, along with GST and home care, is available at</w:t>
      </w:r>
      <w:r>
        <w:rPr>
          <w:rFonts w:eastAsia="Times New Roman"/>
          <w:color w:val="000000" w:themeColor="text1"/>
          <w:szCs w:val="22"/>
          <w:lang w:eastAsia="en-AU"/>
        </w:rPr>
        <w:t xml:space="preserve"> the </w:t>
      </w:r>
      <w:hyperlink r:id="rId18" w:history="1">
        <w:r w:rsidRPr="00C00672">
          <w:rPr>
            <w:rStyle w:val="Hyperlink"/>
            <w:rFonts w:eastAsia="Times New Roman"/>
            <w:szCs w:val="22"/>
            <w:lang w:eastAsia="en-AU"/>
          </w:rPr>
          <w:t>ATO website</w:t>
        </w:r>
      </w:hyperlink>
      <w:r w:rsidRPr="00C00672">
        <w:rPr>
          <w:rFonts w:eastAsia="Times New Roman"/>
          <w:color w:val="000000" w:themeColor="text1"/>
          <w:szCs w:val="22"/>
          <w:lang w:eastAsia="en-AU"/>
        </w:rPr>
        <w:t xml:space="preserve"> </w:t>
      </w:r>
      <w:r w:rsidR="00EA3CD0">
        <w:rPr>
          <w:rFonts w:eastAsia="Times New Roman"/>
          <w:color w:val="000000" w:themeColor="text1"/>
          <w:szCs w:val="22"/>
          <w:lang w:eastAsia="en-AU"/>
        </w:rPr>
        <w:t xml:space="preserve">by </w:t>
      </w:r>
      <w:r w:rsidRPr="00C00672">
        <w:rPr>
          <w:rFonts w:eastAsia="Times New Roman"/>
          <w:color w:val="000000" w:themeColor="text1"/>
          <w:szCs w:val="22"/>
          <w:lang w:eastAsia="en-AU"/>
        </w:rPr>
        <w:t xml:space="preserve">using the search term ‘Government funded Home Care’. The </w:t>
      </w:r>
      <w:r>
        <w:rPr>
          <w:rFonts w:eastAsia="Times New Roman"/>
          <w:color w:val="000000" w:themeColor="text1"/>
          <w:szCs w:val="22"/>
          <w:lang w:eastAsia="en-AU"/>
        </w:rPr>
        <w:t>ATO</w:t>
      </w:r>
      <w:r w:rsidRPr="00C00672">
        <w:rPr>
          <w:rFonts w:eastAsia="Times New Roman"/>
          <w:color w:val="000000" w:themeColor="text1"/>
          <w:szCs w:val="22"/>
          <w:lang w:eastAsia="en-AU"/>
        </w:rPr>
        <w:t xml:space="preserve"> also provides an example </w:t>
      </w:r>
      <w:r>
        <w:rPr>
          <w:rFonts w:eastAsia="Times New Roman"/>
          <w:color w:val="000000" w:themeColor="text1"/>
          <w:szCs w:val="22"/>
          <w:lang w:eastAsia="en-AU"/>
        </w:rPr>
        <w:t>of</w:t>
      </w:r>
      <w:r w:rsidRPr="00C00672">
        <w:rPr>
          <w:rFonts w:eastAsia="Times New Roman"/>
          <w:color w:val="000000" w:themeColor="text1"/>
          <w:szCs w:val="22"/>
          <w:lang w:eastAsia="en-AU"/>
        </w:rPr>
        <w:t xml:space="preserve"> the supply of subcontracted services to a care recipient.</w:t>
      </w:r>
    </w:p>
    <w:p w14:paraId="314E23E6" w14:textId="77777777" w:rsidR="00030A7F" w:rsidRDefault="00030A7F" w:rsidP="00AA67AC">
      <w:pPr>
        <w:pStyle w:val="Heading2"/>
        <w:numPr>
          <w:ilvl w:val="0"/>
          <w:numId w:val="5"/>
        </w:numPr>
        <w:ind w:left="284"/>
      </w:pPr>
      <w:r>
        <w:t xml:space="preserve">Can providers pass any potential increase in administrative costs on to care recipients? </w:t>
      </w:r>
    </w:p>
    <w:p w14:paraId="661209C0" w14:textId="77777777" w:rsidR="00BA1C21" w:rsidRDefault="004430D7" w:rsidP="004430D7">
      <w:pPr>
        <w:spacing w:line="276" w:lineRule="auto"/>
        <w:rPr>
          <w:rFonts w:eastAsia="Times New Roman"/>
          <w:color w:val="000000" w:themeColor="text1"/>
          <w:szCs w:val="22"/>
          <w:lang w:eastAsia="en-AU"/>
        </w:rPr>
      </w:pPr>
      <w:r w:rsidRPr="004430D7">
        <w:rPr>
          <w:rFonts w:eastAsia="Times New Roman"/>
          <w:color w:val="000000" w:themeColor="text1"/>
          <w:szCs w:val="22"/>
          <w:lang w:eastAsia="en-AU"/>
        </w:rPr>
        <w:t>Any increases in price</w:t>
      </w:r>
      <w:r>
        <w:rPr>
          <w:rFonts w:eastAsia="Times New Roman"/>
          <w:color w:val="000000" w:themeColor="text1"/>
          <w:szCs w:val="22"/>
          <w:lang w:eastAsia="en-AU"/>
        </w:rPr>
        <w:t>s, including administration and package management costs,</w:t>
      </w:r>
      <w:r w:rsidRPr="004430D7">
        <w:rPr>
          <w:rFonts w:eastAsia="Times New Roman"/>
          <w:color w:val="000000" w:themeColor="text1"/>
          <w:szCs w:val="22"/>
          <w:lang w:eastAsia="en-AU"/>
        </w:rPr>
        <w:t xml:space="preserve"> must be reflected in providers pricing schedule on My Aged Care. Providers must include a copy of their pricing schedule in their care recipient’s Home Care Agreement. </w:t>
      </w:r>
    </w:p>
    <w:p w14:paraId="0C08BC77" w14:textId="76B0574D" w:rsidR="004430D7" w:rsidRPr="004430D7" w:rsidRDefault="004430D7" w:rsidP="004430D7">
      <w:pPr>
        <w:spacing w:line="276" w:lineRule="auto"/>
        <w:rPr>
          <w:rFonts w:eastAsia="Times New Roman"/>
          <w:color w:val="000000" w:themeColor="text1"/>
          <w:szCs w:val="22"/>
          <w:lang w:eastAsia="en-AU"/>
        </w:rPr>
      </w:pPr>
      <w:r w:rsidRPr="004430D7">
        <w:rPr>
          <w:rFonts w:eastAsia="Times New Roman"/>
          <w:color w:val="000000" w:themeColor="text1"/>
          <w:szCs w:val="22"/>
          <w:lang w:eastAsia="en-AU"/>
        </w:rPr>
        <w:lastRenderedPageBreak/>
        <w:t xml:space="preserve">There must be mutual </w:t>
      </w:r>
      <w:r>
        <w:rPr>
          <w:rFonts w:eastAsia="Times New Roman"/>
          <w:color w:val="000000" w:themeColor="text1"/>
          <w:szCs w:val="22"/>
          <w:lang w:eastAsia="en-AU"/>
        </w:rPr>
        <w:t>a</w:t>
      </w:r>
      <w:r w:rsidRPr="004430D7">
        <w:rPr>
          <w:rFonts w:eastAsia="Times New Roman"/>
          <w:color w:val="000000" w:themeColor="text1"/>
          <w:szCs w:val="22"/>
          <w:lang w:eastAsia="en-AU"/>
        </w:rPr>
        <w:t>gree</w:t>
      </w:r>
      <w:r>
        <w:rPr>
          <w:rFonts w:eastAsia="Times New Roman"/>
          <w:color w:val="000000" w:themeColor="text1"/>
          <w:szCs w:val="22"/>
          <w:lang w:eastAsia="en-AU"/>
        </w:rPr>
        <w:t>ment</w:t>
      </w:r>
      <w:r w:rsidRPr="004430D7">
        <w:rPr>
          <w:rFonts w:eastAsia="Times New Roman"/>
          <w:color w:val="000000" w:themeColor="text1"/>
          <w:szCs w:val="22"/>
          <w:lang w:eastAsia="en-AU"/>
        </w:rPr>
        <w:t xml:space="preserve"> by both the care recipient and the provider for any pricing changes.</w:t>
      </w:r>
    </w:p>
    <w:p w14:paraId="1DC3FCEF" w14:textId="7D648641" w:rsidR="00030A7F" w:rsidRDefault="00EA3CD0" w:rsidP="00030A7F">
      <w:pPr>
        <w:spacing w:line="276" w:lineRule="auto"/>
        <w:rPr>
          <w:rFonts w:eastAsia="Times New Roman"/>
          <w:color w:val="000000" w:themeColor="text1"/>
          <w:szCs w:val="22"/>
          <w:lang w:eastAsia="en-AU"/>
        </w:rPr>
      </w:pPr>
      <w:r>
        <w:rPr>
          <w:rFonts w:eastAsia="Times New Roman"/>
          <w:color w:val="000000" w:themeColor="text1"/>
          <w:szCs w:val="22"/>
          <w:lang w:eastAsia="en-AU"/>
        </w:rPr>
        <w:t>Providers</w:t>
      </w:r>
      <w:r w:rsidR="00030A7F" w:rsidRPr="001F1434">
        <w:rPr>
          <w:rFonts w:eastAsia="Times New Roman"/>
          <w:color w:val="000000" w:themeColor="text1"/>
          <w:szCs w:val="22"/>
          <w:lang w:eastAsia="en-AU"/>
        </w:rPr>
        <w:t xml:space="preserve"> should include </w:t>
      </w:r>
      <w:r w:rsidR="004430D7">
        <w:rPr>
          <w:rFonts w:eastAsia="Times New Roman"/>
          <w:color w:val="000000" w:themeColor="text1"/>
          <w:szCs w:val="22"/>
          <w:lang w:eastAsia="en-AU"/>
        </w:rPr>
        <w:t>usual business costs (</w:t>
      </w:r>
      <w:r w:rsidR="004430D7" w:rsidRPr="001F1434">
        <w:rPr>
          <w:rFonts w:eastAsia="Times New Roman"/>
          <w:color w:val="000000" w:themeColor="text1"/>
          <w:szCs w:val="22"/>
          <w:lang w:eastAsia="en-AU"/>
        </w:rPr>
        <w:t>such as office rent, insurance</w:t>
      </w:r>
      <w:r w:rsidR="004430D7">
        <w:rPr>
          <w:rFonts w:eastAsia="Times New Roman"/>
          <w:color w:val="000000" w:themeColor="text1"/>
          <w:szCs w:val="22"/>
          <w:lang w:eastAsia="en-AU"/>
        </w:rPr>
        <w:t>s,</w:t>
      </w:r>
      <w:r w:rsidR="004430D7" w:rsidRPr="001F1434">
        <w:rPr>
          <w:rFonts w:eastAsia="Times New Roman"/>
          <w:color w:val="000000" w:themeColor="text1"/>
          <w:szCs w:val="22"/>
          <w:lang w:eastAsia="en-AU"/>
        </w:rPr>
        <w:t xml:space="preserve"> and marketing</w:t>
      </w:r>
      <w:r w:rsidR="004430D7">
        <w:rPr>
          <w:rFonts w:eastAsia="Times New Roman"/>
          <w:color w:val="000000" w:themeColor="text1"/>
          <w:szCs w:val="22"/>
          <w:lang w:eastAsia="en-AU"/>
        </w:rPr>
        <w:t xml:space="preserve">, etc.) </w:t>
      </w:r>
      <w:r w:rsidR="00030A7F" w:rsidRPr="001F1434">
        <w:rPr>
          <w:rFonts w:eastAsia="Times New Roman"/>
          <w:color w:val="000000" w:themeColor="text1"/>
          <w:szCs w:val="22"/>
          <w:lang w:eastAsia="en-AU"/>
        </w:rPr>
        <w:t xml:space="preserve">in </w:t>
      </w:r>
      <w:r>
        <w:rPr>
          <w:rFonts w:eastAsia="Times New Roman"/>
          <w:color w:val="000000" w:themeColor="text1"/>
          <w:szCs w:val="22"/>
          <w:lang w:eastAsia="en-AU"/>
        </w:rPr>
        <w:t>thei</w:t>
      </w:r>
      <w:r w:rsidR="00030A7F" w:rsidRPr="001F1434">
        <w:rPr>
          <w:rFonts w:eastAsia="Times New Roman"/>
          <w:color w:val="000000" w:themeColor="text1"/>
          <w:szCs w:val="22"/>
          <w:lang w:eastAsia="en-AU"/>
        </w:rPr>
        <w:t xml:space="preserve">r prices for care and services. This ensures </w:t>
      </w:r>
      <w:r>
        <w:rPr>
          <w:rFonts w:eastAsia="Times New Roman"/>
          <w:color w:val="000000" w:themeColor="text1"/>
          <w:szCs w:val="22"/>
          <w:lang w:eastAsia="en-AU"/>
        </w:rPr>
        <w:t>care recipients</w:t>
      </w:r>
      <w:r w:rsidR="00030A7F" w:rsidRPr="001F1434">
        <w:rPr>
          <w:rFonts w:eastAsia="Times New Roman"/>
          <w:color w:val="000000" w:themeColor="text1"/>
          <w:szCs w:val="22"/>
          <w:lang w:eastAsia="en-AU"/>
        </w:rPr>
        <w:t xml:space="preserve"> can see the all-inclusive cost of delivering the service. The amount </w:t>
      </w:r>
      <w:r>
        <w:rPr>
          <w:rFonts w:eastAsia="Times New Roman"/>
          <w:color w:val="000000" w:themeColor="text1"/>
          <w:szCs w:val="22"/>
          <w:lang w:eastAsia="en-AU"/>
        </w:rPr>
        <w:t>providers</w:t>
      </w:r>
      <w:r w:rsidR="00030A7F" w:rsidRPr="001F1434">
        <w:rPr>
          <w:rFonts w:eastAsia="Times New Roman"/>
          <w:color w:val="000000" w:themeColor="text1"/>
          <w:szCs w:val="22"/>
          <w:lang w:eastAsia="en-AU"/>
        </w:rPr>
        <w:t xml:space="preserve"> include must be reasonable.</w:t>
      </w:r>
    </w:p>
    <w:p w14:paraId="7F545D9F" w14:textId="6713AB8D" w:rsidR="008710F0" w:rsidRPr="007F4EB7" w:rsidRDefault="00CA6EE4" w:rsidP="00F77063">
      <w:pPr>
        <w:pStyle w:val="Heading1"/>
      </w:pPr>
      <w:bookmarkStart w:id="77" w:name="_Toc95839132"/>
      <w:r>
        <w:t>Not o</w:t>
      </w:r>
      <w:r w:rsidR="008710F0" w:rsidRPr="007F4EB7">
        <w:t>pt</w:t>
      </w:r>
      <w:r>
        <w:t>ing</w:t>
      </w:r>
      <w:r w:rsidR="008710F0" w:rsidRPr="007F4EB7">
        <w:t>-in</w:t>
      </w:r>
      <w:r>
        <w:t xml:space="preserve"> to return Commonwealth unspent funds</w:t>
      </w:r>
      <w:bookmarkEnd w:id="77"/>
    </w:p>
    <w:p w14:paraId="5DE576F8" w14:textId="2B0D3359" w:rsidR="00503DA1" w:rsidRPr="007F4EB7" w:rsidRDefault="00DB21CA" w:rsidP="00AA67AC">
      <w:pPr>
        <w:pStyle w:val="Heading2"/>
        <w:numPr>
          <w:ilvl w:val="0"/>
          <w:numId w:val="5"/>
        </w:numPr>
        <w:ind w:left="284"/>
      </w:pPr>
      <w:r>
        <w:t>W</w:t>
      </w:r>
      <w:r w:rsidR="00503DA1" w:rsidRPr="007F4EB7">
        <w:t>hat happens with unspent fund</w:t>
      </w:r>
      <w:r w:rsidR="00D628FE">
        <w:t>s</w:t>
      </w:r>
      <w:r w:rsidR="00503DA1" w:rsidRPr="007F4EB7">
        <w:t xml:space="preserve"> post March 2022</w:t>
      </w:r>
      <w:r w:rsidR="00A929D6">
        <w:t xml:space="preserve"> i</w:t>
      </w:r>
      <w:r w:rsidR="00A929D6" w:rsidRPr="007F4EB7">
        <w:t>f a provider does not opt-in</w:t>
      </w:r>
      <w:r w:rsidR="00503DA1" w:rsidRPr="007F4EB7">
        <w:t>?</w:t>
      </w:r>
    </w:p>
    <w:p w14:paraId="153A19AC" w14:textId="41276427" w:rsidR="00151D5E" w:rsidRDefault="00503DA1" w:rsidP="00393E2D">
      <w:r w:rsidRPr="0007358F">
        <w:t xml:space="preserve">If a provider does not </w:t>
      </w:r>
      <w:r w:rsidR="006509B9" w:rsidRPr="0007358F">
        <w:t>opt-in,</w:t>
      </w:r>
      <w:r w:rsidRPr="0007358F">
        <w:t xml:space="preserve"> they will continue to hold these funds on behalf of the care recipient. </w:t>
      </w:r>
      <w:r w:rsidR="00026733">
        <w:t>They can continue to be used to pay for care and services.</w:t>
      </w:r>
    </w:p>
    <w:p w14:paraId="657D90E2" w14:textId="1DE0B6BE" w:rsidR="00A07473" w:rsidRDefault="00300262" w:rsidP="00393E2D">
      <w:r>
        <w:t>I</w:t>
      </w:r>
      <w:r w:rsidR="009E0F8F" w:rsidRPr="00D00F17">
        <w:t xml:space="preserve">f a care recipient </w:t>
      </w:r>
      <w:r w:rsidR="00503DA1" w:rsidRPr="00D00F17">
        <w:t xml:space="preserve">transfers to a new service </w:t>
      </w:r>
      <w:r w:rsidR="009E0F8F" w:rsidRPr="00D00F17">
        <w:t xml:space="preserve">(including a new service </w:t>
      </w:r>
      <w:r w:rsidR="00503DA1" w:rsidRPr="00D00F17">
        <w:t>under the same approved provider</w:t>
      </w:r>
      <w:r w:rsidR="009E0F8F" w:rsidRPr="00D00F17">
        <w:t xml:space="preserve">) the </w:t>
      </w:r>
      <w:r w:rsidR="00710867">
        <w:t>C</w:t>
      </w:r>
      <w:r w:rsidR="004464DB">
        <w:t xml:space="preserve">ommonwealth portion of unspent </w:t>
      </w:r>
      <w:r w:rsidR="009E0F8F" w:rsidRPr="00D00F17">
        <w:t xml:space="preserve">funds will be moved into their home care account </w:t>
      </w:r>
      <w:r w:rsidR="0007358F" w:rsidRPr="00D00F17">
        <w:t xml:space="preserve">to fund </w:t>
      </w:r>
      <w:r w:rsidR="009E0F8F" w:rsidRPr="00D00F17">
        <w:t xml:space="preserve">care and services </w:t>
      </w:r>
      <w:r w:rsidR="0007358F" w:rsidRPr="00D00F17">
        <w:t xml:space="preserve">delivered by </w:t>
      </w:r>
      <w:r w:rsidR="009E0F8F" w:rsidRPr="00D00F17">
        <w:t xml:space="preserve">their new </w:t>
      </w:r>
      <w:r w:rsidR="009E0F8F" w:rsidRPr="00AA24AE">
        <w:t xml:space="preserve">provider. </w:t>
      </w:r>
      <w:r w:rsidR="00A07473" w:rsidRPr="00AA24AE">
        <w:t xml:space="preserve"> Providers should not adjust the unspent funds amount for a departed care recipient</w:t>
      </w:r>
      <w:r w:rsidR="00A07473" w:rsidRPr="00AA24AE">
        <w:rPr>
          <w:rFonts w:ascii="Helvetica" w:eastAsia="Times New Roman" w:hAnsi="Helvetica" w:cs="Helvetica"/>
          <w:color w:val="606060"/>
          <w:sz w:val="23"/>
          <w:szCs w:val="23"/>
          <w:lang w:eastAsia="en-AU"/>
        </w:rPr>
        <w:t xml:space="preserve"> </w:t>
      </w:r>
      <w:r w:rsidR="00A07473" w:rsidRPr="00AA24AE">
        <w:t xml:space="preserve">where the invoice amount is higher than the maximum contribution amount for that month. Refer to </w:t>
      </w:r>
      <w:hyperlink w:anchor="_How_is_the" w:history="1">
        <w:r w:rsidR="00A07473" w:rsidRPr="00AA24AE">
          <w:rPr>
            <w:rStyle w:val="Hyperlink"/>
          </w:rPr>
          <w:t>question 43</w:t>
        </w:r>
      </w:hyperlink>
      <w:r w:rsidR="00A07473" w:rsidRPr="00AA24AE">
        <w:t xml:space="preserve"> for further details.</w:t>
      </w:r>
    </w:p>
    <w:p w14:paraId="57C03AF9" w14:textId="41DF8EB4" w:rsidR="008C2B67" w:rsidRDefault="00CF2002" w:rsidP="00393E2D">
      <w:r>
        <w:t>This will also occur if a provider has opted-in but has not finished drawing down on the unspent funds before the care recipient moves services.</w:t>
      </w:r>
      <w:r w:rsidR="004464DB">
        <w:t xml:space="preserve"> </w:t>
      </w:r>
    </w:p>
    <w:p w14:paraId="14204C3B" w14:textId="77777777" w:rsidR="008C2B67" w:rsidRDefault="004464DB" w:rsidP="00393E2D">
      <w:r>
        <w:t>The care recipient portion will need to be transferred to</w:t>
      </w:r>
      <w:r w:rsidRPr="007F4EB7">
        <w:t xml:space="preserve"> </w:t>
      </w:r>
      <w:r>
        <w:t xml:space="preserve">the new service by the </w:t>
      </w:r>
      <w:r w:rsidR="00710867">
        <w:t>ceasing</w:t>
      </w:r>
      <w:r>
        <w:t xml:space="preserve"> provider. </w:t>
      </w:r>
      <w:r w:rsidR="00CF2002" w:rsidRPr="00CF2002">
        <w:t xml:space="preserve"> </w:t>
      </w:r>
    </w:p>
    <w:p w14:paraId="23116747" w14:textId="550AA31C" w:rsidR="00151D5E" w:rsidRDefault="00CF2002" w:rsidP="00393E2D">
      <w:r>
        <w:t>For more information on transferring services see</w:t>
      </w:r>
      <w:r w:rsidR="00BD5BAD">
        <w:t xml:space="preserve"> </w:t>
      </w:r>
      <w:hyperlink w:anchor="_What_is_the_3" w:history="1">
        <w:r w:rsidR="00981C94">
          <w:rPr>
            <w:rStyle w:val="Hyperlink"/>
          </w:rPr>
          <w:t>question 40</w:t>
        </w:r>
      </w:hyperlink>
      <w:r>
        <w:t xml:space="preserve"> for information regarding the 70-day</w:t>
      </w:r>
      <w:r w:rsidR="00AD4210">
        <w:t xml:space="preserve"> (calendar days)</w:t>
      </w:r>
      <w:r>
        <w:t xml:space="preserve"> quarantine period.</w:t>
      </w:r>
    </w:p>
    <w:p w14:paraId="087DA025" w14:textId="25FA5042" w:rsidR="006753B9" w:rsidRDefault="00CF2002">
      <w:r>
        <w:t xml:space="preserve">Regardless of opt-in status, when a care recipient </w:t>
      </w:r>
      <w:r w:rsidR="00503DA1" w:rsidRPr="00D00F17">
        <w:t>exit</w:t>
      </w:r>
      <w:r>
        <w:t>s</w:t>
      </w:r>
      <w:r w:rsidR="00503DA1" w:rsidRPr="00D00F17">
        <w:t xml:space="preserve"> home care</w:t>
      </w:r>
      <w:r w:rsidR="0007358F" w:rsidRPr="00D00F17">
        <w:t>,</w:t>
      </w:r>
      <w:r w:rsidR="00503DA1" w:rsidRPr="00D00F17">
        <w:t xml:space="preserve"> the Commonwealth portion of unspent funds will be returned to the Government</w:t>
      </w:r>
      <w:r w:rsidR="009E0F8F" w:rsidRPr="00D00F17">
        <w:t xml:space="preserve"> and reinvested into the Home Care Packages Program</w:t>
      </w:r>
      <w:r w:rsidR="00503DA1" w:rsidRPr="00D00F17">
        <w:t>.</w:t>
      </w:r>
    </w:p>
    <w:p w14:paraId="15CD2BB6" w14:textId="3CEB10D8" w:rsidR="00503DA1" w:rsidRPr="007F4EB7" w:rsidRDefault="00503DA1" w:rsidP="00AA67AC">
      <w:pPr>
        <w:pStyle w:val="Heading2"/>
        <w:numPr>
          <w:ilvl w:val="0"/>
          <w:numId w:val="5"/>
        </w:numPr>
        <w:ind w:left="284"/>
      </w:pPr>
      <w:r w:rsidRPr="007F4EB7">
        <w:t>If a provider does not opt-in</w:t>
      </w:r>
      <w:r w:rsidR="009B0705">
        <w:t>,</w:t>
      </w:r>
      <w:r w:rsidRPr="007F4EB7">
        <w:t xml:space="preserve"> </w:t>
      </w:r>
      <w:r w:rsidR="00BD5BAD" w:rsidRPr="007F4EB7">
        <w:t>do</w:t>
      </w:r>
      <w:r w:rsidRPr="007F4EB7">
        <w:t xml:space="preserve"> they need to </w:t>
      </w:r>
      <w:r w:rsidR="006C05F3">
        <w:t xml:space="preserve">report </w:t>
      </w:r>
      <w:r w:rsidRPr="007F4EB7">
        <w:t xml:space="preserve">the </w:t>
      </w:r>
      <w:r w:rsidR="006C05F3">
        <w:t xml:space="preserve">Commonwealth portion of the </w:t>
      </w:r>
      <w:r w:rsidRPr="007F4EB7">
        <w:t>unspent funds balance for each care recipient?</w:t>
      </w:r>
    </w:p>
    <w:p w14:paraId="50F197F5" w14:textId="77777777" w:rsidR="00F36D3B" w:rsidRDefault="002C0490" w:rsidP="00F36D3B">
      <w:r w:rsidRPr="00AA24AE">
        <w:t xml:space="preserve">Reporting of unspent funds became mandatory from </w:t>
      </w:r>
      <w:r w:rsidR="00B66EF7" w:rsidRPr="00AA24AE">
        <w:t>31 December 2021</w:t>
      </w:r>
      <w:r w:rsidR="007D185D" w:rsidRPr="00AA24AE">
        <w:t xml:space="preserve"> for all care recipients in care prior to 1 September 2021.</w:t>
      </w:r>
      <w:r w:rsidR="00B66EF7" w:rsidRPr="00AA24AE">
        <w:t xml:space="preserve"> </w:t>
      </w:r>
      <w:r w:rsidRPr="00AA24AE">
        <w:t xml:space="preserve">Providers will not be able to finalise their December 2021 claim </w:t>
      </w:r>
      <w:r w:rsidR="00A1712C" w:rsidRPr="00AA24AE">
        <w:t xml:space="preserve">(and all subsequent claims) </w:t>
      </w:r>
      <w:r w:rsidRPr="00AA24AE">
        <w:t xml:space="preserve">until they have reported unspent funds balance </w:t>
      </w:r>
      <w:r w:rsidR="00B66EF7" w:rsidRPr="00AA24AE">
        <w:t xml:space="preserve">to Services Australia </w:t>
      </w:r>
      <w:r w:rsidR="007D185D" w:rsidRPr="00AA24AE">
        <w:t xml:space="preserve">for these care recipients </w:t>
      </w:r>
      <w:r w:rsidRPr="00AA24AE">
        <w:t xml:space="preserve">at least once. </w:t>
      </w:r>
      <w:bookmarkStart w:id="78" w:name="_Toc95837854"/>
    </w:p>
    <w:p w14:paraId="1BAF95E4" w14:textId="31BF4CDF" w:rsidR="00CA6EE4" w:rsidRPr="007F4EB7" w:rsidRDefault="00983D37" w:rsidP="00F36D3B">
      <w:r w:rsidRPr="00AA24AE">
        <w:t xml:space="preserve">Providers who do not opt-in are responsible for </w:t>
      </w:r>
      <w:r w:rsidR="007D185D" w:rsidRPr="00AA24AE">
        <w:t xml:space="preserve">ongoing </w:t>
      </w:r>
      <w:r w:rsidRPr="00AA24AE">
        <w:t xml:space="preserve">tracking </w:t>
      </w:r>
      <w:r w:rsidR="007D185D" w:rsidRPr="00AA24AE">
        <w:t xml:space="preserve">of </w:t>
      </w:r>
      <w:r w:rsidRPr="00AA24AE">
        <w:t xml:space="preserve">unspent funds balances and must report the unspent funds </w:t>
      </w:r>
      <w:r w:rsidR="002C0490" w:rsidRPr="00AA24AE">
        <w:t xml:space="preserve">for each care recipient </w:t>
      </w:r>
      <w:r w:rsidRPr="00AA24AE">
        <w:t>each month</w:t>
      </w:r>
      <w:r w:rsidR="002C0490" w:rsidRPr="00AA24AE">
        <w:t>.</w:t>
      </w:r>
      <w:bookmarkEnd w:id="78"/>
    </w:p>
    <w:p w14:paraId="3A161E06" w14:textId="36A278CF" w:rsidR="00CA6EE4" w:rsidRPr="007F4EB7" w:rsidRDefault="00CA6EE4" w:rsidP="00AA67AC">
      <w:pPr>
        <w:pStyle w:val="Heading2"/>
        <w:numPr>
          <w:ilvl w:val="0"/>
          <w:numId w:val="5"/>
        </w:numPr>
        <w:ind w:left="284"/>
      </w:pPr>
      <w:r>
        <w:t>Does the Commonwealth p</w:t>
      </w:r>
      <w:r w:rsidRPr="007F4EB7">
        <w:t xml:space="preserve">ortion of unspent funds held by </w:t>
      </w:r>
      <w:r>
        <w:t xml:space="preserve">the provider include </w:t>
      </w:r>
      <w:r w:rsidRPr="007F4EB7">
        <w:t>pre</w:t>
      </w:r>
      <w:r w:rsidR="004518E1">
        <w:t>-</w:t>
      </w:r>
      <w:r w:rsidRPr="007F4EB7">
        <w:t xml:space="preserve">July 2015 </w:t>
      </w:r>
      <w:r>
        <w:t xml:space="preserve">unspent </w:t>
      </w:r>
      <w:r w:rsidRPr="007F4EB7">
        <w:t>funds?</w:t>
      </w:r>
    </w:p>
    <w:p w14:paraId="091FC078" w14:textId="4D0A5297" w:rsidR="004244BD" w:rsidRDefault="00CA6EE4" w:rsidP="00393E2D">
      <w:r>
        <w:t>No, p</w:t>
      </w:r>
      <w:r w:rsidRPr="007F4EB7">
        <w:t xml:space="preserve">roviders will not </w:t>
      </w:r>
      <w:r w:rsidR="00980B05">
        <w:t>need</w:t>
      </w:r>
      <w:r w:rsidRPr="007F4EB7">
        <w:t xml:space="preserve"> to transfer or return </w:t>
      </w:r>
      <w:r>
        <w:t xml:space="preserve">unspent </w:t>
      </w:r>
      <w:r w:rsidRPr="007F4EB7">
        <w:t xml:space="preserve">home care subsidy and home care fees </w:t>
      </w:r>
      <w:r w:rsidR="00D045F8">
        <w:t>which</w:t>
      </w:r>
      <w:r w:rsidRPr="007F4EB7">
        <w:t xml:space="preserve"> </w:t>
      </w:r>
      <w:r>
        <w:t xml:space="preserve">were paid </w:t>
      </w:r>
      <w:r w:rsidR="00E24DB7">
        <w:t>before</w:t>
      </w:r>
      <w:r>
        <w:t xml:space="preserve"> 1 July 2015, as they were not held at the individual care recipient level.</w:t>
      </w:r>
    </w:p>
    <w:p w14:paraId="339A1081" w14:textId="3877ED2B" w:rsidR="00394F47" w:rsidRPr="00394F47" w:rsidRDefault="00CA6EE4" w:rsidP="00394F47">
      <w:pPr>
        <w:rPr>
          <w:rStyle w:val="Strong"/>
          <w:b w:val="0"/>
          <w:bCs w:val="0"/>
        </w:rPr>
      </w:pPr>
      <w:r w:rsidRPr="007F4EB7">
        <w:t>From 1 July 2015</w:t>
      </w:r>
      <w:r>
        <w:t>,</w:t>
      </w:r>
      <w:r w:rsidRPr="007F4EB7">
        <w:t xml:space="preserve"> all </w:t>
      </w:r>
      <w:r w:rsidR="00A8513F" w:rsidRPr="007F4EB7">
        <w:t>Home Care Packages</w:t>
      </w:r>
      <w:r w:rsidRPr="007F4EB7">
        <w:t xml:space="preserve"> </w:t>
      </w:r>
      <w:r w:rsidR="00980B05">
        <w:t>must be</w:t>
      </w:r>
      <w:r w:rsidRPr="007F4EB7">
        <w:t xml:space="preserve"> delivered on a ‘consumer directed care’ basis</w:t>
      </w:r>
      <w:r w:rsidR="003E18FE">
        <w:t xml:space="preserve">. This </w:t>
      </w:r>
      <w:r w:rsidRPr="007F4EB7">
        <w:t>includ</w:t>
      </w:r>
      <w:r w:rsidR="003E18FE">
        <w:t>es</w:t>
      </w:r>
      <w:r w:rsidRPr="007F4EB7">
        <w:t xml:space="preserve"> the requirement for providers to supply care recipients with monthly invoices accounting for any unspent amounts associated with their</w:t>
      </w:r>
      <w:r>
        <w:t xml:space="preserve"> individual</w:t>
      </w:r>
      <w:r w:rsidRPr="007F4EB7">
        <w:t xml:space="preserve"> package.</w:t>
      </w:r>
    </w:p>
    <w:p w14:paraId="0305A1CA" w14:textId="77777777" w:rsidR="00394F47" w:rsidRDefault="00394F47">
      <w:pPr>
        <w:spacing w:before="0" w:after="160" w:line="259" w:lineRule="auto"/>
        <w:rPr>
          <w:b/>
          <w:bCs/>
          <w:color w:val="3374B8"/>
          <w:sz w:val="28"/>
          <w:szCs w:val="28"/>
        </w:rPr>
      </w:pPr>
      <w:r>
        <w:br w:type="page"/>
      </w:r>
    </w:p>
    <w:p w14:paraId="11C80D69" w14:textId="6BD26F53" w:rsidR="00394F47" w:rsidRDefault="00394F47" w:rsidP="00394F47">
      <w:pPr>
        <w:pStyle w:val="Heading1"/>
        <w:spacing w:before="240"/>
      </w:pPr>
      <w:bookmarkStart w:id="79" w:name="_Toc95839133"/>
      <w:r w:rsidRPr="007F4EB7">
        <w:lastRenderedPageBreak/>
        <w:t>Transfer</w:t>
      </w:r>
      <w:r>
        <w:t>s</w:t>
      </w:r>
      <w:r w:rsidRPr="007F4EB7">
        <w:t xml:space="preserve"> between providers</w:t>
      </w:r>
      <w:r>
        <w:t xml:space="preserve"> (including services under the same provider)</w:t>
      </w:r>
      <w:bookmarkEnd w:id="79"/>
    </w:p>
    <w:p w14:paraId="42B73D4D" w14:textId="77777777" w:rsidR="00394F47" w:rsidRDefault="00394F47" w:rsidP="00394F47">
      <w:pPr>
        <w:pStyle w:val="Heading2"/>
        <w:numPr>
          <w:ilvl w:val="0"/>
          <w:numId w:val="5"/>
        </w:numPr>
        <w:ind w:left="284"/>
      </w:pPr>
      <w:r w:rsidRPr="001735A5">
        <w:t>What happens to unspent funds</w:t>
      </w:r>
      <w:r>
        <w:t xml:space="preserve"> when a care recipient transfers or exits a Home Care package</w:t>
      </w:r>
      <w:r w:rsidRPr="001735A5">
        <w:t>?</w:t>
      </w:r>
    </w:p>
    <w:p w14:paraId="14CFE802" w14:textId="7D1F0B73" w:rsidR="001735A5" w:rsidRDefault="001735A5" w:rsidP="00800650">
      <w:pPr>
        <w:jc w:val="center"/>
        <w:rPr>
          <w:rStyle w:val="Strong"/>
        </w:rPr>
      </w:pPr>
      <w:r w:rsidRPr="001735A5">
        <w:rPr>
          <w:rStyle w:val="Strong"/>
        </w:rPr>
        <w:t>If the care recipient is transferring to a new service</w:t>
      </w:r>
    </w:p>
    <w:tbl>
      <w:tblPr>
        <w:tblW w:w="5425" w:type="pct"/>
        <w:jc w:val="center"/>
        <w:tblCellMar>
          <w:left w:w="0" w:type="dxa"/>
          <w:right w:w="0" w:type="dxa"/>
        </w:tblCellMar>
        <w:tblLook w:val="04A0" w:firstRow="1" w:lastRow="0" w:firstColumn="1" w:lastColumn="0" w:noHBand="0" w:noVBand="1"/>
        <w:tblCaption w:val="Timing for reporting Commonwealth unspent funds"/>
        <w:tblDescription w:val="This table shows the timing for reporting Commonwealth unspent funds"/>
      </w:tblPr>
      <w:tblGrid>
        <w:gridCol w:w="1833"/>
        <w:gridCol w:w="5670"/>
        <w:gridCol w:w="2269"/>
      </w:tblGrid>
      <w:tr w:rsidR="004D3A40" w:rsidRPr="001735A5" w14:paraId="3E8EDC1E" w14:textId="77777777" w:rsidTr="00A07473">
        <w:trPr>
          <w:trHeight w:val="235"/>
          <w:tblHeader/>
          <w:jc w:val="center"/>
        </w:trPr>
        <w:tc>
          <w:tcPr>
            <w:tcW w:w="938" w:type="pct"/>
            <w:tcBorders>
              <w:top w:val="single" w:sz="8" w:space="0" w:color="FFFFFF"/>
              <w:left w:val="single" w:sz="8" w:space="0" w:color="FFFFFF"/>
              <w:bottom w:val="single" w:sz="24" w:space="0" w:color="FFFFFF"/>
              <w:right w:val="single" w:sz="8" w:space="0" w:color="FFFFFF"/>
            </w:tcBorders>
            <w:shd w:val="clear" w:color="auto" w:fill="008A95"/>
            <w:tcMar>
              <w:top w:w="15" w:type="dxa"/>
              <w:left w:w="108" w:type="dxa"/>
              <w:bottom w:w="0" w:type="dxa"/>
              <w:right w:w="108" w:type="dxa"/>
            </w:tcMar>
            <w:vAlign w:val="center"/>
            <w:hideMark/>
          </w:tcPr>
          <w:p w14:paraId="07044AFA" w14:textId="6C44DD04" w:rsidR="004D3A40" w:rsidRPr="006753B9" w:rsidRDefault="004D3A40" w:rsidP="00800650">
            <w:pPr>
              <w:widowControl w:val="0"/>
              <w:spacing w:after="0" w:line="276" w:lineRule="auto"/>
              <w:jc w:val="center"/>
              <w:rPr>
                <w:b/>
                <w:bCs/>
                <w:color w:val="FFFFFF" w:themeColor="background1"/>
                <w:sz w:val="20"/>
              </w:rPr>
            </w:pPr>
            <w:r w:rsidRPr="006753B9">
              <w:rPr>
                <w:b/>
                <w:bCs/>
                <w:color w:val="FFFFFF" w:themeColor="background1"/>
                <w:sz w:val="20"/>
              </w:rPr>
              <w:t>Portion</w:t>
            </w:r>
          </w:p>
        </w:tc>
        <w:tc>
          <w:tcPr>
            <w:tcW w:w="2901" w:type="pct"/>
            <w:tcBorders>
              <w:top w:val="single" w:sz="8" w:space="0" w:color="FFFFFF"/>
              <w:left w:val="single" w:sz="8" w:space="0" w:color="FFFFFF"/>
              <w:bottom w:val="single" w:sz="24" w:space="0" w:color="FFFFFF"/>
              <w:right w:val="single" w:sz="8" w:space="0" w:color="FFFFFF"/>
            </w:tcBorders>
            <w:shd w:val="clear" w:color="auto" w:fill="008A95"/>
            <w:tcMar>
              <w:top w:w="15" w:type="dxa"/>
              <w:left w:w="108" w:type="dxa"/>
              <w:bottom w:w="0" w:type="dxa"/>
              <w:right w:w="108" w:type="dxa"/>
            </w:tcMar>
            <w:vAlign w:val="center"/>
            <w:hideMark/>
          </w:tcPr>
          <w:p w14:paraId="4ABD1FC7" w14:textId="304375FD" w:rsidR="004D3A40" w:rsidRPr="006753B9" w:rsidRDefault="004D3A40" w:rsidP="00800650">
            <w:pPr>
              <w:widowControl w:val="0"/>
              <w:spacing w:after="0" w:line="276" w:lineRule="auto"/>
              <w:jc w:val="center"/>
              <w:rPr>
                <w:b/>
                <w:bCs/>
                <w:color w:val="FFFFFF" w:themeColor="background1"/>
                <w:sz w:val="20"/>
              </w:rPr>
            </w:pPr>
            <w:r w:rsidRPr="006753B9">
              <w:rPr>
                <w:b/>
                <w:bCs/>
                <w:color w:val="FFFFFF" w:themeColor="background1"/>
                <w:sz w:val="20"/>
              </w:rPr>
              <w:t>Where to return?</w:t>
            </w:r>
          </w:p>
        </w:tc>
        <w:tc>
          <w:tcPr>
            <w:tcW w:w="1161" w:type="pct"/>
            <w:tcBorders>
              <w:top w:val="single" w:sz="8" w:space="0" w:color="FFFFFF"/>
              <w:left w:val="single" w:sz="8" w:space="0" w:color="FFFFFF"/>
              <w:bottom w:val="single" w:sz="24" w:space="0" w:color="FFFFFF"/>
              <w:right w:val="single" w:sz="8" w:space="0" w:color="FFFFFF"/>
            </w:tcBorders>
            <w:shd w:val="clear" w:color="auto" w:fill="008A95"/>
            <w:tcMar>
              <w:top w:w="15" w:type="dxa"/>
              <w:left w:w="108" w:type="dxa"/>
              <w:bottom w:w="0" w:type="dxa"/>
              <w:right w:w="108" w:type="dxa"/>
            </w:tcMar>
            <w:vAlign w:val="center"/>
            <w:hideMark/>
          </w:tcPr>
          <w:p w14:paraId="5478EFA8" w14:textId="015A7D25" w:rsidR="004D3A40" w:rsidRPr="006753B9" w:rsidRDefault="004D3A40" w:rsidP="00800650">
            <w:pPr>
              <w:widowControl w:val="0"/>
              <w:spacing w:after="0" w:line="276" w:lineRule="auto"/>
              <w:jc w:val="center"/>
              <w:rPr>
                <w:b/>
                <w:bCs/>
                <w:color w:val="FFFFFF" w:themeColor="background1"/>
                <w:sz w:val="20"/>
              </w:rPr>
            </w:pPr>
            <w:r w:rsidRPr="006753B9">
              <w:rPr>
                <w:b/>
                <w:bCs/>
                <w:color w:val="FFFFFF" w:themeColor="background1"/>
                <w:sz w:val="20"/>
              </w:rPr>
              <w:t>Timeframe to return</w:t>
            </w:r>
          </w:p>
        </w:tc>
      </w:tr>
      <w:tr w:rsidR="004D3A40" w:rsidRPr="001735A5" w14:paraId="06D623D5" w14:textId="77777777" w:rsidTr="00A07473">
        <w:trPr>
          <w:trHeight w:val="431"/>
          <w:tblHeader/>
          <w:jc w:val="center"/>
        </w:trPr>
        <w:tc>
          <w:tcPr>
            <w:tcW w:w="938" w:type="pct"/>
            <w:tcBorders>
              <w:top w:val="single" w:sz="24" w:space="0" w:color="FFFFFF"/>
              <w:left w:val="single" w:sz="8" w:space="0" w:color="FFFFFF"/>
              <w:bottom w:val="single" w:sz="8" w:space="0" w:color="FFFFFF"/>
              <w:right w:val="single" w:sz="8" w:space="0" w:color="FFFFFF"/>
            </w:tcBorders>
            <w:shd w:val="clear" w:color="auto" w:fill="A8D08D" w:themeFill="accent6" w:themeFillTint="99"/>
            <w:tcMar>
              <w:top w:w="15" w:type="dxa"/>
              <w:left w:w="108" w:type="dxa"/>
              <w:bottom w:w="0" w:type="dxa"/>
              <w:right w:w="108" w:type="dxa"/>
            </w:tcMar>
            <w:vAlign w:val="center"/>
            <w:hideMark/>
          </w:tcPr>
          <w:p w14:paraId="099F4DCF" w14:textId="45A7A793" w:rsidR="004D3A40" w:rsidRPr="004D3A40" w:rsidRDefault="004D3A40" w:rsidP="00800650">
            <w:pPr>
              <w:widowControl w:val="0"/>
              <w:spacing w:after="0" w:line="276" w:lineRule="auto"/>
              <w:rPr>
                <w:b/>
                <w:sz w:val="20"/>
              </w:rPr>
            </w:pPr>
            <w:r w:rsidRPr="004D3A40">
              <w:rPr>
                <w:sz w:val="20"/>
              </w:rPr>
              <w:t>Care recipient portion of unspent funds</w:t>
            </w:r>
          </w:p>
        </w:tc>
        <w:tc>
          <w:tcPr>
            <w:tcW w:w="2901" w:type="pct"/>
            <w:tcBorders>
              <w:top w:val="single" w:sz="24"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hideMark/>
          </w:tcPr>
          <w:p w14:paraId="3F78A8AF" w14:textId="63CDAEF3" w:rsidR="004D3A40" w:rsidRPr="004D3A40" w:rsidRDefault="004D3A40" w:rsidP="00800650">
            <w:pPr>
              <w:widowControl w:val="0"/>
              <w:spacing w:after="0" w:line="276" w:lineRule="auto"/>
              <w:rPr>
                <w:bCs/>
                <w:sz w:val="20"/>
              </w:rPr>
            </w:pPr>
            <w:r w:rsidRPr="004D3A40">
              <w:rPr>
                <w:sz w:val="20"/>
              </w:rPr>
              <w:t>The losing provider must transfer the care recipient portion to the gaining provider</w:t>
            </w:r>
          </w:p>
        </w:tc>
        <w:tc>
          <w:tcPr>
            <w:tcW w:w="1161" w:type="pct"/>
            <w:tcBorders>
              <w:top w:val="single" w:sz="24"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hideMark/>
          </w:tcPr>
          <w:p w14:paraId="12EC1B0B" w14:textId="05CC1A60" w:rsidR="004D3A40" w:rsidRPr="004D3A40" w:rsidRDefault="004D3A40" w:rsidP="00800650">
            <w:pPr>
              <w:widowControl w:val="0"/>
              <w:spacing w:after="0" w:line="276" w:lineRule="auto"/>
              <w:rPr>
                <w:bCs/>
                <w:sz w:val="20"/>
              </w:rPr>
            </w:pPr>
            <w:r w:rsidRPr="004D3A40">
              <w:rPr>
                <w:sz w:val="20"/>
              </w:rPr>
              <w:t>Up to 70 calendar days after the departure from the losing provider</w:t>
            </w:r>
          </w:p>
        </w:tc>
      </w:tr>
      <w:tr w:rsidR="004D3A40" w:rsidRPr="001735A5" w14:paraId="681FDF9A" w14:textId="77777777" w:rsidTr="00A07473">
        <w:trPr>
          <w:trHeight w:val="431"/>
          <w:tblHeader/>
          <w:jc w:val="center"/>
        </w:trPr>
        <w:tc>
          <w:tcPr>
            <w:tcW w:w="938" w:type="pct"/>
            <w:vMerge w:val="restart"/>
            <w:tcBorders>
              <w:top w:val="single" w:sz="8" w:space="0" w:color="FFFFFF"/>
              <w:left w:val="single" w:sz="8" w:space="0" w:color="FFFFFF"/>
              <w:right w:val="single" w:sz="8" w:space="0" w:color="FFFFFF"/>
            </w:tcBorders>
            <w:shd w:val="clear" w:color="auto" w:fill="A8D08D" w:themeFill="accent6" w:themeFillTint="99"/>
            <w:tcMar>
              <w:top w:w="15" w:type="dxa"/>
              <w:left w:w="108" w:type="dxa"/>
              <w:bottom w:w="0" w:type="dxa"/>
              <w:right w:w="108" w:type="dxa"/>
            </w:tcMar>
            <w:vAlign w:val="center"/>
            <w:hideMark/>
          </w:tcPr>
          <w:p w14:paraId="602943A5" w14:textId="13B444AC" w:rsidR="004D3A40" w:rsidRPr="00AA24AE" w:rsidRDefault="004D3A40" w:rsidP="00800650">
            <w:pPr>
              <w:widowControl w:val="0"/>
              <w:spacing w:after="0" w:line="276" w:lineRule="auto"/>
              <w:rPr>
                <w:b/>
                <w:sz w:val="20"/>
              </w:rPr>
            </w:pPr>
            <w:r w:rsidRPr="00AA24AE">
              <w:rPr>
                <w:sz w:val="20"/>
              </w:rPr>
              <w:t>Commonwealth portion of unspent funds</w:t>
            </w:r>
          </w:p>
        </w:tc>
        <w:tc>
          <w:tcPr>
            <w:tcW w:w="2901" w:type="pct"/>
            <w:tcBorders>
              <w:top w:val="single" w:sz="8"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hideMark/>
          </w:tcPr>
          <w:p w14:paraId="2A1503A9" w14:textId="007276D5" w:rsidR="004D3A40" w:rsidRPr="00AA24AE" w:rsidRDefault="004D3A40" w:rsidP="00800650">
            <w:pPr>
              <w:widowControl w:val="0"/>
              <w:spacing w:after="0" w:line="276" w:lineRule="auto"/>
              <w:rPr>
                <w:bCs/>
                <w:sz w:val="20"/>
              </w:rPr>
            </w:pPr>
            <w:r w:rsidRPr="00AA24AE">
              <w:rPr>
                <w:sz w:val="20"/>
              </w:rPr>
              <w:t>If the care recipient is opted in, the Services Australia payment system will reconcile the outstanding amount through the claim period and return it to the Commonwealth.</w:t>
            </w:r>
          </w:p>
        </w:tc>
        <w:tc>
          <w:tcPr>
            <w:tcW w:w="1161" w:type="pct"/>
            <w:vMerge w:val="restart"/>
            <w:tcBorders>
              <w:top w:val="single" w:sz="8" w:space="0" w:color="FFFFFF"/>
              <w:left w:val="single" w:sz="8" w:space="0" w:color="FFFFFF"/>
              <w:right w:val="single" w:sz="8" w:space="0" w:color="FFFFFF"/>
            </w:tcBorders>
            <w:shd w:val="clear" w:color="auto" w:fill="E2E2E2"/>
            <w:tcMar>
              <w:top w:w="15" w:type="dxa"/>
              <w:left w:w="108" w:type="dxa"/>
              <w:bottom w:w="0" w:type="dxa"/>
              <w:right w:w="108" w:type="dxa"/>
            </w:tcMar>
            <w:vAlign w:val="center"/>
            <w:hideMark/>
          </w:tcPr>
          <w:p w14:paraId="033A2165" w14:textId="00A645B0" w:rsidR="004D3A40" w:rsidRPr="004D3A40" w:rsidRDefault="004D3A40" w:rsidP="00800650">
            <w:pPr>
              <w:widowControl w:val="0"/>
              <w:spacing w:after="0" w:line="276" w:lineRule="auto"/>
              <w:rPr>
                <w:bCs/>
                <w:sz w:val="20"/>
              </w:rPr>
            </w:pPr>
            <w:r>
              <w:rPr>
                <w:sz w:val="20"/>
              </w:rPr>
              <w:t>U</w:t>
            </w:r>
            <w:r w:rsidRPr="004D3A40">
              <w:rPr>
                <w:sz w:val="20"/>
              </w:rPr>
              <w:t>p to 70 calendar days from the date of departure</w:t>
            </w:r>
          </w:p>
        </w:tc>
      </w:tr>
      <w:tr w:rsidR="004D3A40" w:rsidRPr="001735A5" w14:paraId="783D7330" w14:textId="77777777" w:rsidTr="00A07473">
        <w:trPr>
          <w:trHeight w:val="431"/>
          <w:tblHeader/>
          <w:jc w:val="center"/>
        </w:trPr>
        <w:tc>
          <w:tcPr>
            <w:tcW w:w="938" w:type="pct"/>
            <w:vMerge/>
            <w:tcBorders>
              <w:left w:val="single" w:sz="8" w:space="0" w:color="FFFFFF"/>
              <w:bottom w:val="single" w:sz="8" w:space="0" w:color="FFFFFF"/>
              <w:right w:val="single" w:sz="8" w:space="0" w:color="FFFFFF"/>
            </w:tcBorders>
            <w:shd w:val="clear" w:color="auto" w:fill="A8D08D" w:themeFill="accent6" w:themeFillTint="99"/>
            <w:tcMar>
              <w:top w:w="15" w:type="dxa"/>
              <w:left w:w="108" w:type="dxa"/>
              <w:bottom w:w="0" w:type="dxa"/>
              <w:right w:w="108" w:type="dxa"/>
            </w:tcMar>
            <w:vAlign w:val="center"/>
          </w:tcPr>
          <w:p w14:paraId="3E5A6D58" w14:textId="77777777" w:rsidR="004D3A40" w:rsidRPr="00AA24AE" w:rsidRDefault="004D3A40" w:rsidP="00800650">
            <w:pPr>
              <w:widowControl w:val="0"/>
              <w:spacing w:after="0" w:line="276" w:lineRule="auto"/>
            </w:pPr>
          </w:p>
        </w:tc>
        <w:tc>
          <w:tcPr>
            <w:tcW w:w="2901" w:type="pct"/>
            <w:tcBorders>
              <w:top w:val="single" w:sz="8"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tcPr>
          <w:p w14:paraId="106A5EF5" w14:textId="77777777" w:rsidR="004D3A40" w:rsidRPr="00AA24AE" w:rsidRDefault="004D3A40" w:rsidP="00800650">
            <w:pPr>
              <w:widowControl w:val="0"/>
              <w:rPr>
                <w:sz w:val="20"/>
                <w:szCs w:val="18"/>
              </w:rPr>
            </w:pPr>
            <w:r w:rsidRPr="00AA24AE">
              <w:rPr>
                <w:sz w:val="20"/>
                <w:szCs w:val="18"/>
              </w:rPr>
              <w:t xml:space="preserve">If the care recipient is not opted in, the provider must create a ‘Commonwealth unspent amount on departure’ event </w:t>
            </w:r>
            <w:proofErr w:type="gramStart"/>
            <w:r w:rsidRPr="00AA24AE">
              <w:rPr>
                <w:sz w:val="20"/>
                <w:szCs w:val="18"/>
              </w:rPr>
              <w:t>in order to</w:t>
            </w:r>
            <w:proofErr w:type="gramEnd"/>
            <w:r w:rsidRPr="00AA24AE">
              <w:rPr>
                <w:sz w:val="20"/>
                <w:szCs w:val="18"/>
              </w:rPr>
              <w:t xml:space="preserve"> return the amount, and the Services Australia payment system reconciles the funds into the care recipient’s home care account.</w:t>
            </w:r>
          </w:p>
          <w:p w14:paraId="1F2C6C4B" w14:textId="77777777" w:rsidR="003624CF" w:rsidRPr="00AA24AE" w:rsidRDefault="004D3A40" w:rsidP="003624CF">
            <w:pPr>
              <w:widowControl w:val="0"/>
              <w:spacing w:after="0"/>
              <w:rPr>
                <w:rFonts w:ascii="Helvetica" w:hAnsi="Helvetica" w:cs="Helvetica"/>
                <w:color w:val="606060"/>
                <w:sz w:val="23"/>
                <w:szCs w:val="23"/>
              </w:rPr>
            </w:pPr>
            <w:r w:rsidRPr="00AA24AE">
              <w:rPr>
                <w:sz w:val="20"/>
                <w:szCs w:val="18"/>
              </w:rPr>
              <w:t>If the provider is not holding any Commonwealth unspent funds, they must report a $0 amount to Services Australia.</w:t>
            </w:r>
            <w:r w:rsidR="003624CF" w:rsidRPr="00AA24AE">
              <w:rPr>
                <w:rFonts w:ascii="Helvetica" w:hAnsi="Helvetica" w:cs="Helvetica"/>
                <w:color w:val="606060"/>
                <w:sz w:val="23"/>
                <w:szCs w:val="23"/>
              </w:rPr>
              <w:t xml:space="preserve"> </w:t>
            </w:r>
          </w:p>
          <w:p w14:paraId="2E21B158" w14:textId="7C4DC535" w:rsidR="004D3A40" w:rsidRPr="00AA24AE" w:rsidRDefault="003624CF" w:rsidP="003624CF">
            <w:pPr>
              <w:widowControl w:val="0"/>
              <w:spacing w:after="0"/>
              <w:rPr>
                <w:sz w:val="20"/>
                <w:szCs w:val="18"/>
              </w:rPr>
            </w:pPr>
            <w:r w:rsidRPr="00AA24AE">
              <w:rPr>
                <w:sz w:val="20"/>
                <w:szCs w:val="18"/>
              </w:rPr>
              <w:t xml:space="preserve">Providers should not adjust the </w:t>
            </w:r>
            <w:r w:rsidRPr="00AA24AE">
              <w:rPr>
                <w:b/>
                <w:bCs/>
                <w:sz w:val="20"/>
                <w:szCs w:val="18"/>
              </w:rPr>
              <w:t>unspent funds amount for a departed care recipient</w:t>
            </w:r>
            <w:r w:rsidRPr="00AA24AE">
              <w:rPr>
                <w:sz w:val="20"/>
                <w:szCs w:val="18"/>
              </w:rPr>
              <w:t xml:space="preserve"> in the departure month where the invoice amount is higher than the maximum contribution amount for that month. </w:t>
            </w:r>
            <w:r w:rsidR="00A07473" w:rsidRPr="00AA24AE">
              <w:rPr>
                <w:sz w:val="20"/>
                <w:szCs w:val="18"/>
              </w:rPr>
              <w:t>R</w:t>
            </w:r>
            <w:r w:rsidRPr="00AA24AE">
              <w:rPr>
                <w:sz w:val="20"/>
                <w:szCs w:val="18"/>
              </w:rPr>
              <w:t xml:space="preserve">efer to </w:t>
            </w:r>
            <w:hyperlink w:anchor="_How_is_the" w:history="1">
              <w:r w:rsidR="00A07473" w:rsidRPr="00AA24AE">
                <w:rPr>
                  <w:rStyle w:val="Hyperlink"/>
                  <w:sz w:val="20"/>
                  <w:szCs w:val="18"/>
                </w:rPr>
                <w:t>question 43</w:t>
              </w:r>
            </w:hyperlink>
            <w:r w:rsidRPr="00AA24AE">
              <w:rPr>
                <w:sz w:val="20"/>
                <w:szCs w:val="18"/>
              </w:rPr>
              <w:t xml:space="preserve"> for further details. </w:t>
            </w:r>
          </w:p>
        </w:tc>
        <w:tc>
          <w:tcPr>
            <w:tcW w:w="1161" w:type="pct"/>
            <w:vMerge/>
            <w:tcBorders>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tcPr>
          <w:p w14:paraId="5D9D57C8" w14:textId="77777777" w:rsidR="004D3A40" w:rsidRDefault="004D3A40" w:rsidP="00800650">
            <w:pPr>
              <w:widowControl w:val="0"/>
              <w:spacing w:after="0" w:line="276" w:lineRule="auto"/>
            </w:pPr>
          </w:p>
        </w:tc>
      </w:tr>
    </w:tbl>
    <w:p w14:paraId="7B75D97C" w14:textId="441CFFE9" w:rsidR="001735A5" w:rsidRPr="001735A5" w:rsidRDefault="001735A5" w:rsidP="00800650">
      <w:pPr>
        <w:pStyle w:val="ListParagraph"/>
        <w:keepNext/>
        <w:keepLines/>
        <w:widowControl w:val="0"/>
        <w:spacing w:before="240"/>
        <w:jc w:val="center"/>
        <w:rPr>
          <w:b/>
          <w:bCs/>
          <w:szCs w:val="22"/>
        </w:rPr>
      </w:pPr>
      <w:r w:rsidRPr="001735A5">
        <w:rPr>
          <w:b/>
          <w:bCs/>
          <w:szCs w:val="22"/>
        </w:rPr>
        <w:t>If the care recipient is exiting the HCP program</w:t>
      </w:r>
    </w:p>
    <w:tbl>
      <w:tblPr>
        <w:tblW w:w="5430" w:type="pct"/>
        <w:jc w:val="center"/>
        <w:tblCellMar>
          <w:left w:w="0" w:type="dxa"/>
          <w:right w:w="0" w:type="dxa"/>
        </w:tblCellMar>
        <w:tblLook w:val="04A0" w:firstRow="1" w:lastRow="0" w:firstColumn="1" w:lastColumn="0" w:noHBand="0" w:noVBand="1"/>
        <w:tblCaption w:val="Timing for reporting Commonwealth unspent funds"/>
        <w:tblDescription w:val="This table shows the timing for reporting Commonwealth unspent funds"/>
      </w:tblPr>
      <w:tblGrid>
        <w:gridCol w:w="1833"/>
        <w:gridCol w:w="5669"/>
        <w:gridCol w:w="2279"/>
      </w:tblGrid>
      <w:tr w:rsidR="004D3A40" w:rsidRPr="001735A5" w14:paraId="5C78C134" w14:textId="77777777" w:rsidTr="00AA24AE">
        <w:trPr>
          <w:trHeight w:val="214"/>
          <w:tblHeader/>
          <w:jc w:val="center"/>
        </w:trPr>
        <w:tc>
          <w:tcPr>
            <w:tcW w:w="937" w:type="pct"/>
            <w:tcBorders>
              <w:top w:val="single" w:sz="8" w:space="0" w:color="FFFFFF"/>
              <w:left w:val="single" w:sz="8" w:space="0" w:color="FFFFFF"/>
              <w:bottom w:val="single" w:sz="24" w:space="0" w:color="FFFFFF"/>
              <w:right w:val="single" w:sz="8" w:space="0" w:color="FFFFFF"/>
            </w:tcBorders>
            <w:shd w:val="clear" w:color="auto" w:fill="008A95"/>
            <w:tcMar>
              <w:top w:w="15" w:type="dxa"/>
              <w:left w:w="108" w:type="dxa"/>
              <w:bottom w:w="0" w:type="dxa"/>
              <w:right w:w="108" w:type="dxa"/>
            </w:tcMar>
            <w:vAlign w:val="center"/>
            <w:hideMark/>
          </w:tcPr>
          <w:p w14:paraId="73256D65" w14:textId="5038418C" w:rsidR="004D3A40" w:rsidRPr="006753B9" w:rsidRDefault="004D3A40" w:rsidP="00800650">
            <w:pPr>
              <w:keepNext/>
              <w:keepLines/>
              <w:widowControl w:val="0"/>
              <w:spacing w:after="0" w:line="276" w:lineRule="auto"/>
              <w:jc w:val="center"/>
              <w:rPr>
                <w:b/>
                <w:bCs/>
                <w:color w:val="FFFFFF" w:themeColor="background1"/>
                <w:sz w:val="20"/>
              </w:rPr>
            </w:pPr>
            <w:r w:rsidRPr="006753B9">
              <w:rPr>
                <w:b/>
                <w:bCs/>
                <w:color w:val="FFFFFF" w:themeColor="background1"/>
                <w:sz w:val="20"/>
              </w:rPr>
              <w:t>Portion</w:t>
            </w:r>
          </w:p>
        </w:tc>
        <w:tc>
          <w:tcPr>
            <w:tcW w:w="2898" w:type="pct"/>
            <w:tcBorders>
              <w:top w:val="single" w:sz="8" w:space="0" w:color="FFFFFF"/>
              <w:left w:val="single" w:sz="8" w:space="0" w:color="FFFFFF"/>
              <w:bottom w:val="single" w:sz="24" w:space="0" w:color="FFFFFF"/>
              <w:right w:val="single" w:sz="8" w:space="0" w:color="FFFFFF"/>
            </w:tcBorders>
            <w:shd w:val="clear" w:color="auto" w:fill="008A95"/>
            <w:tcMar>
              <w:top w:w="15" w:type="dxa"/>
              <w:left w:w="108" w:type="dxa"/>
              <w:bottom w:w="0" w:type="dxa"/>
              <w:right w:w="108" w:type="dxa"/>
            </w:tcMar>
            <w:vAlign w:val="center"/>
            <w:hideMark/>
          </w:tcPr>
          <w:p w14:paraId="7DE2A590" w14:textId="004823BC" w:rsidR="004D3A40" w:rsidRPr="006753B9" w:rsidRDefault="004D3A40" w:rsidP="00800650">
            <w:pPr>
              <w:keepNext/>
              <w:keepLines/>
              <w:widowControl w:val="0"/>
              <w:spacing w:after="0" w:line="276" w:lineRule="auto"/>
              <w:jc w:val="center"/>
              <w:rPr>
                <w:b/>
                <w:bCs/>
                <w:color w:val="FFFFFF" w:themeColor="background1"/>
                <w:sz w:val="20"/>
              </w:rPr>
            </w:pPr>
            <w:r w:rsidRPr="006753B9">
              <w:rPr>
                <w:b/>
                <w:bCs/>
                <w:color w:val="FFFFFF" w:themeColor="background1"/>
                <w:sz w:val="20"/>
              </w:rPr>
              <w:t>Where to return?</w:t>
            </w:r>
          </w:p>
        </w:tc>
        <w:tc>
          <w:tcPr>
            <w:tcW w:w="1165" w:type="pct"/>
            <w:tcBorders>
              <w:top w:val="single" w:sz="8" w:space="0" w:color="FFFFFF"/>
              <w:left w:val="single" w:sz="8" w:space="0" w:color="FFFFFF"/>
              <w:bottom w:val="single" w:sz="24" w:space="0" w:color="FFFFFF"/>
              <w:right w:val="single" w:sz="8" w:space="0" w:color="FFFFFF"/>
            </w:tcBorders>
            <w:shd w:val="clear" w:color="auto" w:fill="008A95"/>
            <w:tcMar>
              <w:top w:w="15" w:type="dxa"/>
              <w:left w:w="108" w:type="dxa"/>
              <w:bottom w:w="0" w:type="dxa"/>
              <w:right w:w="108" w:type="dxa"/>
            </w:tcMar>
            <w:vAlign w:val="center"/>
            <w:hideMark/>
          </w:tcPr>
          <w:p w14:paraId="7AF67879" w14:textId="29121113" w:rsidR="004D3A40" w:rsidRPr="006753B9" w:rsidRDefault="004D3A40" w:rsidP="00800650">
            <w:pPr>
              <w:keepNext/>
              <w:keepLines/>
              <w:widowControl w:val="0"/>
              <w:spacing w:after="0" w:line="276" w:lineRule="auto"/>
              <w:jc w:val="center"/>
              <w:rPr>
                <w:b/>
                <w:bCs/>
                <w:color w:val="FFFFFF" w:themeColor="background1"/>
                <w:sz w:val="20"/>
              </w:rPr>
            </w:pPr>
            <w:r w:rsidRPr="006753B9">
              <w:rPr>
                <w:b/>
                <w:bCs/>
                <w:color w:val="FFFFFF" w:themeColor="background1"/>
                <w:sz w:val="20"/>
              </w:rPr>
              <w:t>Timeframe to return</w:t>
            </w:r>
          </w:p>
        </w:tc>
      </w:tr>
      <w:tr w:rsidR="004D3A40" w:rsidRPr="001735A5" w14:paraId="55C62E0F" w14:textId="77777777" w:rsidTr="00394F47">
        <w:trPr>
          <w:trHeight w:val="521"/>
          <w:tblHeader/>
          <w:jc w:val="center"/>
        </w:trPr>
        <w:tc>
          <w:tcPr>
            <w:tcW w:w="937" w:type="pct"/>
            <w:vMerge w:val="restart"/>
            <w:tcBorders>
              <w:top w:val="single" w:sz="24" w:space="0" w:color="FFFFFF"/>
              <w:left w:val="single" w:sz="8" w:space="0" w:color="FFFFFF"/>
              <w:right w:val="single" w:sz="8" w:space="0" w:color="FFFFFF"/>
            </w:tcBorders>
            <w:shd w:val="clear" w:color="auto" w:fill="A8D08D" w:themeFill="accent6" w:themeFillTint="99"/>
            <w:tcMar>
              <w:top w:w="15" w:type="dxa"/>
              <w:left w:w="108" w:type="dxa"/>
              <w:bottom w:w="0" w:type="dxa"/>
              <w:right w:w="108" w:type="dxa"/>
            </w:tcMar>
            <w:vAlign w:val="center"/>
            <w:hideMark/>
          </w:tcPr>
          <w:p w14:paraId="1F98BC7D" w14:textId="062E0E6B" w:rsidR="004D3A40" w:rsidRPr="006753B9" w:rsidRDefault="004D3A40" w:rsidP="00800650">
            <w:pPr>
              <w:keepNext/>
              <w:keepLines/>
              <w:widowControl w:val="0"/>
              <w:spacing w:after="0" w:line="276" w:lineRule="auto"/>
              <w:rPr>
                <w:b/>
                <w:sz w:val="20"/>
              </w:rPr>
            </w:pPr>
            <w:r w:rsidRPr="006753B9">
              <w:rPr>
                <w:sz w:val="20"/>
              </w:rPr>
              <w:t>Care recipient portion of unspent funds</w:t>
            </w:r>
          </w:p>
        </w:tc>
        <w:tc>
          <w:tcPr>
            <w:tcW w:w="2898" w:type="pct"/>
            <w:tcBorders>
              <w:top w:val="single" w:sz="24"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hideMark/>
          </w:tcPr>
          <w:p w14:paraId="4183BDA9" w14:textId="05E5C704" w:rsidR="004D3A40" w:rsidRPr="006753B9" w:rsidRDefault="004D3A40" w:rsidP="00800650">
            <w:pPr>
              <w:keepNext/>
              <w:keepLines/>
              <w:widowControl w:val="0"/>
              <w:spacing w:after="0" w:line="276" w:lineRule="auto"/>
              <w:rPr>
                <w:bCs/>
                <w:sz w:val="20"/>
              </w:rPr>
            </w:pPr>
            <w:r w:rsidRPr="006753B9">
              <w:rPr>
                <w:sz w:val="20"/>
              </w:rPr>
              <w:t>The provider must return the care recipient portion to the care recipient</w:t>
            </w:r>
          </w:p>
        </w:tc>
        <w:tc>
          <w:tcPr>
            <w:tcW w:w="1165" w:type="pct"/>
            <w:tcBorders>
              <w:top w:val="single" w:sz="24"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hideMark/>
          </w:tcPr>
          <w:p w14:paraId="760FC359" w14:textId="021C9984" w:rsidR="004D3A40" w:rsidRPr="006753B9" w:rsidRDefault="004D3A40" w:rsidP="00800650">
            <w:pPr>
              <w:keepNext/>
              <w:keepLines/>
              <w:widowControl w:val="0"/>
              <w:spacing w:after="0" w:line="276" w:lineRule="auto"/>
              <w:rPr>
                <w:bCs/>
                <w:sz w:val="20"/>
              </w:rPr>
            </w:pPr>
            <w:r w:rsidRPr="006753B9">
              <w:rPr>
                <w:sz w:val="20"/>
              </w:rPr>
              <w:t xml:space="preserve">70 calendar days from the date of departure </w:t>
            </w:r>
          </w:p>
        </w:tc>
      </w:tr>
      <w:tr w:rsidR="004D3A40" w:rsidRPr="001735A5" w14:paraId="66101E88" w14:textId="77777777" w:rsidTr="00AA24AE">
        <w:trPr>
          <w:trHeight w:val="431"/>
          <w:tblHeader/>
          <w:jc w:val="center"/>
        </w:trPr>
        <w:tc>
          <w:tcPr>
            <w:tcW w:w="937" w:type="pct"/>
            <w:vMerge/>
            <w:tcBorders>
              <w:left w:val="single" w:sz="8" w:space="0" w:color="FFFFFF"/>
              <w:bottom w:val="single" w:sz="8" w:space="0" w:color="FFFFFF"/>
              <w:right w:val="single" w:sz="8" w:space="0" w:color="FFFFFF"/>
            </w:tcBorders>
            <w:shd w:val="clear" w:color="auto" w:fill="A8D08D" w:themeFill="accent6" w:themeFillTint="99"/>
            <w:tcMar>
              <w:top w:w="15" w:type="dxa"/>
              <w:left w:w="108" w:type="dxa"/>
              <w:bottom w:w="0" w:type="dxa"/>
              <w:right w:w="108" w:type="dxa"/>
            </w:tcMar>
            <w:vAlign w:val="center"/>
          </w:tcPr>
          <w:p w14:paraId="2EE1D1B0" w14:textId="77777777" w:rsidR="004D3A40" w:rsidRPr="006753B9" w:rsidRDefault="004D3A40" w:rsidP="00800650">
            <w:pPr>
              <w:keepNext/>
              <w:keepLines/>
              <w:widowControl w:val="0"/>
              <w:spacing w:after="0" w:line="276" w:lineRule="auto"/>
              <w:rPr>
                <w:b/>
                <w:sz w:val="20"/>
              </w:rPr>
            </w:pPr>
          </w:p>
        </w:tc>
        <w:tc>
          <w:tcPr>
            <w:tcW w:w="2898" w:type="pct"/>
            <w:tcBorders>
              <w:top w:val="single" w:sz="24"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tcPr>
          <w:p w14:paraId="2836176B" w14:textId="67E6502B" w:rsidR="004D3A40" w:rsidRPr="006753B9" w:rsidRDefault="004D3A40" w:rsidP="00800650">
            <w:pPr>
              <w:keepNext/>
              <w:keepLines/>
              <w:widowControl w:val="0"/>
              <w:spacing w:after="0" w:line="276" w:lineRule="auto"/>
              <w:rPr>
                <w:bCs/>
                <w:sz w:val="20"/>
              </w:rPr>
            </w:pPr>
            <w:r w:rsidRPr="006753B9">
              <w:rPr>
                <w:sz w:val="20"/>
              </w:rPr>
              <w:t>If the care recipient has passed away, the provider must return the care recipient portion to the care recipient’s estate</w:t>
            </w:r>
          </w:p>
        </w:tc>
        <w:tc>
          <w:tcPr>
            <w:tcW w:w="1165" w:type="pct"/>
            <w:tcBorders>
              <w:top w:val="single" w:sz="24"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tcPr>
          <w:p w14:paraId="3E2D2C7A" w14:textId="1EB6C68C" w:rsidR="004D3A40" w:rsidRPr="006753B9" w:rsidRDefault="004D3A40" w:rsidP="00800650">
            <w:pPr>
              <w:keepNext/>
              <w:keepLines/>
              <w:widowControl w:val="0"/>
              <w:spacing w:after="0" w:line="276" w:lineRule="auto"/>
              <w:rPr>
                <w:bCs/>
                <w:sz w:val="20"/>
              </w:rPr>
            </w:pPr>
            <w:r w:rsidRPr="006753B9">
              <w:rPr>
                <w:sz w:val="20"/>
              </w:rPr>
              <w:t>14 calendar days after the provider is shown the care recipient’s probate of the will or letters of administration of the estate</w:t>
            </w:r>
          </w:p>
        </w:tc>
      </w:tr>
      <w:tr w:rsidR="004D3A40" w:rsidRPr="00ED2606" w14:paraId="7A9C0B05" w14:textId="77777777" w:rsidTr="00AA24AE">
        <w:trPr>
          <w:trHeight w:val="431"/>
          <w:tblHeader/>
          <w:jc w:val="center"/>
        </w:trPr>
        <w:tc>
          <w:tcPr>
            <w:tcW w:w="937" w:type="pct"/>
            <w:vMerge w:val="restart"/>
            <w:tcBorders>
              <w:top w:val="single" w:sz="8" w:space="0" w:color="FFFFFF"/>
              <w:left w:val="single" w:sz="8" w:space="0" w:color="FFFFFF"/>
              <w:right w:val="single" w:sz="8" w:space="0" w:color="FFFFFF"/>
            </w:tcBorders>
            <w:shd w:val="clear" w:color="auto" w:fill="A8D08D" w:themeFill="accent6" w:themeFillTint="99"/>
            <w:tcMar>
              <w:top w:w="15" w:type="dxa"/>
              <w:left w:w="108" w:type="dxa"/>
              <w:bottom w:w="0" w:type="dxa"/>
              <w:right w:w="108" w:type="dxa"/>
            </w:tcMar>
            <w:vAlign w:val="center"/>
            <w:hideMark/>
          </w:tcPr>
          <w:p w14:paraId="13703BEC" w14:textId="3D7A852F" w:rsidR="004D3A40" w:rsidRPr="006753B9" w:rsidRDefault="004D3A40" w:rsidP="00800650">
            <w:pPr>
              <w:keepNext/>
              <w:keepLines/>
              <w:widowControl w:val="0"/>
              <w:spacing w:after="0" w:line="276" w:lineRule="auto"/>
              <w:rPr>
                <w:b/>
                <w:sz w:val="20"/>
              </w:rPr>
            </w:pPr>
            <w:r w:rsidRPr="006753B9">
              <w:rPr>
                <w:sz w:val="20"/>
              </w:rPr>
              <w:t>Commonwealth portion of unspent funds</w:t>
            </w:r>
          </w:p>
        </w:tc>
        <w:tc>
          <w:tcPr>
            <w:tcW w:w="2898" w:type="pct"/>
            <w:tcBorders>
              <w:top w:val="single" w:sz="8"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hideMark/>
          </w:tcPr>
          <w:p w14:paraId="4263A204" w14:textId="58DC678C" w:rsidR="004D3A40" w:rsidRPr="006753B9" w:rsidRDefault="004D3A40" w:rsidP="00800650">
            <w:pPr>
              <w:keepNext/>
              <w:keepLines/>
              <w:widowControl w:val="0"/>
              <w:spacing w:after="0" w:line="276" w:lineRule="auto"/>
              <w:rPr>
                <w:bCs/>
                <w:sz w:val="20"/>
              </w:rPr>
            </w:pPr>
            <w:r w:rsidRPr="006753B9">
              <w:rPr>
                <w:sz w:val="20"/>
              </w:rPr>
              <w:t>If the care recipient is opted in, the Services Australia payment system will reconcile the outstanding amount through the claim period and return it to the Commonwealth.</w:t>
            </w:r>
          </w:p>
        </w:tc>
        <w:tc>
          <w:tcPr>
            <w:tcW w:w="1165" w:type="pct"/>
            <w:vMerge w:val="restart"/>
            <w:tcBorders>
              <w:top w:val="single" w:sz="8" w:space="0" w:color="FFFFFF"/>
              <w:left w:val="single" w:sz="8" w:space="0" w:color="FFFFFF"/>
              <w:right w:val="single" w:sz="8" w:space="0" w:color="FFFFFF"/>
            </w:tcBorders>
            <w:shd w:val="clear" w:color="auto" w:fill="E2E2E2"/>
            <w:tcMar>
              <w:top w:w="15" w:type="dxa"/>
              <w:left w:w="108" w:type="dxa"/>
              <w:bottom w:w="0" w:type="dxa"/>
              <w:right w:w="108" w:type="dxa"/>
            </w:tcMar>
            <w:vAlign w:val="center"/>
            <w:hideMark/>
          </w:tcPr>
          <w:p w14:paraId="034B4B7F" w14:textId="175BB55D" w:rsidR="004D3A40" w:rsidRPr="006753B9" w:rsidRDefault="004D3A40" w:rsidP="00800650">
            <w:pPr>
              <w:keepNext/>
              <w:keepLines/>
              <w:widowControl w:val="0"/>
              <w:spacing w:after="0" w:line="276" w:lineRule="auto"/>
              <w:rPr>
                <w:bCs/>
                <w:sz w:val="20"/>
              </w:rPr>
            </w:pPr>
            <w:r w:rsidRPr="006753B9">
              <w:rPr>
                <w:sz w:val="20"/>
              </w:rPr>
              <w:t>Up to 70 calendar days from the date of departure</w:t>
            </w:r>
          </w:p>
        </w:tc>
      </w:tr>
      <w:tr w:rsidR="004D3A40" w:rsidRPr="00ED2606" w14:paraId="4151C33F" w14:textId="77777777" w:rsidTr="00AA24AE">
        <w:trPr>
          <w:trHeight w:val="1780"/>
          <w:tblHeader/>
          <w:jc w:val="center"/>
        </w:trPr>
        <w:tc>
          <w:tcPr>
            <w:tcW w:w="937" w:type="pct"/>
            <w:vMerge/>
            <w:tcBorders>
              <w:left w:val="single" w:sz="8" w:space="0" w:color="FFFFFF"/>
              <w:bottom w:val="single" w:sz="8" w:space="0" w:color="FFFFFF"/>
              <w:right w:val="single" w:sz="8" w:space="0" w:color="FFFFFF"/>
            </w:tcBorders>
            <w:shd w:val="clear" w:color="auto" w:fill="A8D08D" w:themeFill="accent6" w:themeFillTint="99"/>
            <w:tcMar>
              <w:top w:w="15" w:type="dxa"/>
              <w:left w:w="108" w:type="dxa"/>
              <w:bottom w:w="0" w:type="dxa"/>
              <w:right w:w="108" w:type="dxa"/>
            </w:tcMar>
            <w:vAlign w:val="center"/>
          </w:tcPr>
          <w:p w14:paraId="39502C86" w14:textId="77777777" w:rsidR="004D3A40" w:rsidRPr="009E6F63" w:rsidRDefault="004D3A40" w:rsidP="00800650">
            <w:pPr>
              <w:keepNext/>
              <w:keepLines/>
              <w:widowControl w:val="0"/>
              <w:spacing w:after="0" w:line="276" w:lineRule="auto"/>
            </w:pPr>
          </w:p>
        </w:tc>
        <w:tc>
          <w:tcPr>
            <w:tcW w:w="2898" w:type="pct"/>
            <w:tcBorders>
              <w:top w:val="single" w:sz="8" w:space="0" w:color="FFFFFF"/>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tcPr>
          <w:p w14:paraId="185079E0" w14:textId="77777777" w:rsidR="004D3A40" w:rsidRPr="004D3A40" w:rsidRDefault="004D3A40" w:rsidP="00800650">
            <w:pPr>
              <w:keepNext/>
              <w:keepLines/>
              <w:widowControl w:val="0"/>
              <w:rPr>
                <w:sz w:val="20"/>
                <w:szCs w:val="18"/>
              </w:rPr>
            </w:pPr>
            <w:r w:rsidRPr="004D3A40">
              <w:rPr>
                <w:sz w:val="20"/>
                <w:szCs w:val="18"/>
              </w:rPr>
              <w:t xml:space="preserve">If the care recipient is not opted in, the provider must create a ‘Commonwealth unspent amount on departure’ event </w:t>
            </w:r>
            <w:proofErr w:type="gramStart"/>
            <w:r w:rsidRPr="004D3A40">
              <w:rPr>
                <w:sz w:val="20"/>
                <w:szCs w:val="18"/>
              </w:rPr>
              <w:t>in order to</w:t>
            </w:r>
            <w:proofErr w:type="gramEnd"/>
            <w:r w:rsidRPr="004D3A40">
              <w:rPr>
                <w:sz w:val="20"/>
                <w:szCs w:val="18"/>
              </w:rPr>
              <w:t xml:space="preserve"> return the amount, and the Services Australia payment system reconciles the funds into the care recipient’s home care account.</w:t>
            </w:r>
          </w:p>
          <w:p w14:paraId="53C8DEE7" w14:textId="6260452A" w:rsidR="004D3A40" w:rsidRPr="004D3A40" w:rsidRDefault="004D3A40" w:rsidP="00800650">
            <w:pPr>
              <w:keepNext/>
              <w:keepLines/>
              <w:widowControl w:val="0"/>
              <w:spacing w:after="0" w:line="276" w:lineRule="auto"/>
              <w:rPr>
                <w:sz w:val="20"/>
                <w:szCs w:val="18"/>
              </w:rPr>
            </w:pPr>
            <w:r w:rsidRPr="004D3A40">
              <w:rPr>
                <w:sz w:val="20"/>
                <w:szCs w:val="18"/>
              </w:rPr>
              <w:t>If the provider is not holding any Commonwealth unspent funds, they must report a $0 amount to Services Australia.</w:t>
            </w:r>
          </w:p>
        </w:tc>
        <w:tc>
          <w:tcPr>
            <w:tcW w:w="1165" w:type="pct"/>
            <w:vMerge/>
            <w:tcBorders>
              <w:left w:val="single" w:sz="8" w:space="0" w:color="FFFFFF"/>
              <w:bottom w:val="single" w:sz="8" w:space="0" w:color="FFFFFF"/>
              <w:right w:val="single" w:sz="8" w:space="0" w:color="FFFFFF"/>
            </w:tcBorders>
            <w:shd w:val="clear" w:color="auto" w:fill="E2E2E2"/>
            <w:tcMar>
              <w:top w:w="15" w:type="dxa"/>
              <w:left w:w="108" w:type="dxa"/>
              <w:bottom w:w="0" w:type="dxa"/>
              <w:right w:w="108" w:type="dxa"/>
            </w:tcMar>
            <w:vAlign w:val="center"/>
          </w:tcPr>
          <w:p w14:paraId="5C1C3608" w14:textId="77777777" w:rsidR="004D3A40" w:rsidRDefault="004D3A40" w:rsidP="00800650">
            <w:pPr>
              <w:keepNext/>
              <w:keepLines/>
              <w:widowControl w:val="0"/>
              <w:spacing w:after="0" w:line="276" w:lineRule="auto"/>
            </w:pPr>
          </w:p>
        </w:tc>
      </w:tr>
    </w:tbl>
    <w:p w14:paraId="4761156E" w14:textId="351585CF" w:rsidR="008C2B67" w:rsidRDefault="00A77DCB" w:rsidP="00A77DCB">
      <w:pPr>
        <w:spacing w:before="240"/>
      </w:pPr>
      <w:r>
        <w:t xml:space="preserve">For further information and worked examples of calculating unspent funds please refer to the </w:t>
      </w:r>
      <w:hyperlink r:id="rId19" w:history="1">
        <w:r w:rsidRPr="008C2B67">
          <w:rPr>
            <w:rStyle w:val="Hyperlink"/>
          </w:rPr>
          <w:t>Unspent Funds Fact Sheet</w:t>
        </w:r>
      </w:hyperlink>
      <w:r w:rsidR="00A00230">
        <w:t xml:space="preserve"> available on the </w:t>
      </w:r>
      <w:r w:rsidR="002C5AB8" w:rsidRPr="007F4EB7">
        <w:t xml:space="preserve">Improved Payment Arrangements </w:t>
      </w:r>
      <w:r w:rsidR="00A00230">
        <w:t>webpage</w:t>
      </w:r>
      <w:r>
        <w:t>.</w:t>
      </w:r>
    </w:p>
    <w:p w14:paraId="484FB054" w14:textId="1404E2EC" w:rsidR="00E42BAC" w:rsidRPr="00E42BAC" w:rsidRDefault="00E42BAC" w:rsidP="00AA67AC">
      <w:pPr>
        <w:pStyle w:val="Heading2"/>
        <w:numPr>
          <w:ilvl w:val="0"/>
          <w:numId w:val="5"/>
        </w:numPr>
        <w:ind w:left="284"/>
      </w:pPr>
      <w:bookmarkStart w:id="80" w:name="_What_is_the_3"/>
      <w:bookmarkEnd w:id="80"/>
      <w:r w:rsidRPr="00E42BAC">
        <w:lastRenderedPageBreak/>
        <w:t>What is the 70</w:t>
      </w:r>
      <w:r w:rsidR="00D628FE">
        <w:t>-</w:t>
      </w:r>
      <w:r w:rsidRPr="00E42BAC">
        <w:t>day quarantine period?</w:t>
      </w:r>
    </w:p>
    <w:p w14:paraId="5F7FC731" w14:textId="77777777" w:rsidR="006C5D51" w:rsidRDefault="00B11641" w:rsidP="00E337AC">
      <w:r w:rsidRPr="00D00F17">
        <w:t xml:space="preserve">When a care recipient departs care or transfers to a new service (even under the same approved provider), providers have </w:t>
      </w:r>
      <w:r w:rsidRPr="008C2B67">
        <w:rPr>
          <w:u w:val="single"/>
        </w:rPr>
        <w:t>up to 70 days</w:t>
      </w:r>
      <w:r w:rsidR="00AD4210">
        <w:t xml:space="preserve"> (calendar days)</w:t>
      </w:r>
      <w:r w:rsidRPr="00D00F17">
        <w:t xml:space="preserve"> from a care recipient’s departure date to adjust their claims (see questions </w:t>
      </w:r>
      <w:hyperlink w:anchor="_If_an_invoice" w:history="1">
        <w:r w:rsidR="0016005D" w:rsidRPr="007D1E48">
          <w:rPr>
            <w:rStyle w:val="Hyperlink"/>
            <w:color w:val="0070C0"/>
          </w:rPr>
          <w:t>45</w:t>
        </w:r>
      </w:hyperlink>
      <w:r w:rsidRPr="00D00F17">
        <w:t xml:space="preserve"> </w:t>
      </w:r>
      <w:r w:rsidR="00A00230">
        <w:t xml:space="preserve">and </w:t>
      </w:r>
      <w:hyperlink w:anchor="_If_a_provider" w:history="1">
        <w:r w:rsidR="00A00230" w:rsidRPr="00A00230">
          <w:rPr>
            <w:rStyle w:val="Hyperlink"/>
          </w:rPr>
          <w:t>46</w:t>
        </w:r>
      </w:hyperlink>
      <w:r w:rsidR="00A00230">
        <w:t xml:space="preserve"> </w:t>
      </w:r>
      <w:r w:rsidRPr="00D00F17">
        <w:t xml:space="preserve">for more information on adjusting previous claims). </w:t>
      </w:r>
    </w:p>
    <w:p w14:paraId="53056350" w14:textId="41554EA1" w:rsidR="006753B9" w:rsidRDefault="006C5D51" w:rsidP="00E337AC">
      <w:r>
        <w:t xml:space="preserve">Any adjustments need to be submitted with the monthly claim. </w:t>
      </w:r>
      <w:r w:rsidR="00330BFE">
        <w:t xml:space="preserve">This means in some situations a provider may have </w:t>
      </w:r>
      <w:r w:rsidR="00890F23" w:rsidRPr="008C2B67">
        <w:rPr>
          <w:u w:val="single"/>
        </w:rPr>
        <w:t>less</w:t>
      </w:r>
      <w:r w:rsidR="00890F23">
        <w:t xml:space="preserve"> </w:t>
      </w:r>
      <w:r w:rsidR="008C2B67">
        <w:t>than 70 days’ time</w:t>
      </w:r>
      <w:r w:rsidR="00890F23">
        <w:t xml:space="preserve"> to claim due to a departure occurring in the middle of a claim month. </w:t>
      </w:r>
    </w:p>
    <w:p w14:paraId="3379E495" w14:textId="77777777" w:rsidR="00802DF4" w:rsidRDefault="00B11641" w:rsidP="00E337AC">
      <w:r w:rsidRPr="00D00F17">
        <w:t>After this period, providers will not have access to the care recipient’s home care account.</w:t>
      </w:r>
      <w:r w:rsidR="00DA5E70">
        <w:t xml:space="preserve"> </w:t>
      </w:r>
    </w:p>
    <w:p w14:paraId="48460E4F" w14:textId="5C43E375" w:rsidR="00B11641" w:rsidRPr="00D00F17" w:rsidRDefault="00B11641" w:rsidP="00E337AC">
      <w:r w:rsidRPr="00D00F17">
        <w:t>Providers should be claiming for the cost of care and services provided to the care recipient in the claim period via the existing monthly claim cycle. This ensures providers will have minimal adjustments to make once the care recipient departs care.</w:t>
      </w:r>
    </w:p>
    <w:p w14:paraId="429FB767" w14:textId="77777777" w:rsidR="00B11641" w:rsidRPr="00D00F17" w:rsidRDefault="00B11641" w:rsidP="00E337AC">
      <w:r w:rsidRPr="00D00F17">
        <w:t>If a care recipient is transferring to a new service, the new service provider will have access to the transferred balance of the home care account on day 71.</w:t>
      </w:r>
    </w:p>
    <w:p w14:paraId="77EEA355" w14:textId="37029B4A" w:rsidR="00B11641" w:rsidRPr="0007358F" w:rsidRDefault="00B11641" w:rsidP="00E337AC">
      <w:r w:rsidRPr="00D00F17">
        <w:t xml:space="preserve">Electronic claiming is </w:t>
      </w:r>
      <w:r w:rsidR="007D185D">
        <w:t xml:space="preserve">generally </w:t>
      </w:r>
      <w:r w:rsidRPr="00D00F17">
        <w:t>approved one business day after submitting the claim. A longer lead time applies for providers submitting paper-based claims, as these have a 10-day</w:t>
      </w:r>
      <w:r w:rsidR="00055546">
        <w:t xml:space="preserve"> (</w:t>
      </w:r>
      <w:r w:rsidR="00710867">
        <w:t>business</w:t>
      </w:r>
      <w:r w:rsidR="00055546">
        <w:t xml:space="preserve"> days)</w:t>
      </w:r>
      <w:r w:rsidRPr="00D00F17">
        <w:t xml:space="preserve"> turnaround. When finalising claims, the Department encourages providers to factor in these timeframes when accounting for the 70-day </w:t>
      </w:r>
      <w:r w:rsidR="00AD4210">
        <w:t>(calendar days)</w:t>
      </w:r>
      <w:r w:rsidR="00AD4210" w:rsidRPr="00D00F17">
        <w:t xml:space="preserve"> </w:t>
      </w:r>
      <w:r w:rsidRPr="00D00F17">
        <w:t>quarantine.</w:t>
      </w:r>
      <w:r w:rsidR="00E337AC" w:rsidRPr="00D00F17">
        <w:t xml:space="preserve"> </w:t>
      </w:r>
    </w:p>
    <w:p w14:paraId="1AC54700" w14:textId="1D419C3A" w:rsidR="00802DF4" w:rsidRPr="00802DF4" w:rsidRDefault="00E42BAC" w:rsidP="00802DF4">
      <w:r w:rsidRPr="00D00F17">
        <w:t xml:space="preserve">Providers may wish to discuss with care recipients any large purchases they wish to make </w:t>
      </w:r>
      <w:r w:rsidR="00E24DB7" w:rsidRPr="00D00F17">
        <w:t>before</w:t>
      </w:r>
      <w:r w:rsidRPr="00D00F17">
        <w:t xml:space="preserve"> the transfer, to ensure that funds are available and not quarantined.</w:t>
      </w:r>
      <w:r w:rsidRPr="00E42BAC">
        <w:t xml:space="preserve"> </w:t>
      </w:r>
      <w:bookmarkStart w:id="81" w:name="_Toc77684743"/>
      <w:bookmarkStart w:id="82" w:name="_Toc77684844"/>
      <w:bookmarkStart w:id="83" w:name="_Toc77762340"/>
      <w:bookmarkStart w:id="84" w:name="_Toc77762462"/>
      <w:bookmarkStart w:id="85" w:name="_Toc77762547"/>
      <w:bookmarkStart w:id="86" w:name="_Toc77762632"/>
      <w:bookmarkEnd w:id="81"/>
      <w:bookmarkEnd w:id="82"/>
      <w:bookmarkEnd w:id="83"/>
      <w:bookmarkEnd w:id="84"/>
      <w:bookmarkEnd w:id="85"/>
      <w:bookmarkEnd w:id="86"/>
    </w:p>
    <w:p w14:paraId="7D0E8488" w14:textId="09E78A70" w:rsidR="00361BD3" w:rsidRPr="00AA24AE" w:rsidRDefault="007D185D" w:rsidP="00361BD3">
      <w:pPr>
        <w:pStyle w:val="Heading2"/>
        <w:numPr>
          <w:ilvl w:val="0"/>
          <w:numId w:val="5"/>
        </w:numPr>
        <w:ind w:left="284"/>
      </w:pPr>
      <w:r w:rsidRPr="00AA24AE">
        <w:t>How do I claim for costs for care recipients outside of the 7</w:t>
      </w:r>
      <w:r w:rsidR="00361BD3" w:rsidRPr="00AA24AE">
        <w:t>0</w:t>
      </w:r>
      <w:r w:rsidR="00FD44AB">
        <w:t>-</w:t>
      </w:r>
      <w:r w:rsidRPr="00AA24AE">
        <w:t xml:space="preserve">day period? </w:t>
      </w:r>
    </w:p>
    <w:p w14:paraId="7FE74DDD" w14:textId="43CEBDB8" w:rsidR="00802DF4" w:rsidRPr="00AA24AE" w:rsidRDefault="00361BD3" w:rsidP="00802DF4">
      <w:pPr>
        <w:pStyle w:val="ListParagraph"/>
        <w:numPr>
          <w:ilvl w:val="0"/>
          <w:numId w:val="27"/>
        </w:numPr>
      </w:pPr>
      <w:r w:rsidRPr="00AA24AE">
        <w:t>Where a p</w:t>
      </w:r>
      <w:r w:rsidR="00802DF4" w:rsidRPr="00AA24AE">
        <w:t xml:space="preserve">rovider </w:t>
      </w:r>
      <w:r w:rsidRPr="00AA24AE">
        <w:t xml:space="preserve">did not </w:t>
      </w:r>
      <w:r w:rsidR="00802DF4" w:rsidRPr="00AA24AE">
        <w:t>finalise a claim that include</w:t>
      </w:r>
      <w:r w:rsidR="007F1CB7" w:rsidRPr="00AA24AE">
        <w:t>d</w:t>
      </w:r>
      <w:r w:rsidR="00802DF4" w:rsidRPr="00AA24AE">
        <w:t xml:space="preserve"> a departed care recipient with an outstanding invoice amount </w:t>
      </w:r>
      <w:r w:rsidRPr="00AA24AE">
        <w:t xml:space="preserve">within the </w:t>
      </w:r>
      <w:r w:rsidR="00802DF4" w:rsidRPr="00AA24AE">
        <w:t>70-day period</w:t>
      </w:r>
      <w:r w:rsidRPr="00AA24AE">
        <w:t xml:space="preserve"> their claim may be unable to be submitted</w:t>
      </w:r>
      <w:r w:rsidR="00802DF4" w:rsidRPr="00AA24AE">
        <w:t>. Services Australia</w:t>
      </w:r>
      <w:r w:rsidRPr="00AA24AE">
        <w:t xml:space="preserve"> has</w:t>
      </w:r>
      <w:r w:rsidR="00802DF4" w:rsidRPr="00AA24AE">
        <w:t xml:space="preserve"> implement</w:t>
      </w:r>
      <w:r w:rsidR="007F1CB7" w:rsidRPr="00AA24AE">
        <w:t>ed</w:t>
      </w:r>
      <w:r w:rsidR="00802DF4" w:rsidRPr="00AA24AE">
        <w:t xml:space="preserve"> a system change to </w:t>
      </w:r>
      <w:r w:rsidRPr="00AA24AE">
        <w:t xml:space="preserve">rectify this issue but if you </w:t>
      </w:r>
      <w:r w:rsidR="00802DF4" w:rsidRPr="00AA24AE">
        <w:t>still cannot submit a claim, please call Services Australia’s aged care claims and payments enquiry line on 1800 195 206 (from 8.30am to 5pm AEDT, Monday to Friday) to have this resolved promptly.</w:t>
      </w:r>
    </w:p>
    <w:p w14:paraId="504EC1AE" w14:textId="1AF7AC0A" w:rsidR="00802DF4" w:rsidRPr="00AA24AE" w:rsidRDefault="00802DF4" w:rsidP="007F1CB7">
      <w:pPr>
        <w:pStyle w:val="ListParagraph"/>
        <w:numPr>
          <w:ilvl w:val="0"/>
          <w:numId w:val="27"/>
        </w:numPr>
      </w:pPr>
      <w:r w:rsidRPr="00AA24AE">
        <w:t xml:space="preserve">If </w:t>
      </w:r>
      <w:r w:rsidR="007F1CB7" w:rsidRPr="00AA24AE">
        <w:t>a provider</w:t>
      </w:r>
      <w:r w:rsidRPr="00AA24AE">
        <w:t xml:space="preserve"> finalise</w:t>
      </w:r>
      <w:r w:rsidR="007F1CB7" w:rsidRPr="00AA24AE">
        <w:t>s</w:t>
      </w:r>
      <w:r w:rsidRPr="00AA24AE">
        <w:t xml:space="preserve"> a claim with a departed care recipient after the 70-day period, </w:t>
      </w:r>
      <w:r w:rsidR="007F1CB7" w:rsidRPr="00AA24AE">
        <w:t>they</w:t>
      </w:r>
      <w:r w:rsidRPr="00AA24AE">
        <w:t xml:space="preserve"> will not be paid that amount</w:t>
      </w:r>
      <w:r w:rsidR="00361BD3" w:rsidRPr="00AA24AE">
        <w:t xml:space="preserve"> as part of their monthly claim</w:t>
      </w:r>
      <w:r w:rsidRPr="00AA24AE">
        <w:t xml:space="preserve">. Invoice amounts submitted outside the 70-day period will be considered on a case-by-case basis. </w:t>
      </w:r>
      <w:r w:rsidR="007F1CB7" w:rsidRPr="00AA24AE">
        <w:t>Providers</w:t>
      </w:r>
      <w:r w:rsidRPr="00AA24AE">
        <w:t xml:space="preserve"> can call Services Australia or email the claim details aged.care.liaison@servicesaustralia.gov.au for consideration.</w:t>
      </w:r>
    </w:p>
    <w:p w14:paraId="6F648656" w14:textId="481D3CAE" w:rsidR="00A81A84" w:rsidRPr="00802DF4" w:rsidRDefault="00A81A84" w:rsidP="00A81A84">
      <w:r w:rsidRPr="00AA24AE">
        <w:t xml:space="preserve">We understand that in some cases delays are difficult to avoid, particularly with the current impact of the COVID-19 pandemic. However, we expect that providers are adjusting business processes to ensure departures are processed within 70 days. </w:t>
      </w:r>
      <w:r w:rsidR="00B55179" w:rsidRPr="00AA24AE">
        <w:t>Providers</w:t>
      </w:r>
      <w:r w:rsidRPr="00AA24AE">
        <w:t xml:space="preserve"> may need to manage </w:t>
      </w:r>
      <w:r w:rsidR="00B55179" w:rsidRPr="00AA24AE">
        <w:t>their</w:t>
      </w:r>
      <w:r w:rsidRPr="00AA24AE">
        <w:t xml:space="preserve"> suppliers to ensure they meet </w:t>
      </w:r>
      <w:r w:rsidR="00B55179" w:rsidRPr="00AA24AE">
        <w:t>the providers</w:t>
      </w:r>
      <w:r w:rsidRPr="00AA24AE">
        <w:t xml:space="preserve"> deadlines, and to ensure </w:t>
      </w:r>
      <w:r w:rsidR="00B55179" w:rsidRPr="00AA24AE">
        <w:t>their</w:t>
      </w:r>
      <w:r w:rsidRPr="00AA24AE">
        <w:t xml:space="preserve"> payments are not held up.</w:t>
      </w:r>
    </w:p>
    <w:p w14:paraId="2C2118C6" w14:textId="6643033D" w:rsidR="00503DA1" w:rsidRPr="007F4EB7" w:rsidRDefault="00503DA1" w:rsidP="00AA67AC">
      <w:pPr>
        <w:pStyle w:val="Heading2"/>
        <w:numPr>
          <w:ilvl w:val="0"/>
          <w:numId w:val="5"/>
        </w:numPr>
        <w:ind w:left="284"/>
      </w:pPr>
      <w:r w:rsidRPr="007F4EB7">
        <w:t xml:space="preserve">If a care recipient </w:t>
      </w:r>
      <w:r w:rsidR="006C05F3">
        <w:t>move</w:t>
      </w:r>
      <w:r w:rsidR="006C05F3" w:rsidRPr="007F4EB7">
        <w:t>s</w:t>
      </w:r>
      <w:r w:rsidR="006C05F3">
        <w:t xml:space="preserve"> to</w:t>
      </w:r>
      <w:r w:rsidR="006C05F3" w:rsidRPr="007F4EB7">
        <w:t xml:space="preserve"> </w:t>
      </w:r>
      <w:r w:rsidRPr="007F4EB7">
        <w:t>a new provider and their funds are in the 70</w:t>
      </w:r>
      <w:r w:rsidR="00D628FE">
        <w:t>-</w:t>
      </w:r>
      <w:r w:rsidRPr="007F4EB7">
        <w:t>day quarantine period, does the new provider have to pay for the care recipient</w:t>
      </w:r>
      <w:r w:rsidR="006C05F3">
        <w:t>’</w:t>
      </w:r>
      <w:r w:rsidRPr="007F4EB7">
        <w:t>s services out of their own pocket?</w:t>
      </w:r>
    </w:p>
    <w:p w14:paraId="31CE47BA" w14:textId="77777777" w:rsidR="006C5D51" w:rsidRDefault="0014723F" w:rsidP="00393E2D">
      <w:r>
        <w:t>The new p</w:t>
      </w:r>
      <w:r w:rsidR="00503DA1" w:rsidRPr="007F4EB7">
        <w:t xml:space="preserve">rovider will receive </w:t>
      </w:r>
      <w:r>
        <w:t>G</w:t>
      </w:r>
      <w:r w:rsidR="00503DA1" w:rsidRPr="007F4EB7">
        <w:t xml:space="preserve">overnment subsidy for </w:t>
      </w:r>
      <w:r w:rsidR="00F57CF1">
        <w:t>the</w:t>
      </w:r>
      <w:r w:rsidR="00503DA1" w:rsidRPr="007F4EB7">
        <w:t xml:space="preserve"> care recipient</w:t>
      </w:r>
      <w:r>
        <w:t>,</w:t>
      </w:r>
      <w:r w:rsidR="00503DA1" w:rsidRPr="007F4EB7">
        <w:t xml:space="preserve"> which should cover </w:t>
      </w:r>
      <w:r>
        <w:t xml:space="preserve">the </w:t>
      </w:r>
      <w:r w:rsidR="00503DA1" w:rsidRPr="007F4EB7">
        <w:t>care and services needed during the 70</w:t>
      </w:r>
      <w:r w:rsidR="00D628FE">
        <w:t>-</w:t>
      </w:r>
      <w:r w:rsidR="00503DA1" w:rsidRPr="007F4EB7">
        <w:t xml:space="preserve">day </w:t>
      </w:r>
      <w:r w:rsidR="00AD4210">
        <w:t>(calendar days)</w:t>
      </w:r>
      <w:r w:rsidR="00AD4210" w:rsidRPr="00D00F17">
        <w:t xml:space="preserve"> </w:t>
      </w:r>
      <w:r w:rsidR="00503DA1" w:rsidRPr="007F4EB7">
        <w:t xml:space="preserve">quarantine period. </w:t>
      </w:r>
    </w:p>
    <w:p w14:paraId="3F5717FD" w14:textId="3700B937" w:rsidR="00B86810" w:rsidRDefault="00F57CF1" w:rsidP="00393E2D">
      <w:r>
        <w:t>To ensure</w:t>
      </w:r>
      <w:r w:rsidR="0014723F">
        <w:t xml:space="preserve"> the old provider can finalise their accounts, t</w:t>
      </w:r>
      <w:r w:rsidR="00503DA1" w:rsidRPr="007F4EB7">
        <w:t xml:space="preserve">he </w:t>
      </w:r>
      <w:r w:rsidR="0014723F">
        <w:t xml:space="preserve">new </w:t>
      </w:r>
      <w:r w:rsidR="00503DA1" w:rsidRPr="007F4EB7">
        <w:t xml:space="preserve">provider will be unable to access the </w:t>
      </w:r>
      <w:r w:rsidR="006C05F3">
        <w:t>home care account balance</w:t>
      </w:r>
      <w:r w:rsidR="00503DA1" w:rsidRPr="007F4EB7">
        <w:t xml:space="preserve"> until they are out of </w:t>
      </w:r>
      <w:r>
        <w:t>the 70</w:t>
      </w:r>
      <w:r w:rsidR="00D628FE">
        <w:t>-</w:t>
      </w:r>
      <w:r>
        <w:t xml:space="preserve">day </w:t>
      </w:r>
      <w:r w:rsidR="00AD4210">
        <w:t>(calendar days)</w:t>
      </w:r>
      <w:r w:rsidR="00AD4210" w:rsidRPr="00D00F17">
        <w:t xml:space="preserve"> </w:t>
      </w:r>
      <w:r w:rsidR="00503DA1" w:rsidRPr="007F4EB7">
        <w:t>quarantine</w:t>
      </w:r>
      <w:r w:rsidR="0014723F">
        <w:t>.</w:t>
      </w:r>
    </w:p>
    <w:p w14:paraId="7317B683" w14:textId="3ECFDB7C" w:rsidR="00C1783D" w:rsidRPr="00D1163E" w:rsidRDefault="006C05F3">
      <w:r w:rsidRPr="00E42BAC">
        <w:t xml:space="preserve">The </w:t>
      </w:r>
      <w:r>
        <w:t xml:space="preserve">new service </w:t>
      </w:r>
      <w:r w:rsidRPr="00E42BAC">
        <w:t xml:space="preserve">provider and care recipient may wish to discuss </w:t>
      </w:r>
      <w:r w:rsidR="00983D37">
        <w:t>minimising large purchases until</w:t>
      </w:r>
      <w:r>
        <w:t xml:space="preserve"> </w:t>
      </w:r>
      <w:r w:rsidR="00983D37">
        <w:t xml:space="preserve">the quarantine period has ended. </w:t>
      </w:r>
    </w:p>
    <w:p w14:paraId="4467F340" w14:textId="1343A952" w:rsidR="00503DA1" w:rsidRPr="007F4EB7" w:rsidRDefault="00503DA1" w:rsidP="0084582A">
      <w:pPr>
        <w:pStyle w:val="Heading2"/>
        <w:keepLines/>
        <w:numPr>
          <w:ilvl w:val="0"/>
          <w:numId w:val="5"/>
        </w:numPr>
        <w:ind w:left="284"/>
      </w:pPr>
      <w:bookmarkStart w:id="87" w:name="_How_is_the"/>
      <w:bookmarkEnd w:id="87"/>
      <w:r w:rsidRPr="007F4EB7">
        <w:lastRenderedPageBreak/>
        <w:t xml:space="preserve">How </w:t>
      </w:r>
      <w:r w:rsidR="00361BD3">
        <w:t xml:space="preserve">is </w:t>
      </w:r>
      <w:r w:rsidRPr="007F4EB7">
        <w:t xml:space="preserve">the </w:t>
      </w:r>
      <w:r w:rsidR="005D1470">
        <w:t xml:space="preserve">Commonwealth and </w:t>
      </w:r>
      <w:r w:rsidRPr="007F4EB7">
        <w:t xml:space="preserve">care recipient portion of unspent funds </w:t>
      </w:r>
      <w:r w:rsidR="005D1470">
        <w:t xml:space="preserve">handled </w:t>
      </w:r>
      <w:r w:rsidRPr="007F4EB7">
        <w:t xml:space="preserve">when </w:t>
      </w:r>
      <w:r w:rsidR="00361BD3">
        <w:t>care recipients</w:t>
      </w:r>
      <w:r w:rsidR="00361BD3" w:rsidRPr="007F4EB7">
        <w:t xml:space="preserve"> </w:t>
      </w:r>
      <w:r w:rsidRPr="007F4EB7">
        <w:t xml:space="preserve">exit or transfer </w:t>
      </w:r>
      <w:r w:rsidR="00F57CF1">
        <w:t>service providers</w:t>
      </w:r>
      <w:r w:rsidRPr="007F4EB7">
        <w:t>?</w:t>
      </w:r>
    </w:p>
    <w:p w14:paraId="67259E3F" w14:textId="5F46876C" w:rsidR="00F57CF1" w:rsidRDefault="00503DA1" w:rsidP="00361BD3">
      <w:r w:rsidRPr="007F4EB7">
        <w:t>I</w:t>
      </w:r>
      <w:r w:rsidR="00361BD3">
        <w:t>PA does</w:t>
      </w:r>
      <w:r w:rsidRPr="007F4EB7">
        <w:t xml:space="preserve"> not chang</w:t>
      </w:r>
      <w:r w:rsidR="00720E9D">
        <w:t>e</w:t>
      </w:r>
      <w:r w:rsidRPr="007F4EB7">
        <w:t xml:space="preserve"> how </w:t>
      </w:r>
      <w:r w:rsidR="0014723F">
        <w:t xml:space="preserve">the </w:t>
      </w:r>
      <w:r w:rsidR="0014723F" w:rsidRPr="00361BD3">
        <w:rPr>
          <w:b/>
          <w:bCs/>
        </w:rPr>
        <w:t>care recipient portion</w:t>
      </w:r>
      <w:r w:rsidR="0014723F">
        <w:t xml:space="preserve"> of unspent </w:t>
      </w:r>
      <w:r w:rsidRPr="007F4EB7">
        <w:t xml:space="preserve">funds </w:t>
      </w:r>
      <w:r w:rsidR="0014723F">
        <w:t>is</w:t>
      </w:r>
      <w:r w:rsidRPr="007F4EB7">
        <w:t xml:space="preserve"> </w:t>
      </w:r>
      <w:r w:rsidR="00720E9D">
        <w:t>treated</w:t>
      </w:r>
      <w:r w:rsidR="00215BD8">
        <w:t xml:space="preserve"> when they exit or transfer</w:t>
      </w:r>
      <w:r w:rsidRPr="007F4EB7">
        <w:t>.</w:t>
      </w:r>
    </w:p>
    <w:p w14:paraId="69F02D40" w14:textId="09411705" w:rsidR="00F57CF1" w:rsidRDefault="00503DA1" w:rsidP="00361BD3">
      <w:pPr>
        <w:pStyle w:val="ListParagraph"/>
        <w:numPr>
          <w:ilvl w:val="0"/>
          <w:numId w:val="30"/>
        </w:numPr>
      </w:pPr>
      <w:bookmarkStart w:id="88" w:name="_Hlk81991360"/>
      <w:r w:rsidRPr="007F4EB7">
        <w:t>If a care recipient exits</w:t>
      </w:r>
      <w:r w:rsidR="006C05F3">
        <w:t xml:space="preserve"> the </w:t>
      </w:r>
      <w:r w:rsidR="00720E9D">
        <w:t>H</w:t>
      </w:r>
      <w:r w:rsidR="006C05F3">
        <w:t>ome</w:t>
      </w:r>
      <w:r w:rsidRPr="007F4EB7">
        <w:t xml:space="preserve"> </w:t>
      </w:r>
      <w:r w:rsidR="00720E9D">
        <w:t>C</w:t>
      </w:r>
      <w:r w:rsidRPr="007F4EB7">
        <w:t>are</w:t>
      </w:r>
      <w:r w:rsidR="006C05F3">
        <w:t xml:space="preserve"> </w:t>
      </w:r>
      <w:r w:rsidR="00720E9D">
        <w:t>P</w:t>
      </w:r>
      <w:r w:rsidR="006C05F3">
        <w:t>ackage</w:t>
      </w:r>
      <w:r w:rsidR="00720E9D">
        <w:t>s</w:t>
      </w:r>
      <w:r w:rsidR="006C05F3">
        <w:t xml:space="preserve"> </w:t>
      </w:r>
      <w:r w:rsidR="00720E9D">
        <w:t>P</w:t>
      </w:r>
      <w:r w:rsidR="006C05F3">
        <w:t>rogram</w:t>
      </w:r>
      <w:r w:rsidR="0014723F">
        <w:t>,</w:t>
      </w:r>
      <w:r w:rsidRPr="007F4EB7">
        <w:t xml:space="preserve"> the provider will transfer the care recipient portion back to the care recipient</w:t>
      </w:r>
      <w:r w:rsidR="001228DF">
        <w:t xml:space="preserve"> </w:t>
      </w:r>
      <w:r w:rsidR="0014723F">
        <w:t>or the care recipient’s estate</w:t>
      </w:r>
      <w:r w:rsidRPr="007F4EB7">
        <w:t>.</w:t>
      </w:r>
      <w:r w:rsidR="0014723F">
        <w:t xml:space="preserve"> </w:t>
      </w:r>
    </w:p>
    <w:p w14:paraId="0333597B" w14:textId="549E9404" w:rsidR="00AB19E9" w:rsidRPr="001E1FEE" w:rsidRDefault="0014723F" w:rsidP="00361BD3">
      <w:pPr>
        <w:pStyle w:val="ListParagraph"/>
        <w:numPr>
          <w:ilvl w:val="0"/>
          <w:numId w:val="30"/>
        </w:numPr>
      </w:pPr>
      <w:bookmarkStart w:id="89" w:name="_Hlk81991277"/>
      <w:bookmarkEnd w:id="88"/>
      <w:r>
        <w:t xml:space="preserve">If a care recipient </w:t>
      </w:r>
      <w:r w:rsidRPr="007F4EB7">
        <w:t xml:space="preserve">transfers to a new </w:t>
      </w:r>
      <w:r w:rsidR="00330515">
        <w:t xml:space="preserve">service </w:t>
      </w:r>
      <w:r w:rsidRPr="007F4EB7">
        <w:t>provider</w:t>
      </w:r>
      <w:r w:rsidR="00330515">
        <w:t xml:space="preserve">, the </w:t>
      </w:r>
      <w:r w:rsidR="00157618">
        <w:t>old</w:t>
      </w:r>
      <w:r w:rsidR="006C05F3">
        <w:t xml:space="preserve"> </w:t>
      </w:r>
      <w:r w:rsidR="00330515">
        <w:t xml:space="preserve">provider will need to transfer the </w:t>
      </w:r>
      <w:r w:rsidR="00330515" w:rsidRPr="007F4EB7">
        <w:t xml:space="preserve">care </w:t>
      </w:r>
      <w:r w:rsidR="00330515" w:rsidRPr="001E1FEE">
        <w:t>recipient portion to the new service.</w:t>
      </w:r>
    </w:p>
    <w:p w14:paraId="6AB09527" w14:textId="6D17A573" w:rsidR="006C5D51" w:rsidRPr="00AA24AE" w:rsidRDefault="005D1470" w:rsidP="005D1470">
      <w:r w:rsidRPr="001E1FEE">
        <w:t>The Commonwealth portion of unspent funds will be transferred into the care recipient</w:t>
      </w:r>
      <w:r w:rsidR="002F2F6A" w:rsidRPr="001E1FEE">
        <w:t>’</w:t>
      </w:r>
      <w:r w:rsidRPr="001E1FEE">
        <w:t xml:space="preserve">s home care account to fund care and services delivered by their new provider. This will also occur if a provider has opted-in but has not finished drawing down on the unspent funds before the care recipient </w:t>
      </w:r>
      <w:r w:rsidRPr="00AA24AE">
        <w:t xml:space="preserve">moves services. </w:t>
      </w:r>
    </w:p>
    <w:p w14:paraId="3F3322DD" w14:textId="5110254A" w:rsidR="00BC2B27" w:rsidRDefault="00BC2B27" w:rsidP="005D1470">
      <w:r w:rsidRPr="00AA24AE">
        <w:t xml:space="preserve">Providers should not adjust the </w:t>
      </w:r>
      <w:r w:rsidRPr="00AA24AE">
        <w:rPr>
          <w:b/>
          <w:bCs/>
        </w:rPr>
        <w:t>unspent funds amount for a departed care recipient</w:t>
      </w:r>
      <w:r w:rsidRPr="00AA24AE">
        <w:t xml:space="preserve"> in the departure month where the invoice amount is higher than the maximum contribution amount for that month. </w:t>
      </w:r>
      <w:r w:rsidR="00A1712C" w:rsidRPr="00AA24AE">
        <w:t xml:space="preserve">This leads to errors in unspent funds calculations and the amount transferred to the receiving provider. </w:t>
      </w:r>
      <w:r w:rsidRPr="00AA24AE">
        <w:t xml:space="preserve">Services Australia’s systems will </w:t>
      </w:r>
      <w:r w:rsidRPr="00AA24AE">
        <w:rPr>
          <w:b/>
          <w:bCs/>
        </w:rPr>
        <w:t>automatically</w:t>
      </w:r>
      <w:r w:rsidRPr="00AA24AE">
        <w:t xml:space="preserve"> reconcile the last invoice amount with the reported unspent funds amount for departed care recipients. If </w:t>
      </w:r>
      <w:r w:rsidR="00A1712C" w:rsidRPr="00AA24AE">
        <w:t>you have adjusted the unspent funds amount for a departed care recipient</w:t>
      </w:r>
      <w:r w:rsidRPr="00AA24AE">
        <w:t>, please contact Services Australia for resolution.</w:t>
      </w:r>
    </w:p>
    <w:p w14:paraId="671A04DB" w14:textId="3D95ADAF" w:rsidR="00743BED" w:rsidRPr="001E1FEE" w:rsidRDefault="00361BD3" w:rsidP="005D1470">
      <w:r w:rsidRPr="001E1FEE">
        <w:t xml:space="preserve">If the care recipient is exiting the program, the Commonwealth portion of unspent funds will be re-invested into the Home Care Packages Program. </w:t>
      </w:r>
    </w:p>
    <w:p w14:paraId="09154D64" w14:textId="18D1E660" w:rsidR="00495236" w:rsidRPr="00AA24AE" w:rsidRDefault="005D1470" w:rsidP="00AA24AE">
      <w:pPr>
        <w:pStyle w:val="Heading2"/>
        <w:numPr>
          <w:ilvl w:val="0"/>
          <w:numId w:val="5"/>
        </w:numPr>
        <w:ind w:left="284"/>
      </w:pPr>
      <w:bookmarkStart w:id="90" w:name="_After_the_70-day"/>
      <w:bookmarkStart w:id="91" w:name="_Hlk92881443"/>
      <w:bookmarkEnd w:id="89"/>
      <w:bookmarkEnd w:id="90"/>
      <w:r w:rsidRPr="00AA24AE">
        <w:t xml:space="preserve">What if my care recipient </w:t>
      </w:r>
      <w:r w:rsidR="00495236" w:rsidRPr="00AA24AE">
        <w:t>departed my service prior to 1 September, but didn’t enter the new service until October, meaning the unspent funds were transferred to the new provider but they can</w:t>
      </w:r>
      <w:r w:rsidR="00361BD3" w:rsidRPr="00AA24AE">
        <w:t>’</w:t>
      </w:r>
      <w:r w:rsidR="00495236" w:rsidRPr="00AA24AE">
        <w:t>t a</w:t>
      </w:r>
      <w:r w:rsidR="00361BD3" w:rsidRPr="00AA24AE">
        <w:t>ccess</w:t>
      </w:r>
      <w:r w:rsidR="00495236" w:rsidRPr="00AA24AE">
        <w:t xml:space="preserve"> them due to system functionality? </w:t>
      </w:r>
    </w:p>
    <w:p w14:paraId="141237EC" w14:textId="00AE443A" w:rsidR="00495236" w:rsidRPr="00AA24AE" w:rsidRDefault="00495236" w:rsidP="005D1470">
      <w:pPr>
        <w:rPr>
          <w:rFonts w:eastAsia="Times New Roman"/>
        </w:rPr>
      </w:pPr>
      <w:r w:rsidRPr="00AA24AE">
        <w:t>The Services Australia system does not allow unspent funds to be reported or returned for care recipients who entered a service after 1 September. In this scenario, Services Australia would p</w:t>
      </w:r>
      <w:r w:rsidRPr="00AA24AE">
        <w:rPr>
          <w:rFonts w:eastAsia="Times New Roman"/>
        </w:rPr>
        <w:t xml:space="preserve">rocess a negative manual adjustment for the new provider to recover the funds, and a manual adjustment </w:t>
      </w:r>
      <w:r w:rsidR="00802DF4" w:rsidRPr="00AA24AE">
        <w:rPr>
          <w:rFonts w:eastAsia="Times New Roman"/>
        </w:rPr>
        <w:t xml:space="preserve">will be made </w:t>
      </w:r>
      <w:r w:rsidRPr="00AA24AE">
        <w:rPr>
          <w:rFonts w:eastAsia="Times New Roman"/>
        </w:rPr>
        <w:t xml:space="preserve">to the home care account to apply the amount </w:t>
      </w:r>
      <w:r w:rsidR="00802DF4" w:rsidRPr="00AA24AE">
        <w:rPr>
          <w:rFonts w:eastAsia="Times New Roman"/>
        </w:rPr>
        <w:t xml:space="preserve">owing. </w:t>
      </w:r>
    </w:p>
    <w:p w14:paraId="387C24FC" w14:textId="631AFDAE" w:rsidR="00CB2880" w:rsidRPr="00802DF4" w:rsidRDefault="00CB2880" w:rsidP="005D1470">
      <w:pPr>
        <w:rPr>
          <w:rFonts w:ascii="Calibri" w:eastAsia="Times New Roman" w:hAnsi="Calibri" w:cs="Calibri"/>
          <w:color w:val="1F497D"/>
        </w:rPr>
      </w:pPr>
      <w:r w:rsidRPr="00AA24AE">
        <w:rPr>
          <w:rFonts w:eastAsia="Times New Roman"/>
        </w:rPr>
        <w:t xml:space="preserve">Providers should </w:t>
      </w:r>
      <w:r w:rsidR="003624CF" w:rsidRPr="00AA24AE">
        <w:rPr>
          <w:rFonts w:eastAsia="Times New Roman"/>
        </w:rPr>
        <w:t xml:space="preserve">contact Services Australia’s aged care payments team by email at </w:t>
      </w:r>
      <w:hyperlink r:id="rId20" w:history="1">
        <w:r w:rsidR="003624CF" w:rsidRPr="00AA24AE">
          <w:rPr>
            <w:rStyle w:val="Hyperlink"/>
            <w:rFonts w:eastAsia="Times New Roman"/>
          </w:rPr>
          <w:t>aged.care.liaison@servicesaustralia.gov.au</w:t>
        </w:r>
      </w:hyperlink>
      <w:r w:rsidR="003624CF" w:rsidRPr="00AA24AE">
        <w:rPr>
          <w:rFonts w:eastAsia="Times New Roman"/>
          <w:color w:val="1F497D"/>
        </w:rPr>
        <w:t xml:space="preserve"> </w:t>
      </w:r>
      <w:r w:rsidR="003624CF" w:rsidRPr="00AA24AE">
        <w:rPr>
          <w:rFonts w:eastAsia="Times New Roman"/>
        </w:rPr>
        <w:t xml:space="preserve">to review and process. </w:t>
      </w:r>
    </w:p>
    <w:bookmarkEnd w:id="91"/>
    <w:p w14:paraId="2A0A7C0B" w14:textId="281E9B1E" w:rsidR="00471795" w:rsidRDefault="00471795" w:rsidP="00AA67AC">
      <w:pPr>
        <w:pStyle w:val="Heading2"/>
        <w:numPr>
          <w:ilvl w:val="0"/>
          <w:numId w:val="5"/>
        </w:numPr>
        <w:ind w:left="284"/>
      </w:pPr>
      <w:r>
        <w:t xml:space="preserve">What happens if a care recipient departs </w:t>
      </w:r>
      <w:r w:rsidR="00800650">
        <w:t xml:space="preserve">a </w:t>
      </w:r>
      <w:r>
        <w:t>service but returns within the 70</w:t>
      </w:r>
      <w:r w:rsidR="00300262">
        <w:t>-day quarantine period?</w:t>
      </w:r>
    </w:p>
    <w:p w14:paraId="26987702" w14:textId="53086877" w:rsidR="00300262" w:rsidRPr="00A95AAF" w:rsidRDefault="00300262" w:rsidP="00300262">
      <w:pPr>
        <w:rPr>
          <w:szCs w:val="22"/>
        </w:rPr>
      </w:pPr>
      <w:r w:rsidRPr="00A95AAF">
        <w:rPr>
          <w:szCs w:val="22"/>
        </w:rPr>
        <w:t>The care recipient’s home care account will remain available for 70 days after departure, regardless of the departure reason. If the care recipient returns to home care within the 70 days, the home care account balance will be made available to them again.</w:t>
      </w:r>
    </w:p>
    <w:p w14:paraId="3EBD8C0C" w14:textId="049C8409" w:rsidR="00300262" w:rsidRPr="00A95AAF" w:rsidRDefault="00300262" w:rsidP="00300262">
      <w:pPr>
        <w:rPr>
          <w:rFonts w:eastAsia="Times New Roman"/>
          <w:szCs w:val="22"/>
        </w:rPr>
      </w:pPr>
      <w:r w:rsidRPr="00A95AAF">
        <w:rPr>
          <w:szCs w:val="22"/>
        </w:rPr>
        <w:t xml:space="preserve">If the care recipient </w:t>
      </w:r>
      <w:r w:rsidRPr="00A95AAF">
        <w:rPr>
          <w:rFonts w:eastAsia="Times New Roman"/>
          <w:szCs w:val="22"/>
        </w:rPr>
        <w:t>returns to the same provider, the unspent funds balance will be made available to them immediately.</w:t>
      </w:r>
    </w:p>
    <w:p w14:paraId="7EC6E213" w14:textId="13F850A8" w:rsidR="00300262" w:rsidRPr="00A95AAF" w:rsidRDefault="00300262" w:rsidP="00300262">
      <w:pPr>
        <w:rPr>
          <w:rFonts w:eastAsia="Times New Roman"/>
          <w:szCs w:val="22"/>
        </w:rPr>
      </w:pPr>
      <w:r w:rsidRPr="00A95AAF">
        <w:rPr>
          <w:rFonts w:eastAsia="Times New Roman"/>
          <w:szCs w:val="22"/>
        </w:rPr>
        <w:t xml:space="preserve">If the care recipient returns to a different provider, the 70-day quarantine provision will apply. </w:t>
      </w:r>
    </w:p>
    <w:p w14:paraId="3F05EB41" w14:textId="038208D7" w:rsidR="00800650" w:rsidRPr="00A95AAF" w:rsidRDefault="00300262" w:rsidP="00300262">
      <w:pPr>
        <w:spacing w:after="0"/>
        <w:rPr>
          <w:szCs w:val="22"/>
        </w:rPr>
      </w:pPr>
      <w:r w:rsidRPr="00A95AAF">
        <w:rPr>
          <w:szCs w:val="22"/>
        </w:rPr>
        <w:t>If provider-held unspent funds have been returned to Services Australia following departure, these will be available in the home care account.</w:t>
      </w:r>
    </w:p>
    <w:p w14:paraId="3B698A3A" w14:textId="2C67E5B9" w:rsidR="00300262" w:rsidRPr="00C9316D" w:rsidRDefault="00300262" w:rsidP="00C9316D">
      <w:r w:rsidRPr="00A95AAF">
        <w:t xml:space="preserve">However, if </w:t>
      </w:r>
      <w:r w:rsidR="00800650" w:rsidRPr="00A95AAF">
        <w:t xml:space="preserve">a care recipient </w:t>
      </w:r>
      <w:r w:rsidRPr="00A95AAF">
        <w:t>return</w:t>
      </w:r>
      <w:r w:rsidR="00800650" w:rsidRPr="00A95AAF">
        <w:t>s</w:t>
      </w:r>
      <w:r w:rsidRPr="00A95AAF">
        <w:t xml:space="preserve"> to home care </w:t>
      </w:r>
      <w:r w:rsidRPr="00A95AAF">
        <w:rPr>
          <w:u w:val="single"/>
        </w:rPr>
        <w:t>more than 70 days after their original departure</w:t>
      </w:r>
      <w:r w:rsidRPr="00A95AAF">
        <w:t>, their home care account balance will no longer be available.</w:t>
      </w:r>
    </w:p>
    <w:p w14:paraId="06BD4AA5" w14:textId="57065C29" w:rsidR="00503DA1" w:rsidRPr="007F4EB7" w:rsidRDefault="00330515" w:rsidP="00AA67AC">
      <w:pPr>
        <w:pStyle w:val="Heading2"/>
        <w:numPr>
          <w:ilvl w:val="0"/>
          <w:numId w:val="5"/>
        </w:numPr>
        <w:ind w:left="284"/>
      </w:pPr>
      <w:bookmarkStart w:id="92" w:name="_Hlk92882031"/>
      <w:r>
        <w:lastRenderedPageBreak/>
        <w:t>After the 70</w:t>
      </w:r>
      <w:r w:rsidR="00D628FE">
        <w:t>-</w:t>
      </w:r>
      <w:r>
        <w:t>day quarantine on</w:t>
      </w:r>
      <w:r w:rsidR="00503DA1" w:rsidRPr="007F4EB7">
        <w:t xml:space="preserve"> a transfer, </w:t>
      </w:r>
      <w:r>
        <w:t xml:space="preserve">what if a provider receives an </w:t>
      </w:r>
      <w:r w:rsidRPr="007F4EB7">
        <w:t xml:space="preserve">invoice </w:t>
      </w:r>
      <w:r w:rsidR="00D045F8">
        <w:t>which</w:t>
      </w:r>
      <w:r>
        <w:t xml:space="preserve"> is</w:t>
      </w:r>
      <w:r w:rsidRPr="007F4EB7">
        <w:t xml:space="preserve"> higher than </w:t>
      </w:r>
      <w:r>
        <w:t>expected,</w:t>
      </w:r>
      <w:r w:rsidRPr="007F4EB7">
        <w:t xml:space="preserve"> </w:t>
      </w:r>
      <w:r w:rsidR="00503DA1" w:rsidRPr="007F4EB7">
        <w:t xml:space="preserve">can </w:t>
      </w:r>
      <w:r w:rsidR="00D045F8">
        <w:t>it be adjusted</w:t>
      </w:r>
      <w:r w:rsidR="00503DA1" w:rsidRPr="007F4EB7">
        <w:t>?</w:t>
      </w:r>
    </w:p>
    <w:p w14:paraId="03DFEF87" w14:textId="1F107FDF" w:rsidR="00471795" w:rsidRPr="00471795" w:rsidRDefault="00503DA1" w:rsidP="00471795">
      <w:r w:rsidRPr="007F4EB7">
        <w:t xml:space="preserve">No, </w:t>
      </w:r>
      <w:r w:rsidR="00330515">
        <w:t>this amount cannot be changed after the 70</w:t>
      </w:r>
      <w:r w:rsidR="00D628FE">
        <w:t>-</w:t>
      </w:r>
      <w:r w:rsidR="00330515">
        <w:t xml:space="preserve">day </w:t>
      </w:r>
      <w:r w:rsidR="00AD4210">
        <w:t>(calendar days)</w:t>
      </w:r>
      <w:r w:rsidR="00AD4210" w:rsidRPr="00D00F17">
        <w:t xml:space="preserve"> </w:t>
      </w:r>
      <w:r w:rsidR="00330515">
        <w:t>quarantine. T</w:t>
      </w:r>
      <w:r w:rsidRPr="007F4EB7">
        <w:t xml:space="preserve">he provider should have already agreed </w:t>
      </w:r>
      <w:r w:rsidR="0097625A">
        <w:t xml:space="preserve">the invoice charge </w:t>
      </w:r>
      <w:r w:rsidRPr="007F4EB7">
        <w:t xml:space="preserve">with the </w:t>
      </w:r>
      <w:r w:rsidR="00330515">
        <w:t>contractor/</w:t>
      </w:r>
      <w:r w:rsidRPr="007F4EB7">
        <w:t>service.</w:t>
      </w:r>
    </w:p>
    <w:bookmarkEnd w:id="92"/>
    <w:p w14:paraId="12E83696" w14:textId="4EF40E93" w:rsidR="00890F23" w:rsidRDefault="00890F23" w:rsidP="00890F23">
      <w:pPr>
        <w:pStyle w:val="ListParagraph"/>
        <w:numPr>
          <w:ilvl w:val="0"/>
          <w:numId w:val="5"/>
        </w:numPr>
        <w:ind w:left="426"/>
        <w:rPr>
          <w:b/>
          <w:bCs/>
        </w:rPr>
      </w:pPr>
      <w:r w:rsidRPr="00890F23">
        <w:rPr>
          <w:b/>
          <w:bCs/>
        </w:rPr>
        <w:t>How do we manage automatic departure entries where a client has entered residential care?</w:t>
      </w:r>
    </w:p>
    <w:p w14:paraId="094494F3" w14:textId="738F5179" w:rsidR="00890F23" w:rsidRDefault="00890F23" w:rsidP="00890F23">
      <w:pPr>
        <w:rPr>
          <w:szCs w:val="22"/>
        </w:rPr>
      </w:pPr>
      <w:r w:rsidRPr="00890F23">
        <w:t>If a care recipient enters perm</w:t>
      </w:r>
      <w:r>
        <w:t>anent</w:t>
      </w:r>
      <w:r w:rsidRPr="00890F23">
        <w:t xml:space="preserve"> resi</w:t>
      </w:r>
      <w:r>
        <w:t>dential</w:t>
      </w:r>
      <w:r w:rsidRPr="00890F23">
        <w:t xml:space="preserve"> care, </w:t>
      </w:r>
      <w:r>
        <w:t xml:space="preserve">Services Australia </w:t>
      </w:r>
      <w:r w:rsidRPr="00890F23">
        <w:t>w</w:t>
      </w:r>
      <w:r>
        <w:t>ill not</w:t>
      </w:r>
      <w:r w:rsidRPr="00890F23">
        <w:t xml:space="preserve"> auto</w:t>
      </w:r>
      <w:r>
        <w:t>matically</w:t>
      </w:r>
      <w:r w:rsidRPr="00890F23">
        <w:t xml:space="preserve"> depart</w:t>
      </w:r>
      <w:r>
        <w:t xml:space="preserve"> the care recipient. However, </w:t>
      </w:r>
      <w:r w:rsidRPr="00890F23">
        <w:t xml:space="preserve">My Aged Care will withdraw the home care package. </w:t>
      </w:r>
      <w:r>
        <w:t xml:space="preserve">The provider </w:t>
      </w:r>
      <w:r>
        <w:rPr>
          <w:szCs w:val="22"/>
        </w:rPr>
        <w:t xml:space="preserve">must submit a </w:t>
      </w:r>
      <w:r w:rsidR="008C2B67">
        <w:rPr>
          <w:szCs w:val="22"/>
        </w:rPr>
        <w:t>“</w:t>
      </w:r>
      <w:r>
        <w:rPr>
          <w:szCs w:val="22"/>
        </w:rPr>
        <w:t xml:space="preserve">Commonwealth Unspent Amount on </w:t>
      </w:r>
      <w:r w:rsidR="008C2B67">
        <w:rPr>
          <w:szCs w:val="22"/>
        </w:rPr>
        <w:t>D</w:t>
      </w:r>
      <w:r>
        <w:rPr>
          <w:szCs w:val="22"/>
        </w:rPr>
        <w:t>eparture</w:t>
      </w:r>
      <w:r w:rsidR="008C2B67">
        <w:rPr>
          <w:szCs w:val="22"/>
        </w:rPr>
        <w:t>”</w:t>
      </w:r>
      <w:r>
        <w:rPr>
          <w:szCs w:val="22"/>
        </w:rPr>
        <w:t xml:space="preserve"> event within 70 days of the departure. </w:t>
      </w:r>
    </w:p>
    <w:p w14:paraId="68DEE9C6" w14:textId="687FB7FA" w:rsidR="00890F23" w:rsidRPr="00890F23" w:rsidRDefault="00890F23" w:rsidP="00890F23">
      <w:r>
        <w:rPr>
          <w:szCs w:val="22"/>
        </w:rPr>
        <w:t>Providers should ensure they</w:t>
      </w:r>
      <w:r w:rsidRPr="00890F23">
        <w:t xml:space="preserve"> check</w:t>
      </w:r>
      <w:r>
        <w:t xml:space="preserve"> </w:t>
      </w:r>
      <w:r w:rsidRPr="00890F23">
        <w:t xml:space="preserve">the </w:t>
      </w:r>
      <w:r>
        <w:t xml:space="preserve">care recipients </w:t>
      </w:r>
      <w:r w:rsidRPr="00890F23">
        <w:t xml:space="preserve">home care account closure date </w:t>
      </w:r>
      <w:r>
        <w:t xml:space="preserve">so that they can </w:t>
      </w:r>
      <w:r w:rsidRPr="00890F23">
        <w:t xml:space="preserve">include any </w:t>
      </w:r>
      <w:r>
        <w:t>outstanding amounts. I</w:t>
      </w:r>
      <w:r w:rsidRPr="00890F23">
        <w:t xml:space="preserve">f the </w:t>
      </w:r>
      <w:r>
        <w:t xml:space="preserve">care recipient </w:t>
      </w:r>
      <w:r w:rsidRPr="00890F23">
        <w:t xml:space="preserve">has been in respite </w:t>
      </w:r>
      <w:r>
        <w:t xml:space="preserve">and has </w:t>
      </w:r>
      <w:r w:rsidRPr="00890F23">
        <w:t>then enter</w:t>
      </w:r>
      <w:r>
        <w:t>ed residential care, the provider may not</w:t>
      </w:r>
      <w:r w:rsidRPr="00890F23">
        <w:t xml:space="preserve"> have anything outstanding to claim for them.</w:t>
      </w:r>
    </w:p>
    <w:p w14:paraId="2E07BFE6" w14:textId="1A21EE63" w:rsidR="008710F0" w:rsidRPr="004272D3" w:rsidRDefault="008710F0" w:rsidP="00C1783D">
      <w:pPr>
        <w:pStyle w:val="Heading1"/>
      </w:pPr>
      <w:bookmarkStart w:id="93" w:name="_Toc95839134"/>
      <w:r w:rsidRPr="004272D3">
        <w:t>Reconciliation</w:t>
      </w:r>
      <w:bookmarkEnd w:id="93"/>
    </w:p>
    <w:p w14:paraId="44B0682D" w14:textId="5B4FFF0F" w:rsidR="00503DA1" w:rsidRPr="00412FB4" w:rsidRDefault="00503DA1" w:rsidP="00AA67AC">
      <w:pPr>
        <w:pStyle w:val="Heading2"/>
        <w:numPr>
          <w:ilvl w:val="0"/>
          <w:numId w:val="5"/>
        </w:numPr>
        <w:ind w:left="284"/>
      </w:pPr>
      <w:bookmarkStart w:id="94" w:name="_If_an_invoice"/>
      <w:bookmarkStart w:id="95" w:name="_Hlk92881841"/>
      <w:bookmarkEnd w:id="94"/>
      <w:r w:rsidRPr="00412FB4">
        <w:t xml:space="preserve">If an invoice is received months after the service was delivered, can it be </w:t>
      </w:r>
      <w:r w:rsidR="00D628FE" w:rsidRPr="00412FB4">
        <w:t>backdated,</w:t>
      </w:r>
      <w:r w:rsidRPr="00412FB4">
        <w:t xml:space="preserve"> or would it need to be included in </w:t>
      </w:r>
      <w:r w:rsidR="00A66B38" w:rsidRPr="00412FB4">
        <w:t xml:space="preserve">the </w:t>
      </w:r>
      <w:r w:rsidRPr="00412FB4">
        <w:t>current month</w:t>
      </w:r>
      <w:r w:rsidR="006C05F3" w:rsidRPr="00412FB4">
        <w:t>’</w:t>
      </w:r>
      <w:r w:rsidRPr="00412FB4">
        <w:t>s claim?</w:t>
      </w:r>
    </w:p>
    <w:p w14:paraId="4E5B290D" w14:textId="77777777" w:rsidR="000931A6" w:rsidRDefault="00F35078" w:rsidP="00F77063">
      <w:r w:rsidRPr="00F35078">
        <w:t xml:space="preserve">Providers should claim the price of care and services in the month where the service was delivered (when the cost was incurred – even if the provider hasn’t paid for the service yet, </w:t>
      </w:r>
      <w:proofErr w:type="gramStart"/>
      <w:r w:rsidRPr="00F35078">
        <w:t>e.g.</w:t>
      </w:r>
      <w:proofErr w:type="gramEnd"/>
      <w:r w:rsidRPr="00F35078">
        <w:t xml:space="preserve"> through a subcontracting payment).</w:t>
      </w:r>
    </w:p>
    <w:p w14:paraId="721CCDCC" w14:textId="7AFA877C" w:rsidR="00790CBF" w:rsidRPr="00790CBF" w:rsidRDefault="00503DA1" w:rsidP="00F77063">
      <w:r w:rsidRPr="007F4EB7">
        <w:t xml:space="preserve">Providers will be unable to </w:t>
      </w:r>
      <w:r w:rsidR="004518E1" w:rsidRPr="007F4EB7">
        <w:t>adjust</w:t>
      </w:r>
      <w:r w:rsidR="007A2B26">
        <w:t xml:space="preserve"> the</w:t>
      </w:r>
      <w:r w:rsidRPr="007F4EB7">
        <w:t xml:space="preserve"> </w:t>
      </w:r>
      <w:r w:rsidR="006C05F3" w:rsidRPr="00683B7E">
        <w:rPr>
          <w:b/>
          <w:bCs/>
        </w:rPr>
        <w:t xml:space="preserve">price </w:t>
      </w:r>
      <w:r w:rsidR="006C05F3">
        <w:t>submitted to Services Australia</w:t>
      </w:r>
      <w:r w:rsidRPr="007F4EB7">
        <w:t xml:space="preserve"> once claimed</w:t>
      </w:r>
      <w:r w:rsidR="00175C51">
        <w:t xml:space="preserve"> for that month</w:t>
      </w:r>
      <w:r w:rsidRPr="007F4EB7">
        <w:t xml:space="preserve">. </w:t>
      </w:r>
      <w:r w:rsidR="00F35078" w:rsidRPr="00F35078">
        <w:rPr>
          <w:rFonts w:eastAsia="Times New Roman"/>
        </w:rPr>
        <w:t xml:space="preserve"> </w:t>
      </w:r>
      <w:r w:rsidR="00175C51">
        <w:rPr>
          <w:rFonts w:eastAsia="Times New Roman"/>
        </w:rPr>
        <w:t xml:space="preserve">Where a </w:t>
      </w:r>
      <w:r w:rsidR="00F35078">
        <w:rPr>
          <w:rFonts w:eastAsia="Times New Roman"/>
        </w:rPr>
        <w:t>provider</w:t>
      </w:r>
      <w:r w:rsidR="00175C51">
        <w:rPr>
          <w:rFonts w:eastAsia="Times New Roman"/>
        </w:rPr>
        <w:t xml:space="preserve"> needs to make an adjustment to a claimed amount (</w:t>
      </w:r>
      <w:r w:rsidR="00175C51" w:rsidRPr="00E2492C">
        <w:rPr>
          <w:rFonts w:eastAsia="Times New Roman"/>
        </w:rPr>
        <w:t>a positive or negative adjustment</w:t>
      </w:r>
      <w:r w:rsidR="00175C51">
        <w:rPr>
          <w:rFonts w:eastAsia="Times New Roman"/>
        </w:rPr>
        <w:t xml:space="preserve">) or to claim a late payment, they will need to add this to </w:t>
      </w:r>
      <w:r w:rsidR="00F35078">
        <w:rPr>
          <w:rFonts w:eastAsia="Times New Roman"/>
        </w:rPr>
        <w:t>a claim in a subsequent month.</w:t>
      </w:r>
    </w:p>
    <w:p w14:paraId="76E7A4AF" w14:textId="1B7F1373" w:rsidR="00503DA1" w:rsidRPr="007F4EB7" w:rsidRDefault="006C05F3" w:rsidP="00D1163E">
      <w:pPr>
        <w:pStyle w:val="Heading2"/>
        <w:keepLines/>
        <w:numPr>
          <w:ilvl w:val="0"/>
          <w:numId w:val="5"/>
        </w:numPr>
        <w:ind w:left="284"/>
      </w:pPr>
      <w:bookmarkStart w:id="96" w:name="_If_a_provider"/>
      <w:bookmarkEnd w:id="95"/>
      <w:bookmarkEnd w:id="96"/>
      <w:r>
        <w:t>I</w:t>
      </w:r>
      <w:r w:rsidR="00503DA1" w:rsidRPr="007F4EB7">
        <w:t>f a provider has made an error in their claim,</w:t>
      </w:r>
      <w:r>
        <w:t xml:space="preserve"> w</w:t>
      </w:r>
      <w:r w:rsidRPr="007F4EB7">
        <w:t>ill there be an opportunity to make an adjustment</w:t>
      </w:r>
      <w:r w:rsidR="00503DA1" w:rsidRPr="007F4EB7">
        <w:t xml:space="preserve"> after it has been submitted?</w:t>
      </w:r>
    </w:p>
    <w:p w14:paraId="447415AD" w14:textId="77777777" w:rsidR="00B86810" w:rsidRDefault="00503DA1" w:rsidP="00D1163E">
      <w:pPr>
        <w:keepNext/>
        <w:keepLines/>
      </w:pPr>
      <w:r w:rsidRPr="007F4EB7">
        <w:t>If a provider makes an error in their monthly claim</w:t>
      </w:r>
      <w:r w:rsidR="00B86810" w:rsidRPr="00B86810">
        <w:t xml:space="preserve"> </w:t>
      </w:r>
      <w:r w:rsidR="00B86810">
        <w:t>to a care recipient event</w:t>
      </w:r>
      <w:r w:rsidRPr="007F4EB7">
        <w:t>, they will be able to request a variation to the claim through Services Australia</w:t>
      </w:r>
      <w:r w:rsidR="00EB3251" w:rsidRPr="004629D7">
        <w:t xml:space="preserve">. </w:t>
      </w:r>
    </w:p>
    <w:p w14:paraId="2C5209FF" w14:textId="77777777" w:rsidR="00541641" w:rsidRDefault="00EB3251" w:rsidP="00393E2D">
      <w:r w:rsidRPr="004629D7">
        <w:t xml:space="preserve">If the error was in </w:t>
      </w:r>
      <w:r w:rsidR="007500AF">
        <w:t xml:space="preserve">the </w:t>
      </w:r>
      <w:r w:rsidR="006C05F3" w:rsidRPr="00683B7E">
        <w:rPr>
          <w:b/>
          <w:bCs/>
        </w:rPr>
        <w:t>price</w:t>
      </w:r>
      <w:r w:rsidRPr="004629D7">
        <w:t>, this will need to be corrected by adjusting the amount in the next month’s claim</w:t>
      </w:r>
      <w:r w:rsidR="00503DA1" w:rsidRPr="004629D7">
        <w:t>.</w:t>
      </w:r>
    </w:p>
    <w:p w14:paraId="5B7AF92A" w14:textId="4875EE1A" w:rsidR="006C05F3" w:rsidRDefault="00503DA1" w:rsidP="00393E2D">
      <w:r w:rsidRPr="007F4EB7">
        <w:t xml:space="preserve">The ability to make retrospective adjustments due to an administrative error by a Government </w:t>
      </w:r>
      <w:r w:rsidR="00A66B38">
        <w:t>D</w:t>
      </w:r>
      <w:r w:rsidRPr="007F4EB7">
        <w:t xml:space="preserve">epartment or a change in the </w:t>
      </w:r>
      <w:r w:rsidR="00AB19E9">
        <w:t>care recipient’s</w:t>
      </w:r>
      <w:r w:rsidRPr="007F4EB7">
        <w:t xml:space="preserve"> financial circumstances, remains unchanged and do not have a limit within aged care legislation.</w:t>
      </w:r>
    </w:p>
    <w:p w14:paraId="31B07AEE" w14:textId="77777777" w:rsidR="003624CF" w:rsidRPr="00AA24AE" w:rsidRDefault="003624CF" w:rsidP="003624CF">
      <w:pPr>
        <w:pStyle w:val="Heading2"/>
        <w:numPr>
          <w:ilvl w:val="0"/>
          <w:numId w:val="5"/>
        </w:numPr>
        <w:ind w:left="284"/>
      </w:pPr>
      <w:r w:rsidRPr="00AA24AE">
        <w:t xml:space="preserve">What will happen if there are arrears adjustments made by Services Australia and providers have expended the amounts in prior months? </w:t>
      </w:r>
      <w:r w:rsidRPr="00AA24AE">
        <w:softHyphen/>
      </w:r>
    </w:p>
    <w:p w14:paraId="5A68D985" w14:textId="77777777" w:rsidR="003624CF" w:rsidRPr="00AA24AE" w:rsidRDefault="003624CF" w:rsidP="003624CF">
      <w:r w:rsidRPr="00AA24AE">
        <w:t>If providers have claimed the full invoice amount (price) in the prior month, providers will receive a subsidy adjustment for that month when the subsidy adjustment occurs. Any residual amount will be added to the home care account.</w:t>
      </w:r>
    </w:p>
    <w:p w14:paraId="036DB416" w14:textId="77777777" w:rsidR="003624CF" w:rsidRPr="00AA24AE" w:rsidRDefault="003624CF" w:rsidP="003624CF">
      <w:r w:rsidRPr="00AA24AE">
        <w:t>However, we would not encourage providers to provide services in anticipation of additional funds being received later unless it is certain an adjustment is pending.</w:t>
      </w:r>
    </w:p>
    <w:p w14:paraId="6F3C3428" w14:textId="5D9D6502" w:rsidR="003624CF" w:rsidRDefault="003624CF" w:rsidP="00393E2D">
      <w:r w:rsidRPr="00AA24AE">
        <w:t>The home care account will be updated as soon as the claim is approved and processed.</w:t>
      </w:r>
    </w:p>
    <w:p w14:paraId="2C6FAD23" w14:textId="42B0A2F7" w:rsidR="008710F0" w:rsidRPr="007F4EB7" w:rsidRDefault="00B459B7" w:rsidP="00F77063">
      <w:pPr>
        <w:pStyle w:val="Heading1"/>
      </w:pPr>
      <w:bookmarkStart w:id="97" w:name="_Toc95839135"/>
      <w:r>
        <w:t xml:space="preserve">Monthly Statements and </w:t>
      </w:r>
      <w:r w:rsidR="0042219F">
        <w:t>r</w:t>
      </w:r>
      <w:r>
        <w:t xml:space="preserve">eporting to </w:t>
      </w:r>
      <w:r w:rsidR="0042219F">
        <w:t>c</w:t>
      </w:r>
      <w:r>
        <w:t xml:space="preserve">are </w:t>
      </w:r>
      <w:r w:rsidR="0042219F">
        <w:t>r</w:t>
      </w:r>
      <w:r>
        <w:t>ecipients</w:t>
      </w:r>
      <w:bookmarkEnd w:id="97"/>
    </w:p>
    <w:p w14:paraId="71C880CA" w14:textId="5C3DEE5A" w:rsidR="00503DA1" w:rsidRPr="007F4EB7" w:rsidRDefault="00503DA1" w:rsidP="00AA67AC">
      <w:pPr>
        <w:pStyle w:val="Heading2"/>
        <w:numPr>
          <w:ilvl w:val="0"/>
          <w:numId w:val="5"/>
        </w:numPr>
        <w:ind w:left="284"/>
      </w:pPr>
      <w:bookmarkStart w:id="98" w:name="_What_must_be"/>
      <w:bookmarkEnd w:id="98"/>
      <w:r w:rsidRPr="007F4EB7">
        <w:t xml:space="preserve">What </w:t>
      </w:r>
      <w:r w:rsidR="00FB2284">
        <w:t xml:space="preserve">must be included on the care recipient monthly statement? </w:t>
      </w:r>
    </w:p>
    <w:p w14:paraId="4E8A4667" w14:textId="77777777" w:rsidR="00912FAA" w:rsidRDefault="00FB2284" w:rsidP="00FB2284">
      <w:r w:rsidRPr="00D00F17">
        <w:t xml:space="preserve">Section 21B of the User Rights Principles 2014 includes the requirements of the care recipient monthly statement. </w:t>
      </w:r>
    </w:p>
    <w:p w14:paraId="72D25066" w14:textId="253DCA65" w:rsidR="00FB2284" w:rsidRPr="00D00F17" w:rsidRDefault="00FB2284" w:rsidP="00FB2284">
      <w:r w:rsidRPr="00D00F17">
        <w:lastRenderedPageBreak/>
        <w:t xml:space="preserve">Providers must give each care recipient their own statement for every month they are in </w:t>
      </w:r>
      <w:r w:rsidR="001E2CF2" w:rsidRPr="00D00F17">
        <w:t>care,</w:t>
      </w:r>
      <w:r w:rsidRPr="00D00F17">
        <w:t xml:space="preserve"> so they have transparency of the services delivered through their package that month. </w:t>
      </w:r>
    </w:p>
    <w:p w14:paraId="40F446DD" w14:textId="77777777" w:rsidR="00FB2284" w:rsidRPr="00D00F17" w:rsidRDefault="00FB2284" w:rsidP="00FB2284">
      <w:r w:rsidRPr="00D00F17">
        <w:t xml:space="preserve">The statement must include: </w:t>
      </w:r>
    </w:p>
    <w:p w14:paraId="764F5929" w14:textId="441A58A6" w:rsidR="00FB2284" w:rsidRPr="00D00F17" w:rsidRDefault="00FB2284" w:rsidP="00D1163E">
      <w:pPr>
        <w:pStyle w:val="ListParagraph"/>
        <w:numPr>
          <w:ilvl w:val="0"/>
          <w:numId w:val="6"/>
        </w:numPr>
      </w:pPr>
      <w:r w:rsidRPr="00D00F17">
        <w:t>The amount of home care subsidy for the care recipient for the month.</w:t>
      </w:r>
    </w:p>
    <w:p w14:paraId="5D1C61AB" w14:textId="34E36FAB" w:rsidR="00FB2284" w:rsidRPr="00D00F17" w:rsidRDefault="00FB2284" w:rsidP="00D1163E">
      <w:pPr>
        <w:pStyle w:val="ListParagraph"/>
        <w:numPr>
          <w:ilvl w:val="0"/>
          <w:numId w:val="6"/>
        </w:numPr>
      </w:pPr>
      <w:r w:rsidRPr="00D00F17">
        <w:t>The amount of home care fees (if any) paid or payable by the care recipient for the month, and any unpaid home care fees relating to previous months.</w:t>
      </w:r>
    </w:p>
    <w:p w14:paraId="24DBCCFE" w14:textId="6F6A423E" w:rsidR="00FB2284" w:rsidRPr="00D00F17" w:rsidRDefault="00FB2284" w:rsidP="00912FAA">
      <w:pPr>
        <w:pStyle w:val="ListParagraph"/>
        <w:keepNext/>
        <w:keepLines/>
        <w:numPr>
          <w:ilvl w:val="0"/>
          <w:numId w:val="6"/>
        </w:numPr>
        <w:ind w:hanging="357"/>
      </w:pPr>
      <w:r w:rsidRPr="00D00F17">
        <w:t>An itemised list of:</w:t>
      </w:r>
    </w:p>
    <w:p w14:paraId="1F53E705" w14:textId="7D0A68CC" w:rsidR="00FB2284" w:rsidRPr="00D00F17" w:rsidRDefault="00FB2284" w:rsidP="00912FAA">
      <w:pPr>
        <w:pStyle w:val="ListParagraph"/>
        <w:keepNext/>
        <w:keepLines/>
        <w:numPr>
          <w:ilvl w:val="1"/>
          <w:numId w:val="6"/>
        </w:numPr>
        <w:ind w:hanging="357"/>
      </w:pPr>
      <w:r w:rsidRPr="00D00F17">
        <w:t xml:space="preserve">the care and services provided to the care recipient during the month (including </w:t>
      </w:r>
      <w:r w:rsidR="001E2CF2">
        <w:t xml:space="preserve">any </w:t>
      </w:r>
      <w:r w:rsidRPr="00D00F17">
        <w:t xml:space="preserve">travel, subcontracting </w:t>
      </w:r>
      <w:proofErr w:type="gramStart"/>
      <w:r w:rsidRPr="00D00F17">
        <w:t>arrangements</w:t>
      </w:r>
      <w:proofErr w:type="gramEnd"/>
      <w:r w:rsidRPr="00D00F17">
        <w:t xml:space="preserve"> and package management) for which the care recipient was </w:t>
      </w:r>
      <w:r w:rsidR="001E2CF2" w:rsidRPr="00D00F17">
        <w:t>charged.</w:t>
      </w:r>
    </w:p>
    <w:p w14:paraId="53CE1A04" w14:textId="2060EEC9" w:rsidR="00FB2284" w:rsidRPr="00D00F17" w:rsidRDefault="00FB2284" w:rsidP="001E2CF2">
      <w:pPr>
        <w:pStyle w:val="ListParagraph"/>
        <w:numPr>
          <w:ilvl w:val="1"/>
          <w:numId w:val="6"/>
        </w:numPr>
      </w:pPr>
      <w:r w:rsidRPr="00D00F17">
        <w:t xml:space="preserve">the price that the provider charged the care recipient for </w:t>
      </w:r>
      <w:r w:rsidR="001E2CF2">
        <w:t xml:space="preserve">each of these services for </w:t>
      </w:r>
      <w:r w:rsidRPr="00D00F17">
        <w:t>the month</w:t>
      </w:r>
      <w:r w:rsidR="001E2CF2">
        <w:t xml:space="preserve"> and </w:t>
      </w:r>
      <w:r w:rsidRPr="00D00F17">
        <w:t>the total of th</w:t>
      </w:r>
      <w:r w:rsidR="001E2CF2">
        <w:t>e</w:t>
      </w:r>
      <w:r w:rsidRPr="00D00F17">
        <w:t>se prices</w:t>
      </w:r>
      <w:r w:rsidR="005C5016">
        <w:t>.</w:t>
      </w:r>
    </w:p>
    <w:p w14:paraId="24C8FE2C" w14:textId="72520190" w:rsidR="00FB2284" w:rsidRPr="00D00F17" w:rsidRDefault="00FB2284" w:rsidP="00D1163E">
      <w:pPr>
        <w:pStyle w:val="ListParagraph"/>
        <w:numPr>
          <w:ilvl w:val="0"/>
          <w:numId w:val="6"/>
        </w:numPr>
      </w:pPr>
      <w:r w:rsidRPr="00D00F17">
        <w:t xml:space="preserve">The care recipient’s unspent home care amount (provider-held unspent funds) in respect </w:t>
      </w:r>
      <w:r w:rsidR="001E2CF2" w:rsidRPr="00D00F17">
        <w:t>of</w:t>
      </w:r>
      <w:r w:rsidRPr="00D00F17">
        <w:t xml:space="preserve"> the previous month and the current month</w:t>
      </w:r>
      <w:r w:rsidR="001E2CF2">
        <w:t>.</w:t>
      </w:r>
    </w:p>
    <w:p w14:paraId="4DCB94FB" w14:textId="41808947" w:rsidR="00FB2284" w:rsidRPr="00D00F17" w:rsidRDefault="00FB2284" w:rsidP="00D1163E">
      <w:pPr>
        <w:pStyle w:val="ListParagraph"/>
        <w:numPr>
          <w:ilvl w:val="0"/>
          <w:numId w:val="6"/>
        </w:numPr>
      </w:pPr>
      <w:r w:rsidRPr="00D00F17">
        <w:t>If, during the month, the provider received the care recipient portion of unspent funds from another provider—the amount that was received.</w:t>
      </w:r>
    </w:p>
    <w:p w14:paraId="49055162" w14:textId="7B1F2F13" w:rsidR="00FB2284" w:rsidRDefault="00FB2284" w:rsidP="00FB2284">
      <w:r w:rsidRPr="00D00F17">
        <w:t>The statement should align with the provider claim for care and services delivered during the month (the payment period). That is, both the claim and the statement should include care and services even if the payment for these services has not been finalised, for example as it was delivered by a sub-contractor and the invoice has not been received. Any adjustments can be reflected in subsequent months (in both the claim and statement).</w:t>
      </w:r>
    </w:p>
    <w:p w14:paraId="2329FCDD" w14:textId="77777777" w:rsidR="00912FAA" w:rsidRDefault="004518E1" w:rsidP="00393E2D">
      <w:r w:rsidRPr="004518E1">
        <w:t xml:space="preserve">Statements </w:t>
      </w:r>
      <w:r w:rsidRPr="00394F47">
        <w:t xml:space="preserve">do not need to break down </w:t>
      </w:r>
      <w:r w:rsidR="007136B0" w:rsidRPr="00394F47">
        <w:t xml:space="preserve">the </w:t>
      </w:r>
      <w:r w:rsidRPr="00394F47">
        <w:t xml:space="preserve">unspent funds balance into the </w:t>
      </w:r>
      <w:r w:rsidR="00215BD8" w:rsidRPr="00394F47">
        <w:t xml:space="preserve">provider-held </w:t>
      </w:r>
      <w:r w:rsidRPr="00394F47">
        <w:t>care recipient portion</w:t>
      </w:r>
      <w:r w:rsidR="00480071" w:rsidRPr="00394F47">
        <w:t>,</w:t>
      </w:r>
      <w:r w:rsidR="00307621" w:rsidRPr="00394F47">
        <w:t xml:space="preserve"> </w:t>
      </w:r>
      <w:r w:rsidRPr="00394F47">
        <w:t>Commonwealth portion</w:t>
      </w:r>
      <w:r w:rsidR="00215BD8" w:rsidRPr="00394F47">
        <w:t>s</w:t>
      </w:r>
      <w:r w:rsidRPr="00394F47">
        <w:t>,</w:t>
      </w:r>
      <w:r w:rsidR="00215BD8" w:rsidRPr="00394F47">
        <w:t xml:space="preserve"> or the home care account balance</w:t>
      </w:r>
      <w:r w:rsidRPr="00394F47">
        <w:t xml:space="preserve"> until providers are ready to include this information</w:t>
      </w:r>
      <w:r w:rsidR="007136B0" w:rsidRPr="00394F47">
        <w:t>.</w:t>
      </w:r>
      <w:r w:rsidR="00710867">
        <w:t xml:space="preserve"> </w:t>
      </w:r>
    </w:p>
    <w:p w14:paraId="6A054EE9" w14:textId="77777777" w:rsidR="00912FAA" w:rsidRDefault="00710867" w:rsidP="00393E2D">
      <w:pPr>
        <w:rPr>
          <w:rFonts w:cstheme="minorBidi"/>
          <w:szCs w:val="22"/>
          <w:lang w:val="en-GB"/>
        </w:rPr>
      </w:pPr>
      <w:r>
        <w:t>However, if provider’s systems are ready to report on each unspent fund amount</w:t>
      </w:r>
      <w:r w:rsidR="00A77DCB">
        <w:t>,</w:t>
      </w:r>
      <w:r>
        <w:t xml:space="preserve"> this is supported by the department and the provider can commence immediately. </w:t>
      </w:r>
      <w:r w:rsidR="004430D7" w:rsidRPr="004430D7">
        <w:rPr>
          <w:rFonts w:cstheme="minorBidi"/>
          <w:szCs w:val="22"/>
          <w:lang w:val="en-GB"/>
        </w:rPr>
        <w:t xml:space="preserve"> </w:t>
      </w:r>
    </w:p>
    <w:p w14:paraId="0CA352AF" w14:textId="1CD672F8" w:rsidR="004518E1" w:rsidRPr="004518E1" w:rsidRDefault="004430D7" w:rsidP="00393E2D">
      <w:r w:rsidRPr="009F7C90">
        <w:rPr>
          <w:rFonts w:cstheme="minorBidi"/>
          <w:szCs w:val="22"/>
          <w:lang w:val="en-GB"/>
        </w:rPr>
        <w:t xml:space="preserve">The </w:t>
      </w:r>
      <w:r w:rsidR="008A45A0">
        <w:rPr>
          <w:rFonts w:cstheme="minorBidi"/>
          <w:szCs w:val="22"/>
          <w:lang w:val="en-GB"/>
        </w:rPr>
        <w:t>D</w:t>
      </w:r>
      <w:r w:rsidRPr="009F7C90">
        <w:rPr>
          <w:rFonts w:cstheme="minorBidi"/>
          <w:szCs w:val="22"/>
          <w:lang w:val="en-GB"/>
        </w:rPr>
        <w:t>epartment will review this early in 2022</w:t>
      </w:r>
      <w:r>
        <w:rPr>
          <w:rFonts w:cstheme="minorBidi"/>
          <w:szCs w:val="22"/>
          <w:lang w:val="en-GB"/>
        </w:rPr>
        <w:t>, to determine the date at which this reporting requirement becomes mandatory. Advance notice will be provided to the sector.</w:t>
      </w:r>
    </w:p>
    <w:p w14:paraId="3401B63A" w14:textId="6B36F1D4" w:rsidR="00503DA1" w:rsidRPr="007F4EB7" w:rsidRDefault="004518E1" w:rsidP="00393E2D">
      <w:r w:rsidRPr="004518E1">
        <w:t xml:space="preserve">A non-mandatory better practice statement </w:t>
      </w:r>
      <w:r w:rsidR="00B55179">
        <w:t>has been</w:t>
      </w:r>
      <w:r w:rsidRPr="004518E1">
        <w:t xml:space="preserve"> developed</w:t>
      </w:r>
      <w:r w:rsidR="00A42514">
        <w:t xml:space="preserve"> </w:t>
      </w:r>
      <w:r w:rsidR="00B55179">
        <w:t xml:space="preserve">and is available to for use on the IPA webpage. </w:t>
      </w:r>
    </w:p>
    <w:p w14:paraId="09B71834" w14:textId="0729BCA5" w:rsidR="008C2B67" w:rsidRPr="004430D7" w:rsidRDefault="00503DA1" w:rsidP="00F77063">
      <w:r w:rsidRPr="007F4EB7">
        <w:t xml:space="preserve">Services Australia will expand the payment statement issued to providers to report the balance of </w:t>
      </w:r>
      <w:r w:rsidR="00B9469B">
        <w:t>Government</w:t>
      </w:r>
      <w:r w:rsidR="00B9469B" w:rsidRPr="007F4EB7">
        <w:t xml:space="preserve"> </w:t>
      </w:r>
      <w:r w:rsidRPr="007F4EB7">
        <w:t>subsidy held within each care recipient’s home care account and any provider</w:t>
      </w:r>
      <w:r w:rsidR="004518E1">
        <w:t>-</w:t>
      </w:r>
      <w:r w:rsidRPr="007F4EB7">
        <w:t>held amounts returned.</w:t>
      </w:r>
    </w:p>
    <w:p w14:paraId="08FCC836" w14:textId="5749A011" w:rsidR="00427D61" w:rsidRPr="00427D61" w:rsidRDefault="00427D61" w:rsidP="00AA67AC">
      <w:pPr>
        <w:pStyle w:val="Heading2"/>
        <w:numPr>
          <w:ilvl w:val="0"/>
          <w:numId w:val="5"/>
        </w:numPr>
        <w:ind w:left="284"/>
      </w:pPr>
      <w:bookmarkStart w:id="99" w:name="_Do_providers_need"/>
      <w:bookmarkEnd w:id="99"/>
      <w:r w:rsidRPr="00427D61">
        <w:t>Do provide</w:t>
      </w:r>
      <w:r>
        <w:t>rs</w:t>
      </w:r>
      <w:r w:rsidRPr="00427D61">
        <w:t xml:space="preserve"> need to report the </w:t>
      </w:r>
      <w:r w:rsidR="00B9469B" w:rsidRPr="00427D61">
        <w:t>home care account</w:t>
      </w:r>
      <w:r w:rsidRPr="00427D61">
        <w:t xml:space="preserve"> balance to care recipients?</w:t>
      </w:r>
    </w:p>
    <w:p w14:paraId="265E349A" w14:textId="77777777" w:rsidR="007136B0" w:rsidRDefault="004518E1" w:rsidP="007500AF">
      <w:r w:rsidRPr="004518E1">
        <w:t xml:space="preserve">Providers must maintain oversight of their care recipients’ </w:t>
      </w:r>
      <w:r w:rsidRPr="00F77063">
        <w:t>home care account balance</w:t>
      </w:r>
      <w:r w:rsidR="007136B0">
        <w:t>.</w:t>
      </w:r>
    </w:p>
    <w:p w14:paraId="447BE0CC" w14:textId="59B5B02A" w:rsidR="007136B0" w:rsidRDefault="00903F4A" w:rsidP="007500AF">
      <w:r>
        <w:t>Providers do not need to r</w:t>
      </w:r>
      <w:r w:rsidR="007136B0">
        <w:t>eport on home care account balance</w:t>
      </w:r>
      <w:r>
        <w:t>s</w:t>
      </w:r>
      <w:r w:rsidR="007136B0">
        <w:t xml:space="preserve"> </w:t>
      </w:r>
      <w:r>
        <w:t xml:space="preserve">in </w:t>
      </w:r>
      <w:r w:rsidR="007136B0" w:rsidRPr="007500AF">
        <w:t>care recipient monthly statement</w:t>
      </w:r>
      <w:r>
        <w:t>s</w:t>
      </w:r>
      <w:r w:rsidR="007136B0" w:rsidRPr="007500AF">
        <w:t>, until providers’ systems are ready.</w:t>
      </w:r>
      <w:r w:rsidR="004430D7">
        <w:t xml:space="preserve"> </w:t>
      </w:r>
      <w:r w:rsidR="004430D7" w:rsidRPr="009F7C90">
        <w:rPr>
          <w:rFonts w:cstheme="minorBidi"/>
          <w:szCs w:val="22"/>
          <w:lang w:val="en-GB"/>
        </w:rPr>
        <w:t xml:space="preserve">The </w:t>
      </w:r>
      <w:r w:rsidR="008A45A0">
        <w:rPr>
          <w:rFonts w:cstheme="minorBidi"/>
          <w:szCs w:val="22"/>
          <w:lang w:val="en-GB"/>
        </w:rPr>
        <w:t>D</w:t>
      </w:r>
      <w:r w:rsidR="004430D7" w:rsidRPr="009F7C90">
        <w:rPr>
          <w:rFonts w:cstheme="minorBidi"/>
          <w:szCs w:val="22"/>
          <w:lang w:val="en-GB"/>
        </w:rPr>
        <w:t>epartment will review this early in 2022</w:t>
      </w:r>
      <w:r w:rsidR="004430D7">
        <w:rPr>
          <w:rFonts w:cstheme="minorBidi"/>
          <w:szCs w:val="22"/>
          <w:lang w:val="en-GB"/>
        </w:rPr>
        <w:t>, to determine the date at which this reporting requirement becomes mandatory. Advance notice will be provided to the sector.</w:t>
      </w:r>
    </w:p>
    <w:p w14:paraId="62D1B9AB" w14:textId="077BC700" w:rsidR="00C33CEA" w:rsidRPr="003C3BCE" w:rsidRDefault="00903F4A" w:rsidP="00CB2880">
      <w:r>
        <w:t>If a care recipient requests the balance of their home care account, a p</w:t>
      </w:r>
      <w:r w:rsidR="007136B0">
        <w:t>rovider</w:t>
      </w:r>
      <w:r w:rsidR="004518E1" w:rsidRPr="004518E1">
        <w:t xml:space="preserve"> </w:t>
      </w:r>
      <w:r>
        <w:t>must disclose the balance of their home care account. H</w:t>
      </w:r>
      <w:r w:rsidR="007136B0" w:rsidRPr="00F77063">
        <w:t>ome care account balance</w:t>
      </w:r>
      <w:r>
        <w:t>s are available</w:t>
      </w:r>
      <w:r w:rsidR="007136B0" w:rsidRPr="00B9469B">
        <w:t xml:space="preserve"> </w:t>
      </w:r>
      <w:r w:rsidR="007136B0" w:rsidRPr="007F4EB7">
        <w:t>through the Aged Care Provider Portal</w:t>
      </w:r>
      <w:r w:rsidR="007136B0">
        <w:t xml:space="preserve"> and the payment statement Services Australia issues to providers</w:t>
      </w:r>
      <w:r w:rsidR="007136B0" w:rsidRPr="007F4EB7">
        <w:t>.</w:t>
      </w:r>
      <w:bookmarkStart w:id="100" w:name="_Toc77673794"/>
      <w:bookmarkStart w:id="101" w:name="_Toc77673883"/>
      <w:bookmarkStart w:id="102" w:name="_Toc77674361"/>
      <w:bookmarkStart w:id="103" w:name="_Toc77684758"/>
      <w:bookmarkStart w:id="104" w:name="_Toc77684859"/>
      <w:bookmarkStart w:id="105" w:name="_Toc77673802"/>
      <w:bookmarkStart w:id="106" w:name="_Toc77673891"/>
      <w:bookmarkStart w:id="107" w:name="_Toc77674369"/>
      <w:bookmarkStart w:id="108" w:name="_Toc77684766"/>
      <w:bookmarkStart w:id="109" w:name="_Toc77684867"/>
      <w:bookmarkStart w:id="110" w:name="_Toc77673804"/>
      <w:bookmarkStart w:id="111" w:name="_Toc77673893"/>
      <w:bookmarkStart w:id="112" w:name="_Toc77674371"/>
      <w:bookmarkStart w:id="113" w:name="_Toc77684768"/>
      <w:bookmarkStart w:id="114" w:name="_Toc77684869"/>
      <w:bookmarkStart w:id="115" w:name="_Toc77673806"/>
      <w:bookmarkStart w:id="116" w:name="_Toc77673895"/>
      <w:bookmarkStart w:id="117" w:name="_Toc77674373"/>
      <w:bookmarkStart w:id="118" w:name="_Toc77684770"/>
      <w:bookmarkStart w:id="119" w:name="_Toc77684871"/>
      <w:bookmarkStart w:id="120" w:name="_Toc77673807"/>
      <w:bookmarkStart w:id="121" w:name="_Toc77673896"/>
      <w:bookmarkStart w:id="122" w:name="_Toc77674374"/>
      <w:bookmarkStart w:id="123" w:name="_Toc77684771"/>
      <w:bookmarkStart w:id="124" w:name="_Toc77684872"/>
      <w:bookmarkStart w:id="125" w:name="_Toc77673808"/>
      <w:bookmarkStart w:id="126" w:name="_Toc77673897"/>
      <w:bookmarkStart w:id="127" w:name="_Toc77674375"/>
      <w:bookmarkStart w:id="128" w:name="_Toc77684772"/>
      <w:bookmarkStart w:id="129" w:name="_Toc7768487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D280183" w14:textId="30D058F0" w:rsidR="009B06B5" w:rsidRDefault="009B06B5" w:rsidP="00F77063">
      <w:pPr>
        <w:pStyle w:val="Heading1"/>
      </w:pPr>
      <w:bookmarkStart w:id="130" w:name="_Toc77762361"/>
      <w:bookmarkStart w:id="131" w:name="_Toc77762483"/>
      <w:bookmarkStart w:id="132" w:name="_Toc77762568"/>
      <w:bookmarkStart w:id="133" w:name="_Toc77762653"/>
      <w:bookmarkStart w:id="134" w:name="_Toc77673813"/>
      <w:bookmarkStart w:id="135" w:name="_Toc77673902"/>
      <w:bookmarkStart w:id="136" w:name="_Toc77674380"/>
      <w:bookmarkStart w:id="137" w:name="_Toc77684777"/>
      <w:bookmarkStart w:id="138" w:name="_Toc77684878"/>
      <w:bookmarkStart w:id="139" w:name="_Toc77673814"/>
      <w:bookmarkStart w:id="140" w:name="_Toc77673903"/>
      <w:bookmarkStart w:id="141" w:name="_Toc77674381"/>
      <w:bookmarkStart w:id="142" w:name="_Toc77684778"/>
      <w:bookmarkStart w:id="143" w:name="_Toc77684879"/>
      <w:bookmarkStart w:id="144" w:name="_Toc77673815"/>
      <w:bookmarkStart w:id="145" w:name="_Toc77673904"/>
      <w:bookmarkStart w:id="146" w:name="_Toc77674382"/>
      <w:bookmarkStart w:id="147" w:name="_Toc77684779"/>
      <w:bookmarkStart w:id="148" w:name="_Toc77684880"/>
      <w:bookmarkStart w:id="149" w:name="_What_will_happen"/>
      <w:bookmarkStart w:id="150" w:name="_Toc9583913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lastRenderedPageBreak/>
        <w:t>S</w:t>
      </w:r>
      <w:r w:rsidR="00CB2880">
        <w:t>ystem Issues</w:t>
      </w:r>
      <w:bookmarkStart w:id="151" w:name="_Hlk81213996"/>
      <w:bookmarkEnd w:id="150"/>
    </w:p>
    <w:p w14:paraId="2FBD31FA" w14:textId="5E1A4739" w:rsidR="003624CF" w:rsidRDefault="00CB2880" w:rsidP="003624CF">
      <w:pPr>
        <w:pStyle w:val="Heading2"/>
        <w:numPr>
          <w:ilvl w:val="0"/>
          <w:numId w:val="5"/>
        </w:numPr>
        <w:ind w:left="284"/>
      </w:pPr>
      <w:r>
        <w:t xml:space="preserve">What </w:t>
      </w:r>
      <w:r w:rsidR="00F234EA">
        <w:t xml:space="preserve">to do if providers </w:t>
      </w:r>
      <w:r>
        <w:t>are having ongoing issues in integrating with Services Australia systems?</w:t>
      </w:r>
    </w:p>
    <w:p w14:paraId="0D2E63C3" w14:textId="3BE14234" w:rsidR="003624CF" w:rsidRPr="00AA24AE" w:rsidRDefault="003624CF" w:rsidP="003624CF">
      <w:r w:rsidRPr="00AA24AE">
        <w:t>If providers are having ongoing issues with the claiming process or questions about integrating their systems with Services Australia’s systems, please contact Services Australia’s aged care claims and payments enquiry line on 1800 195 206 (from 8.30am to 5pm AEDT, Monday to Friday).</w:t>
      </w:r>
    </w:p>
    <w:p w14:paraId="312B516A" w14:textId="2B94F958" w:rsidR="003624CF" w:rsidRPr="003624CF" w:rsidRDefault="003624CF" w:rsidP="003624CF">
      <w:r w:rsidRPr="00AA24AE">
        <w:t>For queries that are not time-sensitive, Services Australia’s aged care payments team can also be contacted by email at aged.care.liaison@servicesaustralia.gov.au.</w:t>
      </w:r>
    </w:p>
    <w:bookmarkEnd w:id="151"/>
    <w:p w14:paraId="09FB110A" w14:textId="501CACAD" w:rsidR="009B06B5" w:rsidRDefault="009B06B5" w:rsidP="00C30C3A">
      <w:pPr>
        <w:pStyle w:val="Heading2"/>
        <w:numPr>
          <w:ilvl w:val="0"/>
          <w:numId w:val="5"/>
        </w:numPr>
        <w:ind w:left="284"/>
      </w:pPr>
      <w:r w:rsidRPr="009B06B5">
        <w:softHyphen/>
        <w:t>Does Services Australia have a list of software provider</w:t>
      </w:r>
      <w:r w:rsidR="00C52A03">
        <w:t xml:space="preserve">s </w:t>
      </w:r>
      <w:r w:rsidR="00D045F8">
        <w:t>who</w:t>
      </w:r>
      <w:r w:rsidR="00C52A03">
        <w:t xml:space="preserve"> interact with the portal</w:t>
      </w:r>
      <w:r>
        <w:t>?</w:t>
      </w:r>
    </w:p>
    <w:p w14:paraId="5DEDB0E9" w14:textId="432679DB" w:rsidR="009B06B5" w:rsidRDefault="009B06B5" w:rsidP="00F77063">
      <w:pPr>
        <w:rPr>
          <w:szCs w:val="22"/>
        </w:rPr>
      </w:pPr>
      <w:r w:rsidRPr="009B06B5">
        <w:rPr>
          <w:szCs w:val="22"/>
        </w:rPr>
        <w:t xml:space="preserve">Services Australia publishes a list of software developers </w:t>
      </w:r>
      <w:r w:rsidR="00D045F8">
        <w:rPr>
          <w:szCs w:val="22"/>
        </w:rPr>
        <w:t>who</w:t>
      </w:r>
      <w:r w:rsidRPr="009B06B5">
        <w:rPr>
          <w:szCs w:val="22"/>
        </w:rPr>
        <w:t xml:space="preserve"> ha</w:t>
      </w:r>
      <w:r w:rsidR="00C52A03">
        <w:rPr>
          <w:szCs w:val="22"/>
        </w:rPr>
        <w:t xml:space="preserve">ve passed integration testing. </w:t>
      </w:r>
      <w:r w:rsidRPr="009B06B5">
        <w:rPr>
          <w:szCs w:val="22"/>
        </w:rPr>
        <w:t xml:space="preserve">This list is on </w:t>
      </w:r>
      <w:r w:rsidR="00C52A03">
        <w:rPr>
          <w:szCs w:val="22"/>
        </w:rPr>
        <w:t>the</w:t>
      </w:r>
      <w:r w:rsidRPr="009B06B5">
        <w:rPr>
          <w:szCs w:val="22"/>
        </w:rPr>
        <w:t xml:space="preserve"> </w:t>
      </w:r>
      <w:hyperlink r:id="rId21" w:history="1">
        <w:r w:rsidR="00C52A03">
          <w:rPr>
            <w:rStyle w:val="Hyperlink"/>
            <w:szCs w:val="22"/>
          </w:rPr>
          <w:t>Services Australia website</w:t>
        </w:r>
      </w:hyperlink>
      <w:r w:rsidRPr="009B06B5">
        <w:rPr>
          <w:szCs w:val="22"/>
        </w:rPr>
        <w:t>.</w:t>
      </w:r>
    </w:p>
    <w:p w14:paraId="40FE301A" w14:textId="6D4E234D" w:rsidR="00A412B5" w:rsidRDefault="00A412B5"/>
    <w:sectPr w:rsidR="00A412B5" w:rsidSect="00C9316D">
      <w:headerReference w:type="default" r:id="rId22"/>
      <w:footerReference w:type="default" r:id="rId23"/>
      <w:type w:val="continuous"/>
      <w:pgSz w:w="11906" w:h="16838"/>
      <w:pgMar w:top="1843" w:right="1440" w:bottom="993" w:left="1440" w:header="851"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35A8B" w14:textId="77777777" w:rsidR="00752D9D" w:rsidRDefault="00752D9D" w:rsidP="00307621">
      <w:r>
        <w:separator/>
      </w:r>
    </w:p>
  </w:endnote>
  <w:endnote w:type="continuationSeparator" w:id="0">
    <w:p w14:paraId="19C93582" w14:textId="77777777" w:rsidR="00752D9D" w:rsidRDefault="00752D9D" w:rsidP="003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033734"/>
      <w:docPartObj>
        <w:docPartGallery w:val="Page Numbers (Bottom of Page)"/>
        <w:docPartUnique/>
      </w:docPartObj>
    </w:sdtPr>
    <w:sdtEndPr/>
    <w:sdtContent>
      <w:sdt>
        <w:sdtPr>
          <w:id w:val="-1769616900"/>
          <w:docPartObj>
            <w:docPartGallery w:val="Page Numbers (Top of Page)"/>
            <w:docPartUnique/>
          </w:docPartObj>
        </w:sdtPr>
        <w:sdtEndPr/>
        <w:sdtContent>
          <w:p w14:paraId="7B1CD61A" w14:textId="1ECC94CA" w:rsidR="00AA24AE" w:rsidRDefault="00AA24AE" w:rsidP="00393E2D">
            <w:pPr>
              <w:pStyle w:val="Footer"/>
            </w:pPr>
            <w:r>
              <w:t xml:space="preserve">Q &amp; A: Improved Payment Arrangements - </w:t>
            </w:r>
            <w:r w:rsidRPr="00AB19E9">
              <w:t xml:space="preserve">Page </w:t>
            </w:r>
            <w:r w:rsidRPr="00AB19E9">
              <w:fldChar w:fldCharType="begin"/>
            </w:r>
            <w:r w:rsidRPr="00AB19E9">
              <w:instrText xml:space="preserve"> PAGE </w:instrText>
            </w:r>
            <w:r w:rsidRPr="00AB19E9">
              <w:fldChar w:fldCharType="separate"/>
            </w:r>
            <w:r>
              <w:rPr>
                <w:noProof/>
              </w:rPr>
              <w:t>20</w:t>
            </w:r>
            <w:r w:rsidRPr="00AB19E9">
              <w:fldChar w:fldCharType="end"/>
            </w:r>
            <w:r w:rsidRPr="00AB19E9">
              <w:t xml:space="preserve"> of </w:t>
            </w:r>
            <w:r w:rsidR="0054516C">
              <w:fldChar w:fldCharType="begin"/>
            </w:r>
            <w:r w:rsidR="0054516C">
              <w:instrText xml:space="preserve"> NUMPAGES  </w:instrText>
            </w:r>
            <w:r w:rsidR="0054516C">
              <w:fldChar w:fldCharType="separate"/>
            </w:r>
            <w:r>
              <w:rPr>
                <w:noProof/>
              </w:rPr>
              <w:t>20</w:t>
            </w:r>
            <w:r w:rsidR="0054516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5A9E7" w14:textId="77777777" w:rsidR="00752D9D" w:rsidRDefault="00752D9D" w:rsidP="00F77063">
      <w:r>
        <w:separator/>
      </w:r>
    </w:p>
  </w:footnote>
  <w:footnote w:type="continuationSeparator" w:id="0">
    <w:p w14:paraId="2DF7251A" w14:textId="77777777" w:rsidR="00752D9D" w:rsidRDefault="00752D9D" w:rsidP="0030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CDB3" w14:textId="39D681D3" w:rsidR="00AA24AE" w:rsidRDefault="00AA24AE">
    <w:pPr>
      <w:pStyle w:val="Header"/>
    </w:pPr>
    <w:r>
      <w:rPr>
        <w:noProof/>
        <w:lang w:eastAsia="en-AU"/>
      </w:rPr>
      <w:drawing>
        <wp:anchor distT="0" distB="0" distL="114300" distR="114300" simplePos="0" relativeHeight="251657216" behindDoc="0" locked="0" layoutInCell="1" allowOverlap="1" wp14:anchorId="3F39164D" wp14:editId="5B9186D4">
          <wp:simplePos x="0" y="0"/>
          <wp:positionH relativeFrom="margin">
            <wp:posOffset>0</wp:posOffset>
          </wp:positionH>
          <wp:positionV relativeFrom="margin">
            <wp:posOffset>-885190</wp:posOffset>
          </wp:positionV>
          <wp:extent cx="2931795" cy="706755"/>
          <wp:effectExtent l="0" t="0" r="190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1795" cy="706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190"/>
    <w:multiLevelType w:val="hybridMultilevel"/>
    <w:tmpl w:val="1A48A42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F23033"/>
    <w:multiLevelType w:val="hybridMultilevel"/>
    <w:tmpl w:val="AE2A0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690EBD"/>
    <w:multiLevelType w:val="hybridMultilevel"/>
    <w:tmpl w:val="8FE60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624D6"/>
    <w:multiLevelType w:val="hybridMultilevel"/>
    <w:tmpl w:val="D60E5DA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 w15:restartNumberingAfterBreak="0">
    <w:nsid w:val="17A5537B"/>
    <w:multiLevelType w:val="hybridMultilevel"/>
    <w:tmpl w:val="495E306C"/>
    <w:lvl w:ilvl="0" w:tplc="0EA8B88E">
      <w:start w:val="1"/>
      <w:numFmt w:val="decimal"/>
      <w:lvlText w:val="%1."/>
      <w:lvlJc w:val="left"/>
      <w:pPr>
        <w:ind w:left="6172"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6905D3"/>
    <w:multiLevelType w:val="hybridMultilevel"/>
    <w:tmpl w:val="54D02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A5E95"/>
    <w:multiLevelType w:val="hybridMultilevel"/>
    <w:tmpl w:val="75E076F8"/>
    <w:lvl w:ilvl="0" w:tplc="FB26A012">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AE0"/>
    <w:multiLevelType w:val="hybridMultilevel"/>
    <w:tmpl w:val="3B84A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8E41F3"/>
    <w:multiLevelType w:val="hybridMultilevel"/>
    <w:tmpl w:val="A43E9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84002"/>
    <w:multiLevelType w:val="hybridMultilevel"/>
    <w:tmpl w:val="A23682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FDC25A6"/>
    <w:multiLevelType w:val="hybridMultilevel"/>
    <w:tmpl w:val="08FABB9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15:restartNumberingAfterBreak="0">
    <w:nsid w:val="41521C0C"/>
    <w:multiLevelType w:val="hybridMultilevel"/>
    <w:tmpl w:val="75A00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C72617"/>
    <w:multiLevelType w:val="hybridMultilevel"/>
    <w:tmpl w:val="27D0DD16"/>
    <w:lvl w:ilvl="0" w:tplc="D66EF38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F37978"/>
    <w:multiLevelType w:val="hybridMultilevel"/>
    <w:tmpl w:val="978EC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A4825"/>
    <w:multiLevelType w:val="hybridMultilevel"/>
    <w:tmpl w:val="D5968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AE19F5"/>
    <w:multiLevelType w:val="hybridMultilevel"/>
    <w:tmpl w:val="0ABAD14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6" w15:restartNumberingAfterBreak="0">
    <w:nsid w:val="5E5D595D"/>
    <w:multiLevelType w:val="hybridMultilevel"/>
    <w:tmpl w:val="12B2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4A4C9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D7426"/>
    <w:multiLevelType w:val="hybridMultilevel"/>
    <w:tmpl w:val="3D24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DA4722"/>
    <w:multiLevelType w:val="hybridMultilevel"/>
    <w:tmpl w:val="88AEE79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780F23A8"/>
    <w:multiLevelType w:val="hybridMultilevel"/>
    <w:tmpl w:val="01322ABE"/>
    <w:lvl w:ilvl="0" w:tplc="2C342830">
      <w:start w:val="1"/>
      <w:numFmt w:val="decimal"/>
      <w:pStyle w:val="Heading3"/>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687461"/>
    <w:multiLevelType w:val="hybridMultilevel"/>
    <w:tmpl w:val="EF44B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E463E2"/>
    <w:multiLevelType w:val="hybridMultilevel"/>
    <w:tmpl w:val="2AB25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A196906"/>
    <w:multiLevelType w:val="hybridMultilevel"/>
    <w:tmpl w:val="BDA0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27C87"/>
    <w:multiLevelType w:val="hybridMultilevel"/>
    <w:tmpl w:val="14264BE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6"/>
  </w:num>
  <w:num w:numId="2">
    <w:abstractNumId w:val="20"/>
  </w:num>
  <w:num w:numId="3">
    <w:abstractNumId w:val="15"/>
  </w:num>
  <w:num w:numId="4">
    <w:abstractNumId w:val="2"/>
  </w:num>
  <w:num w:numId="5">
    <w:abstractNumId w:val="4"/>
  </w:num>
  <w:num w:numId="6">
    <w:abstractNumId w:val="17"/>
  </w:num>
  <w:num w:numId="7">
    <w:abstractNumId w:val="3"/>
  </w:num>
  <w:num w:numId="8">
    <w:abstractNumId w:val="16"/>
  </w:num>
  <w:num w:numId="9">
    <w:abstractNumId w:val="23"/>
  </w:num>
  <w:num w:numId="10">
    <w:abstractNumId w:val="13"/>
  </w:num>
  <w:num w:numId="11">
    <w:abstractNumId w:val="12"/>
  </w:num>
  <w:num w:numId="12">
    <w:abstractNumId w:val="20"/>
  </w:num>
  <w:num w:numId="13">
    <w:abstractNumId w:val="20"/>
  </w:num>
  <w:num w:numId="14">
    <w:abstractNumId w:val="7"/>
  </w:num>
  <w:num w:numId="15">
    <w:abstractNumId w:val="20"/>
  </w:num>
  <w:num w:numId="16">
    <w:abstractNumId w:val="10"/>
  </w:num>
  <w:num w:numId="17">
    <w:abstractNumId w:val="24"/>
  </w:num>
  <w:num w:numId="18">
    <w:abstractNumId w:val="14"/>
  </w:num>
  <w:num w:numId="19">
    <w:abstractNumId w:val="22"/>
  </w:num>
  <w:num w:numId="20">
    <w:abstractNumId w:val="11"/>
  </w:num>
  <w:num w:numId="21">
    <w:abstractNumId w:val="20"/>
  </w:num>
  <w:num w:numId="22">
    <w:abstractNumId w:val="20"/>
  </w:num>
  <w:num w:numId="23">
    <w:abstractNumId w:val="9"/>
  </w:num>
  <w:num w:numId="24">
    <w:abstractNumId w:val="1"/>
  </w:num>
  <w:num w:numId="25">
    <w:abstractNumId w:val="1"/>
  </w:num>
  <w:num w:numId="26">
    <w:abstractNumId w:val="18"/>
  </w:num>
  <w:num w:numId="27">
    <w:abstractNumId w:val="21"/>
  </w:num>
  <w:num w:numId="28">
    <w:abstractNumId w:val="20"/>
  </w:num>
  <w:num w:numId="29">
    <w:abstractNumId w:val="20"/>
  </w:num>
  <w:num w:numId="30">
    <w:abstractNumId w:val="5"/>
  </w:num>
  <w:num w:numId="31">
    <w:abstractNumId w:val="8"/>
  </w:num>
  <w:num w:numId="32">
    <w:abstractNumId w:val="20"/>
  </w:num>
  <w:num w:numId="33">
    <w:abstractNumId w:val="19"/>
  </w:num>
  <w:num w:numId="3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E3"/>
    <w:rsid w:val="00001655"/>
    <w:rsid w:val="00002EF8"/>
    <w:rsid w:val="00007FDE"/>
    <w:rsid w:val="000110C4"/>
    <w:rsid w:val="00025E22"/>
    <w:rsid w:val="00026733"/>
    <w:rsid w:val="000272F0"/>
    <w:rsid w:val="00030A7F"/>
    <w:rsid w:val="000356D2"/>
    <w:rsid w:val="00043494"/>
    <w:rsid w:val="00045873"/>
    <w:rsid w:val="000470BF"/>
    <w:rsid w:val="00050A9D"/>
    <w:rsid w:val="000519BB"/>
    <w:rsid w:val="0005541C"/>
    <w:rsid w:val="00055546"/>
    <w:rsid w:val="000622FA"/>
    <w:rsid w:val="000661D7"/>
    <w:rsid w:val="00066861"/>
    <w:rsid w:val="000673C2"/>
    <w:rsid w:val="0007358F"/>
    <w:rsid w:val="00074CB3"/>
    <w:rsid w:val="0007578C"/>
    <w:rsid w:val="00081B92"/>
    <w:rsid w:val="000835C9"/>
    <w:rsid w:val="000865C1"/>
    <w:rsid w:val="00090186"/>
    <w:rsid w:val="0009242E"/>
    <w:rsid w:val="000931A6"/>
    <w:rsid w:val="00093D1E"/>
    <w:rsid w:val="0009601E"/>
    <w:rsid w:val="000A214A"/>
    <w:rsid w:val="000A220F"/>
    <w:rsid w:val="000A5564"/>
    <w:rsid w:val="000A5EA5"/>
    <w:rsid w:val="000B1E49"/>
    <w:rsid w:val="000B383F"/>
    <w:rsid w:val="000B6D89"/>
    <w:rsid w:val="000B7A29"/>
    <w:rsid w:val="000D2C4F"/>
    <w:rsid w:val="000D78CD"/>
    <w:rsid w:val="000E3671"/>
    <w:rsid w:val="000E6EC8"/>
    <w:rsid w:val="000F5326"/>
    <w:rsid w:val="0010039D"/>
    <w:rsid w:val="001075CE"/>
    <w:rsid w:val="00115706"/>
    <w:rsid w:val="001228DF"/>
    <w:rsid w:val="001229F2"/>
    <w:rsid w:val="001271BA"/>
    <w:rsid w:val="00130D7B"/>
    <w:rsid w:val="001336C8"/>
    <w:rsid w:val="001350E1"/>
    <w:rsid w:val="00135A62"/>
    <w:rsid w:val="0014723F"/>
    <w:rsid w:val="0015154F"/>
    <w:rsid w:val="00151D5E"/>
    <w:rsid w:val="0015719D"/>
    <w:rsid w:val="00157618"/>
    <w:rsid w:val="0016005D"/>
    <w:rsid w:val="0016663D"/>
    <w:rsid w:val="001735A5"/>
    <w:rsid w:val="001746C2"/>
    <w:rsid w:val="00175C51"/>
    <w:rsid w:val="0017609E"/>
    <w:rsid w:val="0017625B"/>
    <w:rsid w:val="00176ED1"/>
    <w:rsid w:val="00176FF2"/>
    <w:rsid w:val="001770F1"/>
    <w:rsid w:val="0018789A"/>
    <w:rsid w:val="0019452B"/>
    <w:rsid w:val="00195965"/>
    <w:rsid w:val="00196CE3"/>
    <w:rsid w:val="00196E2E"/>
    <w:rsid w:val="001A087E"/>
    <w:rsid w:val="001B0787"/>
    <w:rsid w:val="001B3502"/>
    <w:rsid w:val="001B3731"/>
    <w:rsid w:val="001B3D6F"/>
    <w:rsid w:val="001B420A"/>
    <w:rsid w:val="001B65B1"/>
    <w:rsid w:val="001B7587"/>
    <w:rsid w:val="001C001B"/>
    <w:rsid w:val="001C1E96"/>
    <w:rsid w:val="001C5008"/>
    <w:rsid w:val="001D2AE1"/>
    <w:rsid w:val="001D2DDB"/>
    <w:rsid w:val="001D41A9"/>
    <w:rsid w:val="001D4559"/>
    <w:rsid w:val="001D6691"/>
    <w:rsid w:val="001E1FEE"/>
    <w:rsid w:val="001E2CF2"/>
    <w:rsid w:val="001E516B"/>
    <w:rsid w:val="0020260E"/>
    <w:rsid w:val="0021463B"/>
    <w:rsid w:val="00215165"/>
    <w:rsid w:val="00215BD8"/>
    <w:rsid w:val="00216D82"/>
    <w:rsid w:val="00217477"/>
    <w:rsid w:val="00221841"/>
    <w:rsid w:val="00224D2A"/>
    <w:rsid w:val="0023260B"/>
    <w:rsid w:val="00240B32"/>
    <w:rsid w:val="00242EA0"/>
    <w:rsid w:val="00243DDC"/>
    <w:rsid w:val="002459F0"/>
    <w:rsid w:val="00253689"/>
    <w:rsid w:val="00253FA9"/>
    <w:rsid w:val="002546BA"/>
    <w:rsid w:val="00257974"/>
    <w:rsid w:val="00257B1F"/>
    <w:rsid w:val="002637D1"/>
    <w:rsid w:val="0026512B"/>
    <w:rsid w:val="00265D5F"/>
    <w:rsid w:val="00271826"/>
    <w:rsid w:val="002731AC"/>
    <w:rsid w:val="00273950"/>
    <w:rsid w:val="00280050"/>
    <w:rsid w:val="00290B09"/>
    <w:rsid w:val="00294A2A"/>
    <w:rsid w:val="00296629"/>
    <w:rsid w:val="00297682"/>
    <w:rsid w:val="002A0CBE"/>
    <w:rsid w:val="002A47DE"/>
    <w:rsid w:val="002A5021"/>
    <w:rsid w:val="002B1011"/>
    <w:rsid w:val="002B2BF7"/>
    <w:rsid w:val="002B59A9"/>
    <w:rsid w:val="002B67CE"/>
    <w:rsid w:val="002C0490"/>
    <w:rsid w:val="002C4B00"/>
    <w:rsid w:val="002C5272"/>
    <w:rsid w:val="002C5AB8"/>
    <w:rsid w:val="002D6D52"/>
    <w:rsid w:val="002E2710"/>
    <w:rsid w:val="002F2F6A"/>
    <w:rsid w:val="00300262"/>
    <w:rsid w:val="00300AF8"/>
    <w:rsid w:val="00301FE9"/>
    <w:rsid w:val="003043A6"/>
    <w:rsid w:val="0030539A"/>
    <w:rsid w:val="00307621"/>
    <w:rsid w:val="0032062C"/>
    <w:rsid w:val="00330515"/>
    <w:rsid w:val="00330BFE"/>
    <w:rsid w:val="00330FD5"/>
    <w:rsid w:val="00353D39"/>
    <w:rsid w:val="00354196"/>
    <w:rsid w:val="00355043"/>
    <w:rsid w:val="003572DD"/>
    <w:rsid w:val="00361BD3"/>
    <w:rsid w:val="003624CF"/>
    <w:rsid w:val="003665CA"/>
    <w:rsid w:val="003720D8"/>
    <w:rsid w:val="00373078"/>
    <w:rsid w:val="00382592"/>
    <w:rsid w:val="00383B25"/>
    <w:rsid w:val="00385AF9"/>
    <w:rsid w:val="00386FA3"/>
    <w:rsid w:val="00392925"/>
    <w:rsid w:val="00393296"/>
    <w:rsid w:val="003936B8"/>
    <w:rsid w:val="00393E2D"/>
    <w:rsid w:val="00394F47"/>
    <w:rsid w:val="0039641E"/>
    <w:rsid w:val="00396FD8"/>
    <w:rsid w:val="003A7AD6"/>
    <w:rsid w:val="003B14C9"/>
    <w:rsid w:val="003B25FD"/>
    <w:rsid w:val="003C0170"/>
    <w:rsid w:val="003C27AE"/>
    <w:rsid w:val="003C3BCE"/>
    <w:rsid w:val="003C62B6"/>
    <w:rsid w:val="003D2276"/>
    <w:rsid w:val="003D2FF8"/>
    <w:rsid w:val="003D40B6"/>
    <w:rsid w:val="003D40F2"/>
    <w:rsid w:val="003D6063"/>
    <w:rsid w:val="003E173B"/>
    <w:rsid w:val="003E18FE"/>
    <w:rsid w:val="003E23A8"/>
    <w:rsid w:val="003E41B8"/>
    <w:rsid w:val="003E5FEA"/>
    <w:rsid w:val="003F3E36"/>
    <w:rsid w:val="004113A3"/>
    <w:rsid w:val="00412FB4"/>
    <w:rsid w:val="00416FF7"/>
    <w:rsid w:val="0042219F"/>
    <w:rsid w:val="004244BD"/>
    <w:rsid w:val="004272D3"/>
    <w:rsid w:val="00427D61"/>
    <w:rsid w:val="0043293A"/>
    <w:rsid w:val="004343DD"/>
    <w:rsid w:val="00435E03"/>
    <w:rsid w:val="00437DF2"/>
    <w:rsid w:val="004400FC"/>
    <w:rsid w:val="004430D7"/>
    <w:rsid w:val="004441F8"/>
    <w:rsid w:val="00445A17"/>
    <w:rsid w:val="004464DB"/>
    <w:rsid w:val="00447841"/>
    <w:rsid w:val="004518E1"/>
    <w:rsid w:val="00453A11"/>
    <w:rsid w:val="004629D7"/>
    <w:rsid w:val="00471795"/>
    <w:rsid w:val="00472896"/>
    <w:rsid w:val="00480071"/>
    <w:rsid w:val="00482B67"/>
    <w:rsid w:val="00482FF2"/>
    <w:rsid w:val="00483C0E"/>
    <w:rsid w:val="00484AF8"/>
    <w:rsid w:val="00485B56"/>
    <w:rsid w:val="00485B8C"/>
    <w:rsid w:val="00485C48"/>
    <w:rsid w:val="00485D70"/>
    <w:rsid w:val="00485DCD"/>
    <w:rsid w:val="004865F2"/>
    <w:rsid w:val="004900EC"/>
    <w:rsid w:val="00495236"/>
    <w:rsid w:val="004967A2"/>
    <w:rsid w:val="004A1E4F"/>
    <w:rsid w:val="004A3675"/>
    <w:rsid w:val="004A7390"/>
    <w:rsid w:val="004A7F28"/>
    <w:rsid w:val="004B7B0A"/>
    <w:rsid w:val="004D203F"/>
    <w:rsid w:val="004D20AD"/>
    <w:rsid w:val="004D2A64"/>
    <w:rsid w:val="004D3A40"/>
    <w:rsid w:val="004D4120"/>
    <w:rsid w:val="004E0022"/>
    <w:rsid w:val="004E2F09"/>
    <w:rsid w:val="004F08CB"/>
    <w:rsid w:val="004F564F"/>
    <w:rsid w:val="00500D24"/>
    <w:rsid w:val="00503DA1"/>
    <w:rsid w:val="00525DAC"/>
    <w:rsid w:val="00526F00"/>
    <w:rsid w:val="00534A51"/>
    <w:rsid w:val="00535365"/>
    <w:rsid w:val="00541641"/>
    <w:rsid w:val="005448BB"/>
    <w:rsid w:val="0054516C"/>
    <w:rsid w:val="0055051B"/>
    <w:rsid w:val="005551B3"/>
    <w:rsid w:val="00564EAD"/>
    <w:rsid w:val="0056501F"/>
    <w:rsid w:val="00574A63"/>
    <w:rsid w:val="00583BE3"/>
    <w:rsid w:val="0059045F"/>
    <w:rsid w:val="005917CB"/>
    <w:rsid w:val="005940DA"/>
    <w:rsid w:val="00595896"/>
    <w:rsid w:val="00597A96"/>
    <w:rsid w:val="005A73A7"/>
    <w:rsid w:val="005B0E26"/>
    <w:rsid w:val="005B3082"/>
    <w:rsid w:val="005C1606"/>
    <w:rsid w:val="005C5016"/>
    <w:rsid w:val="005D1470"/>
    <w:rsid w:val="005D2A3C"/>
    <w:rsid w:val="005D3B72"/>
    <w:rsid w:val="005E3544"/>
    <w:rsid w:val="005E3F87"/>
    <w:rsid w:val="00611C6C"/>
    <w:rsid w:val="00612FA5"/>
    <w:rsid w:val="006131E3"/>
    <w:rsid w:val="006173E0"/>
    <w:rsid w:val="006176BD"/>
    <w:rsid w:val="006231C8"/>
    <w:rsid w:val="006234B9"/>
    <w:rsid w:val="00625967"/>
    <w:rsid w:val="00625D9F"/>
    <w:rsid w:val="00640DD7"/>
    <w:rsid w:val="00646264"/>
    <w:rsid w:val="00646613"/>
    <w:rsid w:val="006509B9"/>
    <w:rsid w:val="00653C5D"/>
    <w:rsid w:val="0065690E"/>
    <w:rsid w:val="00661BDD"/>
    <w:rsid w:val="006753B9"/>
    <w:rsid w:val="00681BE3"/>
    <w:rsid w:val="00683B7E"/>
    <w:rsid w:val="00684A08"/>
    <w:rsid w:val="00685B49"/>
    <w:rsid w:val="00691488"/>
    <w:rsid w:val="00695BE7"/>
    <w:rsid w:val="00697E0B"/>
    <w:rsid w:val="006A09AD"/>
    <w:rsid w:val="006A3369"/>
    <w:rsid w:val="006A33A5"/>
    <w:rsid w:val="006A739E"/>
    <w:rsid w:val="006B0367"/>
    <w:rsid w:val="006B62F4"/>
    <w:rsid w:val="006C05F3"/>
    <w:rsid w:val="006C5D51"/>
    <w:rsid w:val="006D0638"/>
    <w:rsid w:val="006D66DE"/>
    <w:rsid w:val="006D7BA5"/>
    <w:rsid w:val="006E051A"/>
    <w:rsid w:val="006E719C"/>
    <w:rsid w:val="006F0F09"/>
    <w:rsid w:val="006F4553"/>
    <w:rsid w:val="00700E3E"/>
    <w:rsid w:val="00704718"/>
    <w:rsid w:val="0070609C"/>
    <w:rsid w:val="007066A3"/>
    <w:rsid w:val="00710867"/>
    <w:rsid w:val="007136B0"/>
    <w:rsid w:val="00715BF0"/>
    <w:rsid w:val="00720E9D"/>
    <w:rsid w:val="00723B39"/>
    <w:rsid w:val="00725FDE"/>
    <w:rsid w:val="00741665"/>
    <w:rsid w:val="00741EC9"/>
    <w:rsid w:val="00743BED"/>
    <w:rsid w:val="00747840"/>
    <w:rsid w:val="007500AF"/>
    <w:rsid w:val="00752D9D"/>
    <w:rsid w:val="00755B8D"/>
    <w:rsid w:val="00756E9F"/>
    <w:rsid w:val="007603BE"/>
    <w:rsid w:val="00760BDB"/>
    <w:rsid w:val="00761178"/>
    <w:rsid w:val="007659FA"/>
    <w:rsid w:val="007725E7"/>
    <w:rsid w:val="007823B4"/>
    <w:rsid w:val="007909D5"/>
    <w:rsid w:val="00790CBF"/>
    <w:rsid w:val="00793FB7"/>
    <w:rsid w:val="007A21D6"/>
    <w:rsid w:val="007A2B26"/>
    <w:rsid w:val="007A3C72"/>
    <w:rsid w:val="007A61ED"/>
    <w:rsid w:val="007B1961"/>
    <w:rsid w:val="007B720A"/>
    <w:rsid w:val="007B72AE"/>
    <w:rsid w:val="007C32CB"/>
    <w:rsid w:val="007D05B9"/>
    <w:rsid w:val="007D185D"/>
    <w:rsid w:val="007D1E48"/>
    <w:rsid w:val="007D266B"/>
    <w:rsid w:val="007D3D41"/>
    <w:rsid w:val="007E0ACD"/>
    <w:rsid w:val="007E3976"/>
    <w:rsid w:val="007E5055"/>
    <w:rsid w:val="007E62D8"/>
    <w:rsid w:val="007F098A"/>
    <w:rsid w:val="007F1CB7"/>
    <w:rsid w:val="007F4EB7"/>
    <w:rsid w:val="007F5512"/>
    <w:rsid w:val="00800407"/>
    <w:rsid w:val="00800650"/>
    <w:rsid w:val="00802DF4"/>
    <w:rsid w:val="008030E6"/>
    <w:rsid w:val="008054AE"/>
    <w:rsid w:val="008067DE"/>
    <w:rsid w:val="00813726"/>
    <w:rsid w:val="00817B6A"/>
    <w:rsid w:val="00825941"/>
    <w:rsid w:val="008329DB"/>
    <w:rsid w:val="00835755"/>
    <w:rsid w:val="00841BBB"/>
    <w:rsid w:val="00842100"/>
    <w:rsid w:val="0084582A"/>
    <w:rsid w:val="00855CBC"/>
    <w:rsid w:val="00856C29"/>
    <w:rsid w:val="00860CE2"/>
    <w:rsid w:val="0086307F"/>
    <w:rsid w:val="008710F0"/>
    <w:rsid w:val="00882360"/>
    <w:rsid w:val="0089028B"/>
    <w:rsid w:val="00890F23"/>
    <w:rsid w:val="0089334A"/>
    <w:rsid w:val="00894C98"/>
    <w:rsid w:val="00894EA6"/>
    <w:rsid w:val="00895032"/>
    <w:rsid w:val="00895172"/>
    <w:rsid w:val="0089662B"/>
    <w:rsid w:val="008A45A0"/>
    <w:rsid w:val="008B63E2"/>
    <w:rsid w:val="008C2B67"/>
    <w:rsid w:val="008C4237"/>
    <w:rsid w:val="008C7649"/>
    <w:rsid w:val="008D0A4C"/>
    <w:rsid w:val="008D7A24"/>
    <w:rsid w:val="008E67FF"/>
    <w:rsid w:val="008F0352"/>
    <w:rsid w:val="008F0D8D"/>
    <w:rsid w:val="008F22F7"/>
    <w:rsid w:val="008F5E53"/>
    <w:rsid w:val="0090231E"/>
    <w:rsid w:val="00903F4A"/>
    <w:rsid w:val="00906808"/>
    <w:rsid w:val="009102F5"/>
    <w:rsid w:val="00911A5C"/>
    <w:rsid w:val="00912FAA"/>
    <w:rsid w:val="00925449"/>
    <w:rsid w:val="009400AE"/>
    <w:rsid w:val="00940950"/>
    <w:rsid w:val="0094458A"/>
    <w:rsid w:val="00946AF1"/>
    <w:rsid w:val="00946CE1"/>
    <w:rsid w:val="00950727"/>
    <w:rsid w:val="00951618"/>
    <w:rsid w:val="009526F1"/>
    <w:rsid w:val="00952BC5"/>
    <w:rsid w:val="00954ED6"/>
    <w:rsid w:val="00955FC7"/>
    <w:rsid w:val="00964681"/>
    <w:rsid w:val="0096499C"/>
    <w:rsid w:val="00965DDF"/>
    <w:rsid w:val="009717B6"/>
    <w:rsid w:val="00974ED6"/>
    <w:rsid w:val="00975E98"/>
    <w:rsid w:val="0097625A"/>
    <w:rsid w:val="00980B05"/>
    <w:rsid w:val="00981C94"/>
    <w:rsid w:val="009821DB"/>
    <w:rsid w:val="00983D37"/>
    <w:rsid w:val="009872BC"/>
    <w:rsid w:val="00990278"/>
    <w:rsid w:val="0099120B"/>
    <w:rsid w:val="00991630"/>
    <w:rsid w:val="009A0D68"/>
    <w:rsid w:val="009A13BC"/>
    <w:rsid w:val="009A2219"/>
    <w:rsid w:val="009A78B7"/>
    <w:rsid w:val="009B06B5"/>
    <w:rsid w:val="009B0705"/>
    <w:rsid w:val="009C725D"/>
    <w:rsid w:val="009D41E4"/>
    <w:rsid w:val="009D7CDE"/>
    <w:rsid w:val="009E0F8F"/>
    <w:rsid w:val="009E79DB"/>
    <w:rsid w:val="009F16E8"/>
    <w:rsid w:val="009F3DAE"/>
    <w:rsid w:val="009F6B2D"/>
    <w:rsid w:val="00A00230"/>
    <w:rsid w:val="00A05058"/>
    <w:rsid w:val="00A07473"/>
    <w:rsid w:val="00A075E6"/>
    <w:rsid w:val="00A10248"/>
    <w:rsid w:val="00A10BF9"/>
    <w:rsid w:val="00A1712C"/>
    <w:rsid w:val="00A17AA8"/>
    <w:rsid w:val="00A234AB"/>
    <w:rsid w:val="00A248A1"/>
    <w:rsid w:val="00A25BBD"/>
    <w:rsid w:val="00A33D1D"/>
    <w:rsid w:val="00A37F1C"/>
    <w:rsid w:val="00A406C2"/>
    <w:rsid w:val="00A412B5"/>
    <w:rsid w:val="00A42514"/>
    <w:rsid w:val="00A440ED"/>
    <w:rsid w:val="00A55ADD"/>
    <w:rsid w:val="00A62F45"/>
    <w:rsid w:val="00A66062"/>
    <w:rsid w:val="00A66B38"/>
    <w:rsid w:val="00A67AD8"/>
    <w:rsid w:val="00A733EC"/>
    <w:rsid w:val="00A74F90"/>
    <w:rsid w:val="00A77DCB"/>
    <w:rsid w:val="00A81A84"/>
    <w:rsid w:val="00A81AA8"/>
    <w:rsid w:val="00A81C6B"/>
    <w:rsid w:val="00A84F39"/>
    <w:rsid w:val="00A8513F"/>
    <w:rsid w:val="00A85B5B"/>
    <w:rsid w:val="00A91791"/>
    <w:rsid w:val="00A917B9"/>
    <w:rsid w:val="00A929D6"/>
    <w:rsid w:val="00A935B6"/>
    <w:rsid w:val="00A95AAF"/>
    <w:rsid w:val="00A95AD1"/>
    <w:rsid w:val="00A97162"/>
    <w:rsid w:val="00AA24AE"/>
    <w:rsid w:val="00AA5B00"/>
    <w:rsid w:val="00AA5BB6"/>
    <w:rsid w:val="00AA5D06"/>
    <w:rsid w:val="00AA67AC"/>
    <w:rsid w:val="00AA7D9C"/>
    <w:rsid w:val="00AB0731"/>
    <w:rsid w:val="00AB1978"/>
    <w:rsid w:val="00AB19E9"/>
    <w:rsid w:val="00AC3948"/>
    <w:rsid w:val="00AC3BBD"/>
    <w:rsid w:val="00AC56F4"/>
    <w:rsid w:val="00AC79A4"/>
    <w:rsid w:val="00AD0AC9"/>
    <w:rsid w:val="00AD0C11"/>
    <w:rsid w:val="00AD3453"/>
    <w:rsid w:val="00AD4210"/>
    <w:rsid w:val="00AD4A24"/>
    <w:rsid w:val="00AE6024"/>
    <w:rsid w:val="00AF2D4A"/>
    <w:rsid w:val="00AF3681"/>
    <w:rsid w:val="00AF7D67"/>
    <w:rsid w:val="00B06A33"/>
    <w:rsid w:val="00B07E92"/>
    <w:rsid w:val="00B11641"/>
    <w:rsid w:val="00B11EFA"/>
    <w:rsid w:val="00B12A3F"/>
    <w:rsid w:val="00B239F8"/>
    <w:rsid w:val="00B23ABC"/>
    <w:rsid w:val="00B266AD"/>
    <w:rsid w:val="00B35DF5"/>
    <w:rsid w:val="00B40663"/>
    <w:rsid w:val="00B41F1F"/>
    <w:rsid w:val="00B4513F"/>
    <w:rsid w:val="00B454E3"/>
    <w:rsid w:val="00B459B7"/>
    <w:rsid w:val="00B4799F"/>
    <w:rsid w:val="00B50A2A"/>
    <w:rsid w:val="00B541EC"/>
    <w:rsid w:val="00B55179"/>
    <w:rsid w:val="00B56C55"/>
    <w:rsid w:val="00B66955"/>
    <w:rsid w:val="00B66EF7"/>
    <w:rsid w:val="00B71D5D"/>
    <w:rsid w:val="00B72EC8"/>
    <w:rsid w:val="00B72FE1"/>
    <w:rsid w:val="00B77DBE"/>
    <w:rsid w:val="00B81F59"/>
    <w:rsid w:val="00B86810"/>
    <w:rsid w:val="00B9449E"/>
    <w:rsid w:val="00B9469B"/>
    <w:rsid w:val="00B94ABA"/>
    <w:rsid w:val="00B954C4"/>
    <w:rsid w:val="00BA1C21"/>
    <w:rsid w:val="00BB2248"/>
    <w:rsid w:val="00BB3377"/>
    <w:rsid w:val="00BB5A6C"/>
    <w:rsid w:val="00BC09F3"/>
    <w:rsid w:val="00BC13C9"/>
    <w:rsid w:val="00BC2B27"/>
    <w:rsid w:val="00BC4D8E"/>
    <w:rsid w:val="00BD5BAD"/>
    <w:rsid w:val="00BD6725"/>
    <w:rsid w:val="00BE0305"/>
    <w:rsid w:val="00BE3B85"/>
    <w:rsid w:val="00BF18BF"/>
    <w:rsid w:val="00C01ACC"/>
    <w:rsid w:val="00C02111"/>
    <w:rsid w:val="00C02E3C"/>
    <w:rsid w:val="00C0462A"/>
    <w:rsid w:val="00C05D8D"/>
    <w:rsid w:val="00C1523D"/>
    <w:rsid w:val="00C15EC5"/>
    <w:rsid w:val="00C1783D"/>
    <w:rsid w:val="00C24183"/>
    <w:rsid w:val="00C3000C"/>
    <w:rsid w:val="00C3058D"/>
    <w:rsid w:val="00C30C3A"/>
    <w:rsid w:val="00C3321F"/>
    <w:rsid w:val="00C33CEA"/>
    <w:rsid w:val="00C40F9C"/>
    <w:rsid w:val="00C43885"/>
    <w:rsid w:val="00C464E6"/>
    <w:rsid w:val="00C46C6D"/>
    <w:rsid w:val="00C5187F"/>
    <w:rsid w:val="00C523F4"/>
    <w:rsid w:val="00C52A03"/>
    <w:rsid w:val="00C670C8"/>
    <w:rsid w:val="00C672D5"/>
    <w:rsid w:val="00C72AFA"/>
    <w:rsid w:val="00C73FD3"/>
    <w:rsid w:val="00C761BE"/>
    <w:rsid w:val="00C76F91"/>
    <w:rsid w:val="00C81866"/>
    <w:rsid w:val="00C837F3"/>
    <w:rsid w:val="00C86212"/>
    <w:rsid w:val="00C9316D"/>
    <w:rsid w:val="00C93750"/>
    <w:rsid w:val="00CA5DE5"/>
    <w:rsid w:val="00CA6EE4"/>
    <w:rsid w:val="00CA7CFC"/>
    <w:rsid w:val="00CB2880"/>
    <w:rsid w:val="00CB2D59"/>
    <w:rsid w:val="00CB53B6"/>
    <w:rsid w:val="00CC1EE4"/>
    <w:rsid w:val="00CC3CFB"/>
    <w:rsid w:val="00CC52C6"/>
    <w:rsid w:val="00CC7342"/>
    <w:rsid w:val="00CD240A"/>
    <w:rsid w:val="00CD265D"/>
    <w:rsid w:val="00CD785F"/>
    <w:rsid w:val="00CE4E5B"/>
    <w:rsid w:val="00CE53AA"/>
    <w:rsid w:val="00CE5651"/>
    <w:rsid w:val="00CF2002"/>
    <w:rsid w:val="00CF23EC"/>
    <w:rsid w:val="00CF5EFD"/>
    <w:rsid w:val="00CF74E6"/>
    <w:rsid w:val="00D00F17"/>
    <w:rsid w:val="00D01A43"/>
    <w:rsid w:val="00D03608"/>
    <w:rsid w:val="00D045F8"/>
    <w:rsid w:val="00D04966"/>
    <w:rsid w:val="00D04B6F"/>
    <w:rsid w:val="00D1163E"/>
    <w:rsid w:val="00D1507A"/>
    <w:rsid w:val="00D173BC"/>
    <w:rsid w:val="00D201A2"/>
    <w:rsid w:val="00D27170"/>
    <w:rsid w:val="00D300EF"/>
    <w:rsid w:val="00D327F9"/>
    <w:rsid w:val="00D34BA0"/>
    <w:rsid w:val="00D36BFA"/>
    <w:rsid w:val="00D4031E"/>
    <w:rsid w:val="00D47CBD"/>
    <w:rsid w:val="00D51DAC"/>
    <w:rsid w:val="00D56583"/>
    <w:rsid w:val="00D5778C"/>
    <w:rsid w:val="00D628FE"/>
    <w:rsid w:val="00D76190"/>
    <w:rsid w:val="00D9341F"/>
    <w:rsid w:val="00D94108"/>
    <w:rsid w:val="00D94BC9"/>
    <w:rsid w:val="00DA2588"/>
    <w:rsid w:val="00DA4AE7"/>
    <w:rsid w:val="00DA5E70"/>
    <w:rsid w:val="00DB21CA"/>
    <w:rsid w:val="00DB4281"/>
    <w:rsid w:val="00DB71EB"/>
    <w:rsid w:val="00DC27FF"/>
    <w:rsid w:val="00DD2068"/>
    <w:rsid w:val="00DD5819"/>
    <w:rsid w:val="00DD619F"/>
    <w:rsid w:val="00DE0D1F"/>
    <w:rsid w:val="00DF6EDB"/>
    <w:rsid w:val="00E0084D"/>
    <w:rsid w:val="00E03685"/>
    <w:rsid w:val="00E05B18"/>
    <w:rsid w:val="00E21AA4"/>
    <w:rsid w:val="00E2492C"/>
    <w:rsid w:val="00E24DB7"/>
    <w:rsid w:val="00E257B3"/>
    <w:rsid w:val="00E337AC"/>
    <w:rsid w:val="00E33AFC"/>
    <w:rsid w:val="00E3586B"/>
    <w:rsid w:val="00E371C8"/>
    <w:rsid w:val="00E378E7"/>
    <w:rsid w:val="00E41115"/>
    <w:rsid w:val="00E42BAC"/>
    <w:rsid w:val="00E46444"/>
    <w:rsid w:val="00E51CE4"/>
    <w:rsid w:val="00E527C7"/>
    <w:rsid w:val="00E53218"/>
    <w:rsid w:val="00E55BF1"/>
    <w:rsid w:val="00E600DF"/>
    <w:rsid w:val="00E604F2"/>
    <w:rsid w:val="00E645B1"/>
    <w:rsid w:val="00E658F3"/>
    <w:rsid w:val="00E7166B"/>
    <w:rsid w:val="00E746D5"/>
    <w:rsid w:val="00E74852"/>
    <w:rsid w:val="00E81440"/>
    <w:rsid w:val="00E92C6D"/>
    <w:rsid w:val="00E93757"/>
    <w:rsid w:val="00EA3799"/>
    <w:rsid w:val="00EA3CD0"/>
    <w:rsid w:val="00EA5453"/>
    <w:rsid w:val="00EB069D"/>
    <w:rsid w:val="00EB071F"/>
    <w:rsid w:val="00EB0F77"/>
    <w:rsid w:val="00EB3251"/>
    <w:rsid w:val="00EB3D29"/>
    <w:rsid w:val="00EB7449"/>
    <w:rsid w:val="00EC3E25"/>
    <w:rsid w:val="00ED6CFF"/>
    <w:rsid w:val="00EE0146"/>
    <w:rsid w:val="00EE2BEE"/>
    <w:rsid w:val="00EE4407"/>
    <w:rsid w:val="00EE67A9"/>
    <w:rsid w:val="00EE7341"/>
    <w:rsid w:val="00EF0F0E"/>
    <w:rsid w:val="00EF14A7"/>
    <w:rsid w:val="00EF2556"/>
    <w:rsid w:val="00F04FE4"/>
    <w:rsid w:val="00F07275"/>
    <w:rsid w:val="00F105D6"/>
    <w:rsid w:val="00F1136F"/>
    <w:rsid w:val="00F14304"/>
    <w:rsid w:val="00F14D6C"/>
    <w:rsid w:val="00F1548B"/>
    <w:rsid w:val="00F20109"/>
    <w:rsid w:val="00F2238D"/>
    <w:rsid w:val="00F234EA"/>
    <w:rsid w:val="00F316C4"/>
    <w:rsid w:val="00F35078"/>
    <w:rsid w:val="00F36256"/>
    <w:rsid w:val="00F36D3B"/>
    <w:rsid w:val="00F47FFA"/>
    <w:rsid w:val="00F57CF1"/>
    <w:rsid w:val="00F63163"/>
    <w:rsid w:val="00F63AA6"/>
    <w:rsid w:val="00F6540A"/>
    <w:rsid w:val="00F71F06"/>
    <w:rsid w:val="00F72DD8"/>
    <w:rsid w:val="00F746E0"/>
    <w:rsid w:val="00F75259"/>
    <w:rsid w:val="00F76D5B"/>
    <w:rsid w:val="00F77063"/>
    <w:rsid w:val="00F974A3"/>
    <w:rsid w:val="00FA031E"/>
    <w:rsid w:val="00FA3924"/>
    <w:rsid w:val="00FA7584"/>
    <w:rsid w:val="00FB05B2"/>
    <w:rsid w:val="00FB1868"/>
    <w:rsid w:val="00FB1B33"/>
    <w:rsid w:val="00FB2284"/>
    <w:rsid w:val="00FC316F"/>
    <w:rsid w:val="00FC6B90"/>
    <w:rsid w:val="00FD240F"/>
    <w:rsid w:val="00FD44AB"/>
    <w:rsid w:val="00FD55C3"/>
    <w:rsid w:val="00FD796C"/>
    <w:rsid w:val="00FE3426"/>
    <w:rsid w:val="00FE4D82"/>
    <w:rsid w:val="00FE7450"/>
    <w:rsid w:val="00FF0132"/>
    <w:rsid w:val="00FF7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EE58B"/>
  <w15:chartTrackingRefBased/>
  <w15:docId w15:val="{20E49615-8391-49DE-9CC6-C26422F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6D"/>
    <w:pPr>
      <w:spacing w:before="120" w:after="120" w:line="240" w:lineRule="auto"/>
    </w:pPr>
    <w:rPr>
      <w:rFonts w:asciiTheme="minorHAnsi" w:hAnsiTheme="minorHAnsi" w:cstheme="minorHAnsi"/>
      <w:sz w:val="22"/>
      <w:szCs w:val="20"/>
    </w:rPr>
  </w:style>
  <w:style w:type="paragraph" w:styleId="Heading1">
    <w:name w:val="heading 1"/>
    <w:basedOn w:val="Heading2"/>
    <w:next w:val="Normal"/>
    <w:link w:val="Heading1Char"/>
    <w:uiPriority w:val="9"/>
    <w:qFormat/>
    <w:rsid w:val="00C9316D"/>
    <w:pPr>
      <w:numPr>
        <w:numId w:val="0"/>
      </w:numPr>
      <w:outlineLvl w:val="0"/>
    </w:pPr>
    <w:rPr>
      <w:color w:val="3374B8"/>
      <w:sz w:val="28"/>
      <w:szCs w:val="28"/>
    </w:rPr>
  </w:style>
  <w:style w:type="paragraph" w:styleId="Heading2">
    <w:name w:val="heading 2"/>
    <w:basedOn w:val="Heading3"/>
    <w:next w:val="Normal"/>
    <w:link w:val="Heading2Char"/>
    <w:uiPriority w:val="9"/>
    <w:unhideWhenUsed/>
    <w:qFormat/>
    <w:rsid w:val="00C9316D"/>
    <w:pPr>
      <w:keepNext/>
      <w:outlineLvl w:val="1"/>
    </w:pPr>
  </w:style>
  <w:style w:type="paragraph" w:styleId="Heading3">
    <w:name w:val="heading 3"/>
    <w:basedOn w:val="ListParagraph"/>
    <w:next w:val="Normal"/>
    <w:link w:val="Heading3Char"/>
    <w:uiPriority w:val="9"/>
    <w:unhideWhenUsed/>
    <w:qFormat/>
    <w:rsid w:val="00393E2D"/>
    <w:pPr>
      <w:numPr>
        <w:numId w:val="2"/>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196CE3"/>
    <w:pPr>
      <w:ind w:left="720"/>
      <w:contextualSpacing/>
    </w:pPr>
  </w:style>
  <w:style w:type="table" w:styleId="TableGrid">
    <w:name w:val="Table Grid"/>
    <w:basedOn w:val="TableNormal"/>
    <w:uiPriority w:val="39"/>
    <w:rsid w:val="002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055"/>
    <w:rPr>
      <w:sz w:val="16"/>
      <w:szCs w:val="16"/>
    </w:rPr>
  </w:style>
  <w:style w:type="paragraph" w:styleId="CommentText">
    <w:name w:val="annotation text"/>
    <w:basedOn w:val="Normal"/>
    <w:link w:val="CommentTextChar"/>
    <w:uiPriority w:val="99"/>
    <w:unhideWhenUsed/>
    <w:rsid w:val="007E5055"/>
    <w:rPr>
      <w:sz w:val="20"/>
    </w:rPr>
  </w:style>
  <w:style w:type="character" w:customStyle="1" w:styleId="CommentTextChar">
    <w:name w:val="Comment Text Char"/>
    <w:basedOn w:val="DefaultParagraphFont"/>
    <w:link w:val="CommentText"/>
    <w:uiPriority w:val="99"/>
    <w:rsid w:val="007E5055"/>
    <w:rPr>
      <w:sz w:val="20"/>
      <w:szCs w:val="20"/>
    </w:rPr>
  </w:style>
  <w:style w:type="paragraph" w:styleId="CommentSubject">
    <w:name w:val="annotation subject"/>
    <w:basedOn w:val="CommentText"/>
    <w:next w:val="CommentText"/>
    <w:link w:val="CommentSubjectChar"/>
    <w:uiPriority w:val="99"/>
    <w:semiHidden/>
    <w:unhideWhenUsed/>
    <w:rsid w:val="007E5055"/>
    <w:rPr>
      <w:b/>
      <w:bCs/>
    </w:rPr>
  </w:style>
  <w:style w:type="character" w:customStyle="1" w:styleId="CommentSubjectChar">
    <w:name w:val="Comment Subject Char"/>
    <w:basedOn w:val="CommentTextChar"/>
    <w:link w:val="CommentSubject"/>
    <w:uiPriority w:val="99"/>
    <w:semiHidden/>
    <w:rsid w:val="007E5055"/>
    <w:rPr>
      <w:b/>
      <w:bCs/>
      <w:sz w:val="20"/>
      <w:szCs w:val="20"/>
    </w:rPr>
  </w:style>
  <w:style w:type="paragraph" w:styleId="BalloonText">
    <w:name w:val="Balloon Text"/>
    <w:basedOn w:val="Normal"/>
    <w:link w:val="BalloonTextChar"/>
    <w:uiPriority w:val="99"/>
    <w:semiHidden/>
    <w:unhideWhenUsed/>
    <w:rsid w:val="007E50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55"/>
    <w:rPr>
      <w:rFonts w:ascii="Segoe UI" w:hAnsi="Segoe UI" w:cs="Segoe UI"/>
      <w:sz w:val="18"/>
      <w:szCs w:val="18"/>
    </w:rPr>
  </w:style>
  <w:style w:type="character" w:customStyle="1" w:styleId="Heading2Char">
    <w:name w:val="Heading 2 Char"/>
    <w:basedOn w:val="DefaultParagraphFont"/>
    <w:link w:val="Heading2"/>
    <w:uiPriority w:val="9"/>
    <w:rsid w:val="00C9316D"/>
    <w:rPr>
      <w:rFonts w:asciiTheme="minorHAnsi" w:hAnsiTheme="minorHAnsi" w:cstheme="minorHAnsi"/>
      <w:b/>
      <w:bCs/>
      <w:sz w:val="22"/>
      <w:szCs w:val="20"/>
    </w:rPr>
  </w:style>
  <w:style w:type="character" w:customStyle="1" w:styleId="Heading3Char">
    <w:name w:val="Heading 3 Char"/>
    <w:basedOn w:val="DefaultParagraphFont"/>
    <w:link w:val="Heading3"/>
    <w:uiPriority w:val="9"/>
    <w:rsid w:val="00393E2D"/>
    <w:rPr>
      <w:rFonts w:asciiTheme="minorHAnsi" w:hAnsiTheme="minorHAnsi" w:cstheme="minorHAnsi"/>
      <w:b/>
      <w:bCs/>
      <w:sz w:val="22"/>
      <w:szCs w:val="20"/>
    </w:rPr>
  </w:style>
  <w:style w:type="paragraph" w:styleId="Revision">
    <w:name w:val="Revision"/>
    <w:hidden/>
    <w:uiPriority w:val="99"/>
    <w:semiHidden/>
    <w:rsid w:val="0016663D"/>
    <w:pPr>
      <w:spacing w:after="0" w:line="240" w:lineRule="auto"/>
    </w:pPr>
  </w:style>
  <w:style w:type="character" w:styleId="Hyperlink">
    <w:name w:val="Hyperlink"/>
    <w:basedOn w:val="DefaultParagraphFont"/>
    <w:uiPriority w:val="99"/>
    <w:unhideWhenUsed/>
    <w:rsid w:val="00A412B5"/>
    <w:rPr>
      <w:color w:val="0563C1" w:themeColor="hyperlink"/>
      <w:u w:val="single"/>
    </w:rPr>
  </w:style>
  <w:style w:type="character" w:styleId="FollowedHyperlink">
    <w:name w:val="FollowedHyperlink"/>
    <w:basedOn w:val="DefaultParagraphFont"/>
    <w:uiPriority w:val="99"/>
    <w:semiHidden/>
    <w:unhideWhenUsed/>
    <w:rsid w:val="00AC79A4"/>
    <w:rPr>
      <w:color w:val="954F72" w:themeColor="followedHyperlink"/>
      <w:u w:val="single"/>
    </w:rPr>
  </w:style>
  <w:style w:type="paragraph" w:styleId="Header">
    <w:name w:val="header"/>
    <w:basedOn w:val="Normal"/>
    <w:link w:val="HeaderChar"/>
    <w:uiPriority w:val="99"/>
    <w:unhideWhenUsed/>
    <w:rsid w:val="00AB19E9"/>
    <w:pPr>
      <w:tabs>
        <w:tab w:val="center" w:pos="4513"/>
        <w:tab w:val="right" w:pos="9026"/>
      </w:tabs>
      <w:spacing w:after="0"/>
    </w:pPr>
  </w:style>
  <w:style w:type="character" w:customStyle="1" w:styleId="HeaderChar">
    <w:name w:val="Header Char"/>
    <w:basedOn w:val="DefaultParagraphFont"/>
    <w:link w:val="Header"/>
    <w:uiPriority w:val="99"/>
    <w:rsid w:val="00AB19E9"/>
  </w:style>
  <w:style w:type="paragraph" w:styleId="Footer">
    <w:name w:val="footer"/>
    <w:basedOn w:val="Normal"/>
    <w:link w:val="FooterChar"/>
    <w:uiPriority w:val="99"/>
    <w:unhideWhenUsed/>
    <w:rsid w:val="00AB19E9"/>
    <w:pPr>
      <w:tabs>
        <w:tab w:val="center" w:pos="4513"/>
        <w:tab w:val="right" w:pos="9026"/>
      </w:tabs>
      <w:spacing w:after="0"/>
    </w:pPr>
  </w:style>
  <w:style w:type="character" w:customStyle="1" w:styleId="FooterChar">
    <w:name w:val="Footer Char"/>
    <w:basedOn w:val="DefaultParagraphFont"/>
    <w:link w:val="Footer"/>
    <w:uiPriority w:val="99"/>
    <w:rsid w:val="00AB19E9"/>
  </w:style>
  <w:style w:type="character" w:customStyle="1" w:styleId="Heading1Char">
    <w:name w:val="Heading 1 Char"/>
    <w:basedOn w:val="DefaultParagraphFont"/>
    <w:link w:val="Heading1"/>
    <w:uiPriority w:val="9"/>
    <w:rsid w:val="00C9316D"/>
    <w:rPr>
      <w:rFonts w:asciiTheme="minorHAnsi" w:hAnsiTheme="minorHAnsi" w:cstheme="minorHAnsi"/>
      <w:b/>
      <w:bCs/>
      <w:color w:val="3374B8"/>
      <w:sz w:val="28"/>
      <w:szCs w:val="28"/>
    </w:rPr>
  </w:style>
  <w:style w:type="paragraph" w:styleId="TOCHeading">
    <w:name w:val="TOC Heading"/>
    <w:basedOn w:val="Heading1"/>
    <w:next w:val="Normal"/>
    <w:uiPriority w:val="39"/>
    <w:unhideWhenUsed/>
    <w:qFormat/>
    <w:rsid w:val="00C9316D"/>
    <w:pPr>
      <w:pBdr>
        <w:top w:val="single" w:sz="4" w:space="1" w:color="auto"/>
      </w:pBdr>
      <w:outlineLvl w:val="9"/>
    </w:pPr>
    <w:rPr>
      <w:lang w:val="en-US"/>
    </w:rPr>
  </w:style>
  <w:style w:type="paragraph" w:styleId="TOC2">
    <w:name w:val="toc 2"/>
    <w:basedOn w:val="Normal"/>
    <w:next w:val="Normal"/>
    <w:autoRedefine/>
    <w:uiPriority w:val="39"/>
    <w:unhideWhenUsed/>
    <w:rsid w:val="00393E2D"/>
    <w:pPr>
      <w:spacing w:after="100"/>
      <w:ind w:left="240"/>
    </w:pPr>
  </w:style>
  <w:style w:type="paragraph" w:styleId="Title">
    <w:name w:val="Title"/>
    <w:basedOn w:val="Heading1"/>
    <w:next w:val="Normal"/>
    <w:link w:val="TitleChar"/>
    <w:uiPriority w:val="10"/>
    <w:qFormat/>
    <w:rsid w:val="00393E2D"/>
  </w:style>
  <w:style w:type="character" w:customStyle="1" w:styleId="TitleChar">
    <w:name w:val="Title Char"/>
    <w:basedOn w:val="DefaultParagraphFont"/>
    <w:link w:val="Title"/>
    <w:uiPriority w:val="10"/>
    <w:rsid w:val="00393E2D"/>
    <w:rPr>
      <w:rFonts w:asciiTheme="minorHAnsi" w:hAnsiTheme="minorHAnsi" w:cstheme="minorHAnsi"/>
      <w:b/>
      <w:bCs/>
      <w:color w:val="3374B8"/>
      <w:sz w:val="28"/>
      <w:szCs w:val="28"/>
    </w:rPr>
  </w:style>
  <w:style w:type="paragraph" w:styleId="TOC1">
    <w:name w:val="toc 1"/>
    <w:basedOn w:val="Normal"/>
    <w:next w:val="Normal"/>
    <w:autoRedefine/>
    <w:uiPriority w:val="39"/>
    <w:unhideWhenUsed/>
    <w:rsid w:val="00354196"/>
    <w:pPr>
      <w:tabs>
        <w:tab w:val="right" w:leader="dot" w:pos="9016"/>
      </w:tabs>
      <w:spacing w:after="100"/>
    </w:pPr>
  </w:style>
  <w:style w:type="paragraph" w:styleId="TOC3">
    <w:name w:val="toc 3"/>
    <w:basedOn w:val="Normal"/>
    <w:next w:val="Normal"/>
    <w:autoRedefine/>
    <w:uiPriority w:val="39"/>
    <w:unhideWhenUsed/>
    <w:rsid w:val="00393E2D"/>
    <w:pPr>
      <w:spacing w:after="100"/>
      <w:ind w:left="440"/>
    </w:pPr>
  </w:style>
  <w:style w:type="character" w:customStyle="1" w:styleId="UnresolvedMention1">
    <w:name w:val="Unresolved Mention1"/>
    <w:basedOn w:val="DefaultParagraphFont"/>
    <w:uiPriority w:val="99"/>
    <w:semiHidden/>
    <w:unhideWhenUsed/>
    <w:rsid w:val="00691488"/>
    <w:rPr>
      <w:color w:val="605E5C"/>
      <w:shd w:val="clear" w:color="auto" w:fill="E1DFDD"/>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basedOn w:val="DefaultParagraphFont"/>
    <w:link w:val="ListParagraph"/>
    <w:uiPriority w:val="34"/>
    <w:locked/>
    <w:rsid w:val="004430D7"/>
    <w:rPr>
      <w:rFonts w:asciiTheme="minorHAnsi" w:hAnsiTheme="minorHAnsi" w:cstheme="minorHAnsi"/>
      <w:sz w:val="22"/>
      <w:szCs w:val="20"/>
    </w:rPr>
  </w:style>
  <w:style w:type="character" w:styleId="Strong">
    <w:name w:val="Strong"/>
    <w:basedOn w:val="DefaultParagraphFont"/>
    <w:uiPriority w:val="22"/>
    <w:qFormat/>
    <w:rsid w:val="001D4559"/>
    <w:rPr>
      <w:b/>
      <w:bCs/>
    </w:rPr>
  </w:style>
  <w:style w:type="character" w:customStyle="1" w:styleId="normaltextrun">
    <w:name w:val="normaltextrun"/>
    <w:basedOn w:val="DefaultParagraphFont"/>
    <w:rsid w:val="00AD3453"/>
  </w:style>
  <w:style w:type="character" w:customStyle="1" w:styleId="eop">
    <w:name w:val="eop"/>
    <w:basedOn w:val="DefaultParagraphFont"/>
    <w:rsid w:val="00DD5819"/>
  </w:style>
  <w:style w:type="paragraph" w:customStyle="1" w:styleId="paragraph">
    <w:name w:val="paragraph"/>
    <w:basedOn w:val="Normal"/>
    <w:rsid w:val="00DD5819"/>
    <w:pPr>
      <w:spacing w:before="100" w:beforeAutospacing="1" w:after="100" w:afterAutospacing="1"/>
    </w:pPr>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17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B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2689">
      <w:bodyDiv w:val="1"/>
      <w:marLeft w:val="0"/>
      <w:marRight w:val="0"/>
      <w:marTop w:val="0"/>
      <w:marBottom w:val="0"/>
      <w:divBdr>
        <w:top w:val="none" w:sz="0" w:space="0" w:color="auto"/>
        <w:left w:val="none" w:sz="0" w:space="0" w:color="auto"/>
        <w:bottom w:val="none" w:sz="0" w:space="0" w:color="auto"/>
        <w:right w:val="none" w:sz="0" w:space="0" w:color="auto"/>
      </w:divBdr>
      <w:divsChild>
        <w:div w:id="1206915025">
          <w:marLeft w:val="274"/>
          <w:marRight w:val="0"/>
          <w:marTop w:val="0"/>
          <w:marBottom w:val="0"/>
          <w:divBdr>
            <w:top w:val="none" w:sz="0" w:space="0" w:color="auto"/>
            <w:left w:val="none" w:sz="0" w:space="0" w:color="auto"/>
            <w:bottom w:val="none" w:sz="0" w:space="0" w:color="auto"/>
            <w:right w:val="none" w:sz="0" w:space="0" w:color="auto"/>
          </w:divBdr>
        </w:div>
        <w:div w:id="776219710">
          <w:marLeft w:val="994"/>
          <w:marRight w:val="0"/>
          <w:marTop w:val="0"/>
          <w:marBottom w:val="0"/>
          <w:divBdr>
            <w:top w:val="none" w:sz="0" w:space="0" w:color="auto"/>
            <w:left w:val="none" w:sz="0" w:space="0" w:color="auto"/>
            <w:bottom w:val="none" w:sz="0" w:space="0" w:color="auto"/>
            <w:right w:val="none" w:sz="0" w:space="0" w:color="auto"/>
          </w:divBdr>
        </w:div>
        <w:div w:id="1773284495">
          <w:marLeft w:val="994"/>
          <w:marRight w:val="0"/>
          <w:marTop w:val="0"/>
          <w:marBottom w:val="0"/>
          <w:divBdr>
            <w:top w:val="none" w:sz="0" w:space="0" w:color="auto"/>
            <w:left w:val="none" w:sz="0" w:space="0" w:color="auto"/>
            <w:bottom w:val="none" w:sz="0" w:space="0" w:color="auto"/>
            <w:right w:val="none" w:sz="0" w:space="0" w:color="auto"/>
          </w:divBdr>
        </w:div>
      </w:divsChild>
    </w:div>
    <w:div w:id="27528487">
      <w:bodyDiv w:val="1"/>
      <w:marLeft w:val="0"/>
      <w:marRight w:val="0"/>
      <w:marTop w:val="0"/>
      <w:marBottom w:val="0"/>
      <w:divBdr>
        <w:top w:val="none" w:sz="0" w:space="0" w:color="auto"/>
        <w:left w:val="none" w:sz="0" w:space="0" w:color="auto"/>
        <w:bottom w:val="none" w:sz="0" w:space="0" w:color="auto"/>
        <w:right w:val="none" w:sz="0" w:space="0" w:color="auto"/>
      </w:divBdr>
    </w:div>
    <w:div w:id="108085645">
      <w:bodyDiv w:val="1"/>
      <w:marLeft w:val="0"/>
      <w:marRight w:val="0"/>
      <w:marTop w:val="0"/>
      <w:marBottom w:val="0"/>
      <w:divBdr>
        <w:top w:val="none" w:sz="0" w:space="0" w:color="auto"/>
        <w:left w:val="none" w:sz="0" w:space="0" w:color="auto"/>
        <w:bottom w:val="none" w:sz="0" w:space="0" w:color="auto"/>
        <w:right w:val="none" w:sz="0" w:space="0" w:color="auto"/>
      </w:divBdr>
    </w:div>
    <w:div w:id="127356751">
      <w:bodyDiv w:val="1"/>
      <w:marLeft w:val="0"/>
      <w:marRight w:val="0"/>
      <w:marTop w:val="0"/>
      <w:marBottom w:val="0"/>
      <w:divBdr>
        <w:top w:val="none" w:sz="0" w:space="0" w:color="auto"/>
        <w:left w:val="none" w:sz="0" w:space="0" w:color="auto"/>
        <w:bottom w:val="none" w:sz="0" w:space="0" w:color="auto"/>
        <w:right w:val="none" w:sz="0" w:space="0" w:color="auto"/>
      </w:divBdr>
    </w:div>
    <w:div w:id="176965727">
      <w:bodyDiv w:val="1"/>
      <w:marLeft w:val="0"/>
      <w:marRight w:val="0"/>
      <w:marTop w:val="0"/>
      <w:marBottom w:val="0"/>
      <w:divBdr>
        <w:top w:val="none" w:sz="0" w:space="0" w:color="auto"/>
        <w:left w:val="none" w:sz="0" w:space="0" w:color="auto"/>
        <w:bottom w:val="none" w:sz="0" w:space="0" w:color="auto"/>
        <w:right w:val="none" w:sz="0" w:space="0" w:color="auto"/>
      </w:divBdr>
    </w:div>
    <w:div w:id="258946492">
      <w:bodyDiv w:val="1"/>
      <w:marLeft w:val="0"/>
      <w:marRight w:val="0"/>
      <w:marTop w:val="0"/>
      <w:marBottom w:val="0"/>
      <w:divBdr>
        <w:top w:val="none" w:sz="0" w:space="0" w:color="auto"/>
        <w:left w:val="none" w:sz="0" w:space="0" w:color="auto"/>
        <w:bottom w:val="none" w:sz="0" w:space="0" w:color="auto"/>
        <w:right w:val="none" w:sz="0" w:space="0" w:color="auto"/>
      </w:divBdr>
    </w:div>
    <w:div w:id="296032598">
      <w:bodyDiv w:val="1"/>
      <w:marLeft w:val="0"/>
      <w:marRight w:val="0"/>
      <w:marTop w:val="0"/>
      <w:marBottom w:val="0"/>
      <w:divBdr>
        <w:top w:val="none" w:sz="0" w:space="0" w:color="auto"/>
        <w:left w:val="none" w:sz="0" w:space="0" w:color="auto"/>
        <w:bottom w:val="none" w:sz="0" w:space="0" w:color="auto"/>
        <w:right w:val="none" w:sz="0" w:space="0" w:color="auto"/>
      </w:divBdr>
      <w:divsChild>
        <w:div w:id="1890456921">
          <w:marLeft w:val="274"/>
          <w:marRight w:val="0"/>
          <w:marTop w:val="0"/>
          <w:marBottom w:val="0"/>
          <w:divBdr>
            <w:top w:val="none" w:sz="0" w:space="0" w:color="auto"/>
            <w:left w:val="none" w:sz="0" w:space="0" w:color="auto"/>
            <w:bottom w:val="none" w:sz="0" w:space="0" w:color="auto"/>
            <w:right w:val="none" w:sz="0" w:space="0" w:color="auto"/>
          </w:divBdr>
        </w:div>
        <w:div w:id="1583029683">
          <w:marLeft w:val="994"/>
          <w:marRight w:val="0"/>
          <w:marTop w:val="0"/>
          <w:marBottom w:val="0"/>
          <w:divBdr>
            <w:top w:val="none" w:sz="0" w:space="0" w:color="auto"/>
            <w:left w:val="none" w:sz="0" w:space="0" w:color="auto"/>
            <w:bottom w:val="none" w:sz="0" w:space="0" w:color="auto"/>
            <w:right w:val="none" w:sz="0" w:space="0" w:color="auto"/>
          </w:divBdr>
        </w:div>
        <w:div w:id="795568035">
          <w:marLeft w:val="994"/>
          <w:marRight w:val="0"/>
          <w:marTop w:val="0"/>
          <w:marBottom w:val="0"/>
          <w:divBdr>
            <w:top w:val="none" w:sz="0" w:space="0" w:color="auto"/>
            <w:left w:val="none" w:sz="0" w:space="0" w:color="auto"/>
            <w:bottom w:val="none" w:sz="0" w:space="0" w:color="auto"/>
            <w:right w:val="none" w:sz="0" w:space="0" w:color="auto"/>
          </w:divBdr>
        </w:div>
      </w:divsChild>
    </w:div>
    <w:div w:id="302472314">
      <w:bodyDiv w:val="1"/>
      <w:marLeft w:val="0"/>
      <w:marRight w:val="0"/>
      <w:marTop w:val="0"/>
      <w:marBottom w:val="0"/>
      <w:divBdr>
        <w:top w:val="none" w:sz="0" w:space="0" w:color="auto"/>
        <w:left w:val="none" w:sz="0" w:space="0" w:color="auto"/>
        <w:bottom w:val="none" w:sz="0" w:space="0" w:color="auto"/>
        <w:right w:val="none" w:sz="0" w:space="0" w:color="auto"/>
      </w:divBdr>
    </w:div>
    <w:div w:id="326326483">
      <w:bodyDiv w:val="1"/>
      <w:marLeft w:val="0"/>
      <w:marRight w:val="0"/>
      <w:marTop w:val="0"/>
      <w:marBottom w:val="0"/>
      <w:divBdr>
        <w:top w:val="none" w:sz="0" w:space="0" w:color="auto"/>
        <w:left w:val="none" w:sz="0" w:space="0" w:color="auto"/>
        <w:bottom w:val="none" w:sz="0" w:space="0" w:color="auto"/>
        <w:right w:val="none" w:sz="0" w:space="0" w:color="auto"/>
      </w:divBdr>
    </w:div>
    <w:div w:id="395324840">
      <w:bodyDiv w:val="1"/>
      <w:marLeft w:val="0"/>
      <w:marRight w:val="0"/>
      <w:marTop w:val="0"/>
      <w:marBottom w:val="0"/>
      <w:divBdr>
        <w:top w:val="none" w:sz="0" w:space="0" w:color="auto"/>
        <w:left w:val="none" w:sz="0" w:space="0" w:color="auto"/>
        <w:bottom w:val="none" w:sz="0" w:space="0" w:color="auto"/>
        <w:right w:val="none" w:sz="0" w:space="0" w:color="auto"/>
      </w:divBdr>
    </w:div>
    <w:div w:id="499349650">
      <w:bodyDiv w:val="1"/>
      <w:marLeft w:val="0"/>
      <w:marRight w:val="0"/>
      <w:marTop w:val="0"/>
      <w:marBottom w:val="0"/>
      <w:divBdr>
        <w:top w:val="none" w:sz="0" w:space="0" w:color="auto"/>
        <w:left w:val="none" w:sz="0" w:space="0" w:color="auto"/>
        <w:bottom w:val="none" w:sz="0" w:space="0" w:color="auto"/>
        <w:right w:val="none" w:sz="0" w:space="0" w:color="auto"/>
      </w:divBdr>
    </w:div>
    <w:div w:id="519398590">
      <w:bodyDiv w:val="1"/>
      <w:marLeft w:val="0"/>
      <w:marRight w:val="0"/>
      <w:marTop w:val="0"/>
      <w:marBottom w:val="0"/>
      <w:divBdr>
        <w:top w:val="none" w:sz="0" w:space="0" w:color="auto"/>
        <w:left w:val="none" w:sz="0" w:space="0" w:color="auto"/>
        <w:bottom w:val="none" w:sz="0" w:space="0" w:color="auto"/>
        <w:right w:val="none" w:sz="0" w:space="0" w:color="auto"/>
      </w:divBdr>
      <w:divsChild>
        <w:div w:id="1512136415">
          <w:marLeft w:val="994"/>
          <w:marRight w:val="0"/>
          <w:marTop w:val="0"/>
          <w:marBottom w:val="0"/>
          <w:divBdr>
            <w:top w:val="none" w:sz="0" w:space="0" w:color="auto"/>
            <w:left w:val="none" w:sz="0" w:space="0" w:color="auto"/>
            <w:bottom w:val="none" w:sz="0" w:space="0" w:color="auto"/>
            <w:right w:val="none" w:sz="0" w:space="0" w:color="auto"/>
          </w:divBdr>
        </w:div>
        <w:div w:id="1357124683">
          <w:marLeft w:val="994"/>
          <w:marRight w:val="0"/>
          <w:marTop w:val="0"/>
          <w:marBottom w:val="0"/>
          <w:divBdr>
            <w:top w:val="none" w:sz="0" w:space="0" w:color="auto"/>
            <w:left w:val="none" w:sz="0" w:space="0" w:color="auto"/>
            <w:bottom w:val="none" w:sz="0" w:space="0" w:color="auto"/>
            <w:right w:val="none" w:sz="0" w:space="0" w:color="auto"/>
          </w:divBdr>
        </w:div>
      </w:divsChild>
    </w:div>
    <w:div w:id="525144249">
      <w:bodyDiv w:val="1"/>
      <w:marLeft w:val="0"/>
      <w:marRight w:val="0"/>
      <w:marTop w:val="0"/>
      <w:marBottom w:val="0"/>
      <w:divBdr>
        <w:top w:val="none" w:sz="0" w:space="0" w:color="auto"/>
        <w:left w:val="none" w:sz="0" w:space="0" w:color="auto"/>
        <w:bottom w:val="none" w:sz="0" w:space="0" w:color="auto"/>
        <w:right w:val="none" w:sz="0" w:space="0" w:color="auto"/>
      </w:divBdr>
    </w:div>
    <w:div w:id="547759476">
      <w:bodyDiv w:val="1"/>
      <w:marLeft w:val="0"/>
      <w:marRight w:val="0"/>
      <w:marTop w:val="0"/>
      <w:marBottom w:val="0"/>
      <w:divBdr>
        <w:top w:val="none" w:sz="0" w:space="0" w:color="auto"/>
        <w:left w:val="none" w:sz="0" w:space="0" w:color="auto"/>
        <w:bottom w:val="none" w:sz="0" w:space="0" w:color="auto"/>
        <w:right w:val="none" w:sz="0" w:space="0" w:color="auto"/>
      </w:divBdr>
    </w:div>
    <w:div w:id="588388648">
      <w:bodyDiv w:val="1"/>
      <w:marLeft w:val="0"/>
      <w:marRight w:val="0"/>
      <w:marTop w:val="0"/>
      <w:marBottom w:val="0"/>
      <w:divBdr>
        <w:top w:val="none" w:sz="0" w:space="0" w:color="auto"/>
        <w:left w:val="none" w:sz="0" w:space="0" w:color="auto"/>
        <w:bottom w:val="none" w:sz="0" w:space="0" w:color="auto"/>
        <w:right w:val="none" w:sz="0" w:space="0" w:color="auto"/>
      </w:divBdr>
    </w:div>
    <w:div w:id="634868397">
      <w:bodyDiv w:val="1"/>
      <w:marLeft w:val="0"/>
      <w:marRight w:val="0"/>
      <w:marTop w:val="0"/>
      <w:marBottom w:val="0"/>
      <w:divBdr>
        <w:top w:val="none" w:sz="0" w:space="0" w:color="auto"/>
        <w:left w:val="none" w:sz="0" w:space="0" w:color="auto"/>
        <w:bottom w:val="none" w:sz="0" w:space="0" w:color="auto"/>
        <w:right w:val="none" w:sz="0" w:space="0" w:color="auto"/>
      </w:divBdr>
    </w:div>
    <w:div w:id="657265689">
      <w:bodyDiv w:val="1"/>
      <w:marLeft w:val="0"/>
      <w:marRight w:val="0"/>
      <w:marTop w:val="0"/>
      <w:marBottom w:val="0"/>
      <w:divBdr>
        <w:top w:val="none" w:sz="0" w:space="0" w:color="auto"/>
        <w:left w:val="none" w:sz="0" w:space="0" w:color="auto"/>
        <w:bottom w:val="none" w:sz="0" w:space="0" w:color="auto"/>
        <w:right w:val="none" w:sz="0" w:space="0" w:color="auto"/>
      </w:divBdr>
    </w:div>
    <w:div w:id="681274203">
      <w:bodyDiv w:val="1"/>
      <w:marLeft w:val="0"/>
      <w:marRight w:val="0"/>
      <w:marTop w:val="0"/>
      <w:marBottom w:val="0"/>
      <w:divBdr>
        <w:top w:val="none" w:sz="0" w:space="0" w:color="auto"/>
        <w:left w:val="none" w:sz="0" w:space="0" w:color="auto"/>
        <w:bottom w:val="none" w:sz="0" w:space="0" w:color="auto"/>
        <w:right w:val="none" w:sz="0" w:space="0" w:color="auto"/>
      </w:divBdr>
    </w:div>
    <w:div w:id="687752582">
      <w:bodyDiv w:val="1"/>
      <w:marLeft w:val="0"/>
      <w:marRight w:val="0"/>
      <w:marTop w:val="0"/>
      <w:marBottom w:val="0"/>
      <w:divBdr>
        <w:top w:val="none" w:sz="0" w:space="0" w:color="auto"/>
        <w:left w:val="none" w:sz="0" w:space="0" w:color="auto"/>
        <w:bottom w:val="none" w:sz="0" w:space="0" w:color="auto"/>
        <w:right w:val="none" w:sz="0" w:space="0" w:color="auto"/>
      </w:divBdr>
    </w:div>
    <w:div w:id="704792638">
      <w:bodyDiv w:val="1"/>
      <w:marLeft w:val="0"/>
      <w:marRight w:val="0"/>
      <w:marTop w:val="0"/>
      <w:marBottom w:val="0"/>
      <w:divBdr>
        <w:top w:val="none" w:sz="0" w:space="0" w:color="auto"/>
        <w:left w:val="none" w:sz="0" w:space="0" w:color="auto"/>
        <w:bottom w:val="none" w:sz="0" w:space="0" w:color="auto"/>
        <w:right w:val="none" w:sz="0" w:space="0" w:color="auto"/>
      </w:divBdr>
    </w:div>
    <w:div w:id="772358238">
      <w:bodyDiv w:val="1"/>
      <w:marLeft w:val="0"/>
      <w:marRight w:val="0"/>
      <w:marTop w:val="0"/>
      <w:marBottom w:val="0"/>
      <w:divBdr>
        <w:top w:val="none" w:sz="0" w:space="0" w:color="auto"/>
        <w:left w:val="none" w:sz="0" w:space="0" w:color="auto"/>
        <w:bottom w:val="none" w:sz="0" w:space="0" w:color="auto"/>
        <w:right w:val="none" w:sz="0" w:space="0" w:color="auto"/>
      </w:divBdr>
      <w:divsChild>
        <w:div w:id="721252318">
          <w:marLeft w:val="274"/>
          <w:marRight w:val="0"/>
          <w:marTop w:val="0"/>
          <w:marBottom w:val="0"/>
          <w:divBdr>
            <w:top w:val="none" w:sz="0" w:space="0" w:color="auto"/>
            <w:left w:val="none" w:sz="0" w:space="0" w:color="auto"/>
            <w:bottom w:val="none" w:sz="0" w:space="0" w:color="auto"/>
            <w:right w:val="none" w:sz="0" w:space="0" w:color="auto"/>
          </w:divBdr>
        </w:div>
      </w:divsChild>
    </w:div>
    <w:div w:id="796142683">
      <w:bodyDiv w:val="1"/>
      <w:marLeft w:val="0"/>
      <w:marRight w:val="0"/>
      <w:marTop w:val="0"/>
      <w:marBottom w:val="0"/>
      <w:divBdr>
        <w:top w:val="none" w:sz="0" w:space="0" w:color="auto"/>
        <w:left w:val="none" w:sz="0" w:space="0" w:color="auto"/>
        <w:bottom w:val="none" w:sz="0" w:space="0" w:color="auto"/>
        <w:right w:val="none" w:sz="0" w:space="0" w:color="auto"/>
      </w:divBdr>
    </w:div>
    <w:div w:id="1016809802">
      <w:bodyDiv w:val="1"/>
      <w:marLeft w:val="0"/>
      <w:marRight w:val="0"/>
      <w:marTop w:val="0"/>
      <w:marBottom w:val="0"/>
      <w:divBdr>
        <w:top w:val="none" w:sz="0" w:space="0" w:color="auto"/>
        <w:left w:val="none" w:sz="0" w:space="0" w:color="auto"/>
        <w:bottom w:val="none" w:sz="0" w:space="0" w:color="auto"/>
        <w:right w:val="none" w:sz="0" w:space="0" w:color="auto"/>
      </w:divBdr>
    </w:div>
    <w:div w:id="1017199318">
      <w:bodyDiv w:val="1"/>
      <w:marLeft w:val="0"/>
      <w:marRight w:val="0"/>
      <w:marTop w:val="0"/>
      <w:marBottom w:val="0"/>
      <w:divBdr>
        <w:top w:val="none" w:sz="0" w:space="0" w:color="auto"/>
        <w:left w:val="none" w:sz="0" w:space="0" w:color="auto"/>
        <w:bottom w:val="none" w:sz="0" w:space="0" w:color="auto"/>
        <w:right w:val="none" w:sz="0" w:space="0" w:color="auto"/>
      </w:divBdr>
    </w:div>
    <w:div w:id="1107852223">
      <w:bodyDiv w:val="1"/>
      <w:marLeft w:val="0"/>
      <w:marRight w:val="0"/>
      <w:marTop w:val="0"/>
      <w:marBottom w:val="0"/>
      <w:divBdr>
        <w:top w:val="none" w:sz="0" w:space="0" w:color="auto"/>
        <w:left w:val="none" w:sz="0" w:space="0" w:color="auto"/>
        <w:bottom w:val="none" w:sz="0" w:space="0" w:color="auto"/>
        <w:right w:val="none" w:sz="0" w:space="0" w:color="auto"/>
      </w:divBdr>
    </w:div>
    <w:div w:id="1141382925">
      <w:bodyDiv w:val="1"/>
      <w:marLeft w:val="0"/>
      <w:marRight w:val="0"/>
      <w:marTop w:val="0"/>
      <w:marBottom w:val="0"/>
      <w:divBdr>
        <w:top w:val="none" w:sz="0" w:space="0" w:color="auto"/>
        <w:left w:val="none" w:sz="0" w:space="0" w:color="auto"/>
        <w:bottom w:val="none" w:sz="0" w:space="0" w:color="auto"/>
        <w:right w:val="none" w:sz="0" w:space="0" w:color="auto"/>
      </w:divBdr>
    </w:div>
    <w:div w:id="1182940344">
      <w:bodyDiv w:val="1"/>
      <w:marLeft w:val="0"/>
      <w:marRight w:val="0"/>
      <w:marTop w:val="0"/>
      <w:marBottom w:val="0"/>
      <w:divBdr>
        <w:top w:val="none" w:sz="0" w:space="0" w:color="auto"/>
        <w:left w:val="none" w:sz="0" w:space="0" w:color="auto"/>
        <w:bottom w:val="none" w:sz="0" w:space="0" w:color="auto"/>
        <w:right w:val="none" w:sz="0" w:space="0" w:color="auto"/>
      </w:divBdr>
    </w:div>
    <w:div w:id="1211185785">
      <w:bodyDiv w:val="1"/>
      <w:marLeft w:val="0"/>
      <w:marRight w:val="0"/>
      <w:marTop w:val="0"/>
      <w:marBottom w:val="0"/>
      <w:divBdr>
        <w:top w:val="none" w:sz="0" w:space="0" w:color="auto"/>
        <w:left w:val="none" w:sz="0" w:space="0" w:color="auto"/>
        <w:bottom w:val="none" w:sz="0" w:space="0" w:color="auto"/>
        <w:right w:val="none" w:sz="0" w:space="0" w:color="auto"/>
      </w:divBdr>
    </w:div>
    <w:div w:id="1268462008">
      <w:bodyDiv w:val="1"/>
      <w:marLeft w:val="0"/>
      <w:marRight w:val="0"/>
      <w:marTop w:val="0"/>
      <w:marBottom w:val="0"/>
      <w:divBdr>
        <w:top w:val="none" w:sz="0" w:space="0" w:color="auto"/>
        <w:left w:val="none" w:sz="0" w:space="0" w:color="auto"/>
        <w:bottom w:val="none" w:sz="0" w:space="0" w:color="auto"/>
        <w:right w:val="none" w:sz="0" w:space="0" w:color="auto"/>
      </w:divBdr>
    </w:div>
    <w:div w:id="1280914639">
      <w:bodyDiv w:val="1"/>
      <w:marLeft w:val="0"/>
      <w:marRight w:val="0"/>
      <w:marTop w:val="0"/>
      <w:marBottom w:val="0"/>
      <w:divBdr>
        <w:top w:val="none" w:sz="0" w:space="0" w:color="auto"/>
        <w:left w:val="none" w:sz="0" w:space="0" w:color="auto"/>
        <w:bottom w:val="none" w:sz="0" w:space="0" w:color="auto"/>
        <w:right w:val="none" w:sz="0" w:space="0" w:color="auto"/>
      </w:divBdr>
    </w:div>
    <w:div w:id="1289507406">
      <w:bodyDiv w:val="1"/>
      <w:marLeft w:val="0"/>
      <w:marRight w:val="0"/>
      <w:marTop w:val="0"/>
      <w:marBottom w:val="0"/>
      <w:divBdr>
        <w:top w:val="none" w:sz="0" w:space="0" w:color="auto"/>
        <w:left w:val="none" w:sz="0" w:space="0" w:color="auto"/>
        <w:bottom w:val="none" w:sz="0" w:space="0" w:color="auto"/>
        <w:right w:val="none" w:sz="0" w:space="0" w:color="auto"/>
      </w:divBdr>
    </w:div>
    <w:div w:id="1311518441">
      <w:bodyDiv w:val="1"/>
      <w:marLeft w:val="0"/>
      <w:marRight w:val="0"/>
      <w:marTop w:val="0"/>
      <w:marBottom w:val="0"/>
      <w:divBdr>
        <w:top w:val="none" w:sz="0" w:space="0" w:color="auto"/>
        <w:left w:val="none" w:sz="0" w:space="0" w:color="auto"/>
        <w:bottom w:val="none" w:sz="0" w:space="0" w:color="auto"/>
        <w:right w:val="none" w:sz="0" w:space="0" w:color="auto"/>
      </w:divBdr>
      <w:divsChild>
        <w:div w:id="654797550">
          <w:marLeft w:val="274"/>
          <w:marRight w:val="0"/>
          <w:marTop w:val="0"/>
          <w:marBottom w:val="0"/>
          <w:divBdr>
            <w:top w:val="none" w:sz="0" w:space="0" w:color="auto"/>
            <w:left w:val="none" w:sz="0" w:space="0" w:color="auto"/>
            <w:bottom w:val="none" w:sz="0" w:space="0" w:color="auto"/>
            <w:right w:val="none" w:sz="0" w:space="0" w:color="auto"/>
          </w:divBdr>
        </w:div>
      </w:divsChild>
    </w:div>
    <w:div w:id="1320035458">
      <w:bodyDiv w:val="1"/>
      <w:marLeft w:val="0"/>
      <w:marRight w:val="0"/>
      <w:marTop w:val="0"/>
      <w:marBottom w:val="0"/>
      <w:divBdr>
        <w:top w:val="none" w:sz="0" w:space="0" w:color="auto"/>
        <w:left w:val="none" w:sz="0" w:space="0" w:color="auto"/>
        <w:bottom w:val="none" w:sz="0" w:space="0" w:color="auto"/>
        <w:right w:val="none" w:sz="0" w:space="0" w:color="auto"/>
      </w:divBdr>
    </w:div>
    <w:div w:id="1340235909">
      <w:bodyDiv w:val="1"/>
      <w:marLeft w:val="0"/>
      <w:marRight w:val="0"/>
      <w:marTop w:val="0"/>
      <w:marBottom w:val="0"/>
      <w:divBdr>
        <w:top w:val="none" w:sz="0" w:space="0" w:color="auto"/>
        <w:left w:val="none" w:sz="0" w:space="0" w:color="auto"/>
        <w:bottom w:val="none" w:sz="0" w:space="0" w:color="auto"/>
        <w:right w:val="none" w:sz="0" w:space="0" w:color="auto"/>
      </w:divBdr>
    </w:div>
    <w:div w:id="1366949926">
      <w:bodyDiv w:val="1"/>
      <w:marLeft w:val="0"/>
      <w:marRight w:val="0"/>
      <w:marTop w:val="0"/>
      <w:marBottom w:val="0"/>
      <w:divBdr>
        <w:top w:val="none" w:sz="0" w:space="0" w:color="auto"/>
        <w:left w:val="none" w:sz="0" w:space="0" w:color="auto"/>
        <w:bottom w:val="none" w:sz="0" w:space="0" w:color="auto"/>
        <w:right w:val="none" w:sz="0" w:space="0" w:color="auto"/>
      </w:divBdr>
    </w:div>
    <w:div w:id="1390301896">
      <w:bodyDiv w:val="1"/>
      <w:marLeft w:val="0"/>
      <w:marRight w:val="0"/>
      <w:marTop w:val="0"/>
      <w:marBottom w:val="0"/>
      <w:divBdr>
        <w:top w:val="none" w:sz="0" w:space="0" w:color="auto"/>
        <w:left w:val="none" w:sz="0" w:space="0" w:color="auto"/>
        <w:bottom w:val="none" w:sz="0" w:space="0" w:color="auto"/>
        <w:right w:val="none" w:sz="0" w:space="0" w:color="auto"/>
      </w:divBdr>
    </w:div>
    <w:div w:id="1401949287">
      <w:bodyDiv w:val="1"/>
      <w:marLeft w:val="0"/>
      <w:marRight w:val="0"/>
      <w:marTop w:val="0"/>
      <w:marBottom w:val="0"/>
      <w:divBdr>
        <w:top w:val="none" w:sz="0" w:space="0" w:color="auto"/>
        <w:left w:val="none" w:sz="0" w:space="0" w:color="auto"/>
        <w:bottom w:val="none" w:sz="0" w:space="0" w:color="auto"/>
        <w:right w:val="none" w:sz="0" w:space="0" w:color="auto"/>
      </w:divBdr>
    </w:div>
    <w:div w:id="1485003697">
      <w:bodyDiv w:val="1"/>
      <w:marLeft w:val="0"/>
      <w:marRight w:val="0"/>
      <w:marTop w:val="0"/>
      <w:marBottom w:val="0"/>
      <w:divBdr>
        <w:top w:val="none" w:sz="0" w:space="0" w:color="auto"/>
        <w:left w:val="none" w:sz="0" w:space="0" w:color="auto"/>
        <w:bottom w:val="none" w:sz="0" w:space="0" w:color="auto"/>
        <w:right w:val="none" w:sz="0" w:space="0" w:color="auto"/>
      </w:divBdr>
      <w:divsChild>
        <w:div w:id="115873200">
          <w:marLeft w:val="0"/>
          <w:marRight w:val="0"/>
          <w:marTop w:val="0"/>
          <w:marBottom w:val="0"/>
          <w:divBdr>
            <w:top w:val="none" w:sz="0" w:space="0" w:color="auto"/>
            <w:left w:val="none" w:sz="0" w:space="0" w:color="auto"/>
            <w:bottom w:val="none" w:sz="0" w:space="0" w:color="auto"/>
            <w:right w:val="none" w:sz="0" w:space="0" w:color="auto"/>
          </w:divBdr>
        </w:div>
        <w:div w:id="570041478">
          <w:marLeft w:val="0"/>
          <w:marRight w:val="0"/>
          <w:marTop w:val="0"/>
          <w:marBottom w:val="0"/>
          <w:divBdr>
            <w:top w:val="none" w:sz="0" w:space="0" w:color="auto"/>
            <w:left w:val="none" w:sz="0" w:space="0" w:color="auto"/>
            <w:bottom w:val="none" w:sz="0" w:space="0" w:color="auto"/>
            <w:right w:val="none" w:sz="0" w:space="0" w:color="auto"/>
          </w:divBdr>
        </w:div>
        <w:div w:id="1096293848">
          <w:marLeft w:val="0"/>
          <w:marRight w:val="0"/>
          <w:marTop w:val="0"/>
          <w:marBottom w:val="0"/>
          <w:divBdr>
            <w:top w:val="none" w:sz="0" w:space="0" w:color="auto"/>
            <w:left w:val="none" w:sz="0" w:space="0" w:color="auto"/>
            <w:bottom w:val="none" w:sz="0" w:space="0" w:color="auto"/>
            <w:right w:val="none" w:sz="0" w:space="0" w:color="auto"/>
          </w:divBdr>
        </w:div>
        <w:div w:id="2044549627">
          <w:marLeft w:val="0"/>
          <w:marRight w:val="0"/>
          <w:marTop w:val="0"/>
          <w:marBottom w:val="0"/>
          <w:divBdr>
            <w:top w:val="none" w:sz="0" w:space="0" w:color="auto"/>
            <w:left w:val="none" w:sz="0" w:space="0" w:color="auto"/>
            <w:bottom w:val="none" w:sz="0" w:space="0" w:color="auto"/>
            <w:right w:val="none" w:sz="0" w:space="0" w:color="auto"/>
          </w:divBdr>
        </w:div>
        <w:div w:id="353851435">
          <w:marLeft w:val="0"/>
          <w:marRight w:val="0"/>
          <w:marTop w:val="0"/>
          <w:marBottom w:val="0"/>
          <w:divBdr>
            <w:top w:val="none" w:sz="0" w:space="0" w:color="auto"/>
            <w:left w:val="none" w:sz="0" w:space="0" w:color="auto"/>
            <w:bottom w:val="none" w:sz="0" w:space="0" w:color="auto"/>
            <w:right w:val="none" w:sz="0" w:space="0" w:color="auto"/>
          </w:divBdr>
        </w:div>
        <w:div w:id="243998604">
          <w:marLeft w:val="0"/>
          <w:marRight w:val="0"/>
          <w:marTop w:val="0"/>
          <w:marBottom w:val="0"/>
          <w:divBdr>
            <w:top w:val="none" w:sz="0" w:space="0" w:color="auto"/>
            <w:left w:val="none" w:sz="0" w:space="0" w:color="auto"/>
            <w:bottom w:val="none" w:sz="0" w:space="0" w:color="auto"/>
            <w:right w:val="none" w:sz="0" w:space="0" w:color="auto"/>
          </w:divBdr>
        </w:div>
        <w:div w:id="1557856832">
          <w:marLeft w:val="0"/>
          <w:marRight w:val="0"/>
          <w:marTop w:val="0"/>
          <w:marBottom w:val="0"/>
          <w:divBdr>
            <w:top w:val="none" w:sz="0" w:space="0" w:color="auto"/>
            <w:left w:val="none" w:sz="0" w:space="0" w:color="auto"/>
            <w:bottom w:val="none" w:sz="0" w:space="0" w:color="auto"/>
            <w:right w:val="none" w:sz="0" w:space="0" w:color="auto"/>
          </w:divBdr>
        </w:div>
      </w:divsChild>
    </w:div>
    <w:div w:id="1485465333">
      <w:bodyDiv w:val="1"/>
      <w:marLeft w:val="0"/>
      <w:marRight w:val="0"/>
      <w:marTop w:val="0"/>
      <w:marBottom w:val="0"/>
      <w:divBdr>
        <w:top w:val="none" w:sz="0" w:space="0" w:color="auto"/>
        <w:left w:val="none" w:sz="0" w:space="0" w:color="auto"/>
        <w:bottom w:val="none" w:sz="0" w:space="0" w:color="auto"/>
        <w:right w:val="none" w:sz="0" w:space="0" w:color="auto"/>
      </w:divBdr>
    </w:div>
    <w:div w:id="1510679369">
      <w:bodyDiv w:val="1"/>
      <w:marLeft w:val="0"/>
      <w:marRight w:val="0"/>
      <w:marTop w:val="0"/>
      <w:marBottom w:val="0"/>
      <w:divBdr>
        <w:top w:val="none" w:sz="0" w:space="0" w:color="auto"/>
        <w:left w:val="none" w:sz="0" w:space="0" w:color="auto"/>
        <w:bottom w:val="none" w:sz="0" w:space="0" w:color="auto"/>
        <w:right w:val="none" w:sz="0" w:space="0" w:color="auto"/>
      </w:divBdr>
    </w:div>
    <w:div w:id="1550607546">
      <w:bodyDiv w:val="1"/>
      <w:marLeft w:val="0"/>
      <w:marRight w:val="0"/>
      <w:marTop w:val="0"/>
      <w:marBottom w:val="0"/>
      <w:divBdr>
        <w:top w:val="none" w:sz="0" w:space="0" w:color="auto"/>
        <w:left w:val="none" w:sz="0" w:space="0" w:color="auto"/>
        <w:bottom w:val="none" w:sz="0" w:space="0" w:color="auto"/>
        <w:right w:val="none" w:sz="0" w:space="0" w:color="auto"/>
      </w:divBdr>
      <w:divsChild>
        <w:div w:id="279730972">
          <w:marLeft w:val="274"/>
          <w:marRight w:val="0"/>
          <w:marTop w:val="0"/>
          <w:marBottom w:val="0"/>
          <w:divBdr>
            <w:top w:val="none" w:sz="0" w:space="0" w:color="auto"/>
            <w:left w:val="none" w:sz="0" w:space="0" w:color="auto"/>
            <w:bottom w:val="none" w:sz="0" w:space="0" w:color="auto"/>
            <w:right w:val="none" w:sz="0" w:space="0" w:color="auto"/>
          </w:divBdr>
        </w:div>
      </w:divsChild>
    </w:div>
    <w:div w:id="1601717454">
      <w:bodyDiv w:val="1"/>
      <w:marLeft w:val="0"/>
      <w:marRight w:val="0"/>
      <w:marTop w:val="0"/>
      <w:marBottom w:val="0"/>
      <w:divBdr>
        <w:top w:val="none" w:sz="0" w:space="0" w:color="auto"/>
        <w:left w:val="none" w:sz="0" w:space="0" w:color="auto"/>
        <w:bottom w:val="none" w:sz="0" w:space="0" w:color="auto"/>
        <w:right w:val="none" w:sz="0" w:space="0" w:color="auto"/>
      </w:divBdr>
    </w:div>
    <w:div w:id="1637569219">
      <w:bodyDiv w:val="1"/>
      <w:marLeft w:val="0"/>
      <w:marRight w:val="0"/>
      <w:marTop w:val="0"/>
      <w:marBottom w:val="0"/>
      <w:divBdr>
        <w:top w:val="none" w:sz="0" w:space="0" w:color="auto"/>
        <w:left w:val="none" w:sz="0" w:space="0" w:color="auto"/>
        <w:bottom w:val="none" w:sz="0" w:space="0" w:color="auto"/>
        <w:right w:val="none" w:sz="0" w:space="0" w:color="auto"/>
      </w:divBdr>
      <w:divsChild>
        <w:div w:id="1954634143">
          <w:marLeft w:val="0"/>
          <w:marRight w:val="0"/>
          <w:marTop w:val="0"/>
          <w:marBottom w:val="0"/>
          <w:divBdr>
            <w:top w:val="none" w:sz="0" w:space="0" w:color="auto"/>
            <w:left w:val="none" w:sz="0" w:space="0" w:color="auto"/>
            <w:bottom w:val="none" w:sz="0" w:space="0" w:color="auto"/>
            <w:right w:val="none" w:sz="0" w:space="0" w:color="auto"/>
          </w:divBdr>
        </w:div>
        <w:div w:id="1295408558">
          <w:marLeft w:val="0"/>
          <w:marRight w:val="0"/>
          <w:marTop w:val="0"/>
          <w:marBottom w:val="0"/>
          <w:divBdr>
            <w:top w:val="none" w:sz="0" w:space="0" w:color="auto"/>
            <w:left w:val="none" w:sz="0" w:space="0" w:color="auto"/>
            <w:bottom w:val="none" w:sz="0" w:space="0" w:color="auto"/>
            <w:right w:val="none" w:sz="0" w:space="0" w:color="auto"/>
          </w:divBdr>
        </w:div>
        <w:div w:id="251159772">
          <w:marLeft w:val="0"/>
          <w:marRight w:val="0"/>
          <w:marTop w:val="0"/>
          <w:marBottom w:val="0"/>
          <w:divBdr>
            <w:top w:val="none" w:sz="0" w:space="0" w:color="auto"/>
            <w:left w:val="none" w:sz="0" w:space="0" w:color="auto"/>
            <w:bottom w:val="none" w:sz="0" w:space="0" w:color="auto"/>
            <w:right w:val="none" w:sz="0" w:space="0" w:color="auto"/>
          </w:divBdr>
        </w:div>
      </w:divsChild>
    </w:div>
    <w:div w:id="1675110735">
      <w:bodyDiv w:val="1"/>
      <w:marLeft w:val="0"/>
      <w:marRight w:val="0"/>
      <w:marTop w:val="0"/>
      <w:marBottom w:val="0"/>
      <w:divBdr>
        <w:top w:val="none" w:sz="0" w:space="0" w:color="auto"/>
        <w:left w:val="none" w:sz="0" w:space="0" w:color="auto"/>
        <w:bottom w:val="none" w:sz="0" w:space="0" w:color="auto"/>
        <w:right w:val="none" w:sz="0" w:space="0" w:color="auto"/>
      </w:divBdr>
      <w:divsChild>
        <w:div w:id="406268233">
          <w:marLeft w:val="0"/>
          <w:marRight w:val="0"/>
          <w:marTop w:val="0"/>
          <w:marBottom w:val="0"/>
          <w:divBdr>
            <w:top w:val="none" w:sz="0" w:space="0" w:color="auto"/>
            <w:left w:val="none" w:sz="0" w:space="0" w:color="auto"/>
            <w:bottom w:val="none" w:sz="0" w:space="0" w:color="auto"/>
            <w:right w:val="none" w:sz="0" w:space="0" w:color="auto"/>
          </w:divBdr>
        </w:div>
      </w:divsChild>
    </w:div>
    <w:div w:id="1711610338">
      <w:bodyDiv w:val="1"/>
      <w:marLeft w:val="0"/>
      <w:marRight w:val="0"/>
      <w:marTop w:val="0"/>
      <w:marBottom w:val="0"/>
      <w:divBdr>
        <w:top w:val="none" w:sz="0" w:space="0" w:color="auto"/>
        <w:left w:val="none" w:sz="0" w:space="0" w:color="auto"/>
        <w:bottom w:val="none" w:sz="0" w:space="0" w:color="auto"/>
        <w:right w:val="none" w:sz="0" w:space="0" w:color="auto"/>
      </w:divBdr>
      <w:divsChild>
        <w:div w:id="948901285">
          <w:marLeft w:val="0"/>
          <w:marRight w:val="0"/>
          <w:marTop w:val="0"/>
          <w:marBottom w:val="0"/>
          <w:divBdr>
            <w:top w:val="none" w:sz="0" w:space="0" w:color="auto"/>
            <w:left w:val="none" w:sz="0" w:space="0" w:color="auto"/>
            <w:bottom w:val="none" w:sz="0" w:space="0" w:color="auto"/>
            <w:right w:val="none" w:sz="0" w:space="0" w:color="auto"/>
          </w:divBdr>
        </w:div>
        <w:div w:id="1915236485">
          <w:marLeft w:val="0"/>
          <w:marRight w:val="0"/>
          <w:marTop w:val="0"/>
          <w:marBottom w:val="0"/>
          <w:divBdr>
            <w:top w:val="none" w:sz="0" w:space="0" w:color="auto"/>
            <w:left w:val="none" w:sz="0" w:space="0" w:color="auto"/>
            <w:bottom w:val="none" w:sz="0" w:space="0" w:color="auto"/>
            <w:right w:val="none" w:sz="0" w:space="0" w:color="auto"/>
          </w:divBdr>
        </w:div>
        <w:div w:id="61490606">
          <w:marLeft w:val="0"/>
          <w:marRight w:val="0"/>
          <w:marTop w:val="0"/>
          <w:marBottom w:val="0"/>
          <w:divBdr>
            <w:top w:val="none" w:sz="0" w:space="0" w:color="auto"/>
            <w:left w:val="none" w:sz="0" w:space="0" w:color="auto"/>
            <w:bottom w:val="none" w:sz="0" w:space="0" w:color="auto"/>
            <w:right w:val="none" w:sz="0" w:space="0" w:color="auto"/>
          </w:divBdr>
        </w:div>
        <w:div w:id="1206257439">
          <w:marLeft w:val="0"/>
          <w:marRight w:val="0"/>
          <w:marTop w:val="0"/>
          <w:marBottom w:val="0"/>
          <w:divBdr>
            <w:top w:val="none" w:sz="0" w:space="0" w:color="auto"/>
            <w:left w:val="none" w:sz="0" w:space="0" w:color="auto"/>
            <w:bottom w:val="none" w:sz="0" w:space="0" w:color="auto"/>
            <w:right w:val="none" w:sz="0" w:space="0" w:color="auto"/>
          </w:divBdr>
        </w:div>
        <w:div w:id="1147281919">
          <w:marLeft w:val="0"/>
          <w:marRight w:val="0"/>
          <w:marTop w:val="0"/>
          <w:marBottom w:val="0"/>
          <w:divBdr>
            <w:top w:val="none" w:sz="0" w:space="0" w:color="auto"/>
            <w:left w:val="none" w:sz="0" w:space="0" w:color="auto"/>
            <w:bottom w:val="none" w:sz="0" w:space="0" w:color="auto"/>
            <w:right w:val="none" w:sz="0" w:space="0" w:color="auto"/>
          </w:divBdr>
        </w:div>
        <w:div w:id="1280457693">
          <w:marLeft w:val="0"/>
          <w:marRight w:val="0"/>
          <w:marTop w:val="0"/>
          <w:marBottom w:val="0"/>
          <w:divBdr>
            <w:top w:val="none" w:sz="0" w:space="0" w:color="auto"/>
            <w:left w:val="none" w:sz="0" w:space="0" w:color="auto"/>
            <w:bottom w:val="none" w:sz="0" w:space="0" w:color="auto"/>
            <w:right w:val="none" w:sz="0" w:space="0" w:color="auto"/>
          </w:divBdr>
        </w:div>
        <w:div w:id="458229046">
          <w:marLeft w:val="0"/>
          <w:marRight w:val="0"/>
          <w:marTop w:val="0"/>
          <w:marBottom w:val="0"/>
          <w:divBdr>
            <w:top w:val="none" w:sz="0" w:space="0" w:color="auto"/>
            <w:left w:val="none" w:sz="0" w:space="0" w:color="auto"/>
            <w:bottom w:val="none" w:sz="0" w:space="0" w:color="auto"/>
            <w:right w:val="none" w:sz="0" w:space="0" w:color="auto"/>
          </w:divBdr>
        </w:div>
      </w:divsChild>
    </w:div>
    <w:div w:id="1764303011">
      <w:bodyDiv w:val="1"/>
      <w:marLeft w:val="0"/>
      <w:marRight w:val="0"/>
      <w:marTop w:val="0"/>
      <w:marBottom w:val="0"/>
      <w:divBdr>
        <w:top w:val="none" w:sz="0" w:space="0" w:color="auto"/>
        <w:left w:val="none" w:sz="0" w:space="0" w:color="auto"/>
        <w:bottom w:val="none" w:sz="0" w:space="0" w:color="auto"/>
        <w:right w:val="none" w:sz="0" w:space="0" w:color="auto"/>
      </w:divBdr>
    </w:div>
    <w:div w:id="1903786791">
      <w:bodyDiv w:val="1"/>
      <w:marLeft w:val="0"/>
      <w:marRight w:val="0"/>
      <w:marTop w:val="0"/>
      <w:marBottom w:val="0"/>
      <w:divBdr>
        <w:top w:val="none" w:sz="0" w:space="0" w:color="auto"/>
        <w:left w:val="none" w:sz="0" w:space="0" w:color="auto"/>
        <w:bottom w:val="none" w:sz="0" w:space="0" w:color="auto"/>
        <w:right w:val="none" w:sz="0" w:space="0" w:color="auto"/>
      </w:divBdr>
      <w:divsChild>
        <w:div w:id="946497539">
          <w:marLeft w:val="0"/>
          <w:marRight w:val="0"/>
          <w:marTop w:val="0"/>
          <w:marBottom w:val="0"/>
          <w:divBdr>
            <w:top w:val="none" w:sz="0" w:space="0" w:color="auto"/>
            <w:left w:val="none" w:sz="0" w:space="0" w:color="auto"/>
            <w:bottom w:val="none" w:sz="0" w:space="0" w:color="auto"/>
            <w:right w:val="none" w:sz="0" w:space="0" w:color="auto"/>
          </w:divBdr>
        </w:div>
      </w:divsChild>
    </w:div>
    <w:div w:id="2062485435">
      <w:bodyDiv w:val="1"/>
      <w:marLeft w:val="0"/>
      <w:marRight w:val="0"/>
      <w:marTop w:val="0"/>
      <w:marBottom w:val="0"/>
      <w:divBdr>
        <w:top w:val="none" w:sz="0" w:space="0" w:color="auto"/>
        <w:left w:val="none" w:sz="0" w:space="0" w:color="auto"/>
        <w:bottom w:val="none" w:sz="0" w:space="0" w:color="auto"/>
        <w:right w:val="none" w:sz="0" w:space="0" w:color="auto"/>
      </w:divBdr>
    </w:div>
    <w:div w:id="20649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home-care-packages-program/charging-for-home-care-package-services/fees-for-people-entering-home-care-packages-from-1-july-2014" TargetMode="External"/><Relationship Id="rId13" Type="http://schemas.openxmlformats.org/officeDocument/2006/relationships/hyperlink" Target="https://www.health.gov.au/resources/publications/home-care-pricing-schedule-example" TargetMode="External"/><Relationship Id="rId18" Type="http://schemas.openxmlformats.org/officeDocument/2006/relationships/hyperlink" Target="https://www.ato.gov.au/" TargetMode="External"/><Relationship Id="rId3" Type="http://schemas.openxmlformats.org/officeDocument/2006/relationships/styles" Target="styles.xml"/><Relationship Id="rId21" Type="http://schemas.openxmlformats.org/officeDocument/2006/relationships/hyperlink" Target="https://www.servicesaustralia.gov.au/organisations/health-professionals/subjects/digital-claiming-aged-care-providers/software-developers-aged-care" TargetMode="External"/><Relationship Id="rId7" Type="http://schemas.openxmlformats.org/officeDocument/2006/relationships/endnotes" Target="endnotes.xml"/><Relationship Id="rId12" Type="http://schemas.openxmlformats.org/officeDocument/2006/relationships/hyperlink" Target="https://www.health.gov.au/initiatives-and-programs/home-care-packages-program/managing-home-care-packages/price-transparency-for-home-care-packages" TargetMode="External"/><Relationship Id="rId17" Type="http://schemas.openxmlformats.org/officeDocument/2006/relationships/hyperlink" Target="http://www.opan.org.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resources/publications/schedule-of-fees-and-charges-for-residential-and-home-care" TargetMode="External"/><Relationship Id="rId20" Type="http://schemas.openxmlformats.org/officeDocument/2006/relationships/hyperlink" Target="mailto:aged.care.liaison@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commonwealth-home-support-programme-chsp-manu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yagedcare.gov.au/income-and-means-assessments/" TargetMode="External"/><Relationship Id="rId23" Type="http://schemas.openxmlformats.org/officeDocument/2006/relationships/footer" Target="footer1.xml"/><Relationship Id="rId10" Type="http://schemas.openxmlformats.org/officeDocument/2006/relationships/hyperlink" Target="https://www.health.gov.au/initiatives-and-programs/home-care-packages-program/funding-for-home-care-packages/home-care-packages-subsidy" TargetMode="External"/><Relationship Id="rId19" Type="http://schemas.openxmlformats.org/officeDocument/2006/relationships/hyperlink" Target="https://www.health.gov.au/resources/apps-and-tools/improved-payment-arrangements-ipa-for-home-care-subsidy-estimator-and-unspent-funds-examples" TargetMode="External"/><Relationship Id="rId4" Type="http://schemas.openxmlformats.org/officeDocument/2006/relationships/settings" Target="settings.xml"/><Relationship Id="rId9" Type="http://schemas.openxmlformats.org/officeDocument/2006/relationships/hyperlink" Target="https://www.health.gov.au/initiatives-and-programs/home-care-packages-program/charging-for-home-care-package-services/fees-for-people-entering-home-care-packages-from-1-july-2014" TargetMode="External"/><Relationship Id="rId14" Type="http://schemas.openxmlformats.org/officeDocument/2006/relationships/hyperlink" Target="https://www.health.gov.au/resources/publications/understanding-fees-for-home-ca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72F0-92C1-429F-8046-33EA7A6A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8231</Words>
  <Characters>46919</Characters>
  <Application>Microsoft Office Word</Application>
  <DocSecurity>4</DocSecurity>
  <Lines>390</Lines>
  <Paragraphs>110</Paragraphs>
  <ScaleCrop>false</ScaleCrop>
  <HeadingPairs>
    <vt:vector size="2" baseType="variant">
      <vt:variant>
        <vt:lpstr>Title</vt:lpstr>
      </vt:variant>
      <vt:variant>
        <vt:i4>1</vt:i4>
      </vt:variant>
    </vt:vector>
  </HeadingPairs>
  <TitlesOfParts>
    <vt:vector size="1" baseType="lpstr">
      <vt:lpstr>IPA Question and Answer Fact Sheet - November 2021</vt:lpstr>
    </vt:vector>
  </TitlesOfParts>
  <Company>Department of Health</Company>
  <LinksUpToDate>false</LinksUpToDate>
  <CharactersWithSpaces>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 Question and Answer Fact Sheet - February 2022</dc:title>
  <dc:subject>Aged Care</dc:subject>
  <dc:creator>Australian Government Department of Health</dc:creator>
  <cp:keywords>Improved Payment Arrangements; Aged Care</cp:keywords>
  <dc:description/>
  <cp:lastModifiedBy>MASCHKE, Elvia</cp:lastModifiedBy>
  <cp:revision>2</cp:revision>
  <dcterms:created xsi:type="dcterms:W3CDTF">2022-02-18T03:17:00Z</dcterms:created>
  <dcterms:modified xsi:type="dcterms:W3CDTF">2022-02-18T03:17:00Z</dcterms:modified>
</cp:coreProperties>
</file>