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159E1" w14:textId="1C60C054" w:rsidR="00867EA0" w:rsidRPr="006A3134" w:rsidRDefault="00252634" w:rsidP="00AD55C1">
      <w:pPr>
        <w:pStyle w:val="Heading1"/>
        <w:rPr>
          <w:rFonts w:eastAsia="Times New Roman"/>
          <w:b w:val="0"/>
        </w:rPr>
      </w:pPr>
      <w:r w:rsidRPr="006A3134">
        <w:rPr>
          <w:rFonts w:eastAsia="Times New Roman"/>
        </w:rPr>
        <w:t>U</w:t>
      </w:r>
      <w:r w:rsidR="00224F2E" w:rsidRPr="006A3134">
        <w:rPr>
          <w:rFonts w:eastAsia="Times New Roman"/>
        </w:rPr>
        <w:t xml:space="preserve">nspent funds </w:t>
      </w:r>
      <w:r w:rsidR="00867EA0" w:rsidRPr="006A3134">
        <w:rPr>
          <w:rFonts w:eastAsia="Times New Roman"/>
        </w:rPr>
        <w:t>post-1 September 2021</w:t>
      </w:r>
    </w:p>
    <w:p w14:paraId="29A1DB6A" w14:textId="77777777" w:rsidR="00867EA0" w:rsidRPr="00202E8D" w:rsidRDefault="00E120E4" w:rsidP="00202E8D">
      <w:pPr>
        <w:rPr>
          <w:rStyle w:val="Strong"/>
        </w:rPr>
      </w:pPr>
      <w:r w:rsidRPr="00202E8D">
        <w:rPr>
          <w:rStyle w:val="Strong"/>
        </w:rPr>
        <w:t>From 1 September 2021 onwards</w:t>
      </w:r>
      <w:r w:rsidR="00867EA0" w:rsidRPr="00202E8D">
        <w:rPr>
          <w:rStyle w:val="Strong"/>
        </w:rPr>
        <w:t xml:space="preserve">, there is no need to recalculate the percentage breakdown of Commonwealth and care recipient portions when a care recipient exits care. </w:t>
      </w:r>
    </w:p>
    <w:p w14:paraId="416B40B5" w14:textId="36DA2213" w:rsidR="00867EA0" w:rsidRDefault="00867EA0" w:rsidP="00867EA0">
      <w:r>
        <w:t xml:space="preserve">From 1 September 2021, the provider must track the care recipient </w:t>
      </w:r>
      <w:r w:rsidR="00251301">
        <w:t xml:space="preserve">contributed </w:t>
      </w:r>
      <w:r>
        <w:t>portion and (if they have not opted-in) track the Commonwealth portion separately. If the provider has opted-in, Services Australia will track the Commonwealth portion on their behalf.</w:t>
      </w:r>
    </w:p>
    <w:p w14:paraId="4A9E395E" w14:textId="439A55C1" w:rsidR="00AA1FC8" w:rsidRDefault="00867EA0" w:rsidP="00867EA0">
      <w:r>
        <w:t xml:space="preserve">From 1 September 2021 onwards, if there are changes to the subsidies and fees paid to the provider, this change should be applied to the </w:t>
      </w:r>
      <w:r w:rsidR="00604E32">
        <w:rPr>
          <w:rFonts w:asciiTheme="minorHAnsi" w:hAnsiTheme="minorHAnsi" w:cstheme="minorHAnsi"/>
        </w:rPr>
        <w:t>Commonwealth</w:t>
      </w:r>
      <w:r>
        <w:rPr>
          <w:rFonts w:asciiTheme="minorHAnsi" w:hAnsiTheme="minorHAnsi" w:cstheme="minorHAnsi"/>
        </w:rPr>
        <w:t xml:space="preserve"> </w:t>
      </w:r>
      <w:r>
        <w:t>portion of unspent funds</w:t>
      </w:r>
      <w:r w:rsidR="00A267B9">
        <w:t xml:space="preserve"> (if the provider is holding Commonwealth unspent funds)</w:t>
      </w:r>
      <w:r>
        <w:t>.</w:t>
      </w:r>
    </w:p>
    <w:p w14:paraId="330BAE48" w14:textId="7ADB2153" w:rsidR="00867EA0" w:rsidRDefault="00867EA0" w:rsidP="00867EA0">
      <w:r>
        <w:t>If there are changes to the fees paid by the care recipient, this should be applied to the care recipient portion of unspent funds. When a care recipient leaves care, these fees should be included in the care recipient portion of unspent funds once all claims have been finalised.</w:t>
      </w:r>
    </w:p>
    <w:p w14:paraId="723CEBDF" w14:textId="2CE277CA" w:rsidR="00E0031B" w:rsidRDefault="00A51FEB" w:rsidP="00224F2E">
      <w:r>
        <w:t xml:space="preserve">From </w:t>
      </w:r>
      <w:r w:rsidR="005617A1">
        <w:t>1 January 2022 providers who have chosen not to opt-in need to continue to report on the Commonwealth portion of unspent funds held for a care recipient each month.</w:t>
      </w:r>
    </w:p>
    <w:p w14:paraId="15697AD2" w14:textId="77777777" w:rsidR="00382317" w:rsidRPr="00AD55C1" w:rsidRDefault="00382317" w:rsidP="00382317">
      <w:pPr>
        <w:pStyle w:val="Boxtext"/>
        <w:rPr>
          <w:rStyle w:val="IntenseEmphasis"/>
        </w:rPr>
      </w:pPr>
      <w:r w:rsidRPr="00AD55C1">
        <w:rPr>
          <w:rStyle w:val="IntenseEmphasis"/>
        </w:rPr>
        <w:t>Commonwealth portion:</w:t>
      </w:r>
    </w:p>
    <w:p w14:paraId="5B880019" w14:textId="77777777" w:rsidR="00382317" w:rsidRDefault="00382317" w:rsidP="00382317">
      <w:pPr>
        <w:pStyle w:val="Boxtext"/>
      </w:pPr>
      <w:r>
        <w:t>This is the total Commonwealth subsidies and supplements received for this care recipient, from 1 July 2015 or when the care recipient started receiving home care from you (whichever is later) until the end of the most recent claim month.</w:t>
      </w:r>
    </w:p>
    <w:p w14:paraId="0B789986" w14:textId="77777777" w:rsidR="00382317" w:rsidRDefault="00382317" w:rsidP="00382317">
      <w:pPr>
        <w:pBdr>
          <w:top w:val="single" w:sz="4" w:space="1" w:color="auto"/>
          <w:left w:val="single" w:sz="4" w:space="4" w:color="auto"/>
          <w:bottom w:val="single" w:sz="4" w:space="1" w:color="auto"/>
          <w:right w:val="single" w:sz="4" w:space="4" w:color="auto"/>
        </w:pBdr>
      </w:pPr>
      <w:r>
        <w:t>If a care recipient entered your care prior to 1 September 2021, it must also include the Commonwealth portion of any amount paid to the provider by another provider (transfer portion).</w:t>
      </w:r>
    </w:p>
    <w:p w14:paraId="2CA66660" w14:textId="77777777" w:rsidR="00382317" w:rsidRDefault="00382317" w:rsidP="00382317">
      <w:pPr>
        <w:pBdr>
          <w:top w:val="single" w:sz="4" w:space="1" w:color="auto"/>
          <w:left w:val="single" w:sz="4" w:space="4" w:color="auto"/>
          <w:bottom w:val="single" w:sz="4" w:space="1" w:color="auto"/>
          <w:right w:val="single" w:sz="4" w:space="4" w:color="auto"/>
        </w:pBdr>
      </w:pPr>
      <w:r>
        <w:t>If you have agreed to not collect the income tested care fee with the care recipient*, and the care recipient has not paid any other fees, the Commonwealth portion would comprise 100 percent of the unspent funds.</w:t>
      </w:r>
    </w:p>
    <w:p w14:paraId="06B2294D" w14:textId="77777777" w:rsidR="00382317" w:rsidRDefault="00382317" w:rsidP="00382317">
      <w:pPr>
        <w:pBdr>
          <w:top w:val="single" w:sz="4" w:space="1" w:color="auto"/>
          <w:left w:val="single" w:sz="4" w:space="4" w:color="auto"/>
          <w:bottom w:val="single" w:sz="4" w:space="1" w:color="auto"/>
          <w:right w:val="single" w:sz="4" w:space="4" w:color="auto"/>
        </w:pBdr>
      </w:pPr>
      <w:r>
        <w:t>All unspent Government subsidies (Commonwealth portion) will accrue in their Services Australia home care account.</w:t>
      </w:r>
    </w:p>
    <w:p w14:paraId="071A386F" w14:textId="7B87E22C" w:rsidR="00382317" w:rsidRDefault="00382317" w:rsidP="00382317">
      <w:pPr>
        <w:pBdr>
          <w:top w:val="single" w:sz="4" w:space="1" w:color="auto"/>
          <w:left w:val="single" w:sz="4" w:space="4" w:color="auto"/>
          <w:bottom w:val="single" w:sz="4" w:space="1" w:color="auto"/>
          <w:right w:val="single" w:sz="4" w:space="4" w:color="auto"/>
        </w:pBdr>
        <w:rPr>
          <w:rStyle w:val="SubtleReference"/>
        </w:rPr>
      </w:pPr>
      <w:r w:rsidRPr="00382317">
        <w:rPr>
          <w:rStyle w:val="SubtleReference"/>
        </w:rPr>
        <w:t>*You can only use package funds to cover the income tested care fee if you have previously not collected the care recipient’s income tested care fee prior to 1 September 2021 and if you hold unspent funds on the care recipient’s behalf. Once the unspent funds have been expended you will have to collect the fee from the care recipient or pay for it out of your own revenue.</w:t>
      </w:r>
    </w:p>
    <w:p w14:paraId="26FCB3B0" w14:textId="2B617D64" w:rsidR="00382317" w:rsidRDefault="00382317" w:rsidP="00382317"/>
    <w:p w14:paraId="608BF484" w14:textId="77777777" w:rsidR="00382317" w:rsidRPr="00AD55C1" w:rsidRDefault="00382317" w:rsidP="00382317">
      <w:pPr>
        <w:pStyle w:val="Boxtext"/>
        <w:rPr>
          <w:rStyle w:val="IntenseEmphasis"/>
        </w:rPr>
      </w:pPr>
      <w:r w:rsidRPr="00AD55C1">
        <w:rPr>
          <w:rStyle w:val="IntenseEmphasis"/>
        </w:rPr>
        <w:t>Care recipient portion:</w:t>
      </w:r>
    </w:p>
    <w:p w14:paraId="561436ED" w14:textId="161C461C" w:rsidR="00382317" w:rsidRDefault="00382317" w:rsidP="00382317">
      <w:pPr>
        <w:pStyle w:val="Boxtext"/>
      </w:pPr>
      <w:r>
        <w:t>This is the total care recipient fees received from the care recipient, from 1 July 2015 or when the care recipient started receiving home care from you (whichever is later) until the end of the most recent claim month.</w:t>
      </w:r>
    </w:p>
    <w:p w14:paraId="55BA5DB0" w14:textId="69A907A5" w:rsidR="00382317" w:rsidRDefault="00382317" w:rsidP="00382317"/>
    <w:p w14:paraId="07EE8904" w14:textId="77777777" w:rsidR="00382317" w:rsidRPr="00AD55C1" w:rsidRDefault="00382317" w:rsidP="00382317">
      <w:pPr>
        <w:pStyle w:val="Boxtext"/>
        <w:rPr>
          <w:rStyle w:val="IntenseEmphasis"/>
        </w:rPr>
      </w:pPr>
      <w:r w:rsidRPr="00AD55C1">
        <w:rPr>
          <w:rStyle w:val="IntenseEmphasis"/>
        </w:rPr>
        <w:t>Total value of care and services you delivered for this care recipient:</w:t>
      </w:r>
    </w:p>
    <w:p w14:paraId="14973590" w14:textId="650B1EAA" w:rsidR="00382317" w:rsidRPr="00382317" w:rsidRDefault="00382317" w:rsidP="00382317">
      <w:pPr>
        <w:pStyle w:val="Boxtext"/>
      </w:pPr>
      <w:r>
        <w:t>From 1 July 2015 or the date, they started receiving home care from you (whichever is later) until the end of the most recent claim month.</w:t>
      </w:r>
    </w:p>
    <w:p w14:paraId="0A59EC48" w14:textId="7712D6FF" w:rsidR="00224F2E" w:rsidRDefault="00AA1FC8" w:rsidP="00B83EE5">
      <w:r w:rsidRPr="00E0031B">
        <w:rPr>
          <w:b/>
          <w:bCs/>
        </w:rPr>
        <w:t>Note on the t</w:t>
      </w:r>
      <w:r w:rsidR="00224F2E" w:rsidRPr="00E0031B">
        <w:rPr>
          <w:b/>
          <w:bCs/>
        </w:rPr>
        <w:t>ransfer portion</w:t>
      </w:r>
      <w:r w:rsidR="00E0031B">
        <w:t>:</w:t>
      </w:r>
      <w:r w:rsidR="00224F2E" w:rsidRPr="009E5CBC">
        <w:t xml:space="preserve"> if a care recipient has moved from one provider to another:</w:t>
      </w:r>
      <w:r w:rsidR="00224F2E" w:rsidRPr="008639B0">
        <w:t xml:space="preserve"> If a care recipient trans</w:t>
      </w:r>
      <w:r w:rsidR="00810CEA" w:rsidRPr="008639B0">
        <w:t xml:space="preserve">fers from another provider and commences to </w:t>
      </w:r>
      <w:r w:rsidR="00F21E42">
        <w:t>receive</w:t>
      </w:r>
      <w:r w:rsidR="00F21E42" w:rsidRPr="008639B0">
        <w:t xml:space="preserve"> </w:t>
      </w:r>
      <w:r w:rsidR="00810CEA" w:rsidRPr="008639B0">
        <w:t>home care in</w:t>
      </w:r>
      <w:r w:rsidR="00224F2E" w:rsidRPr="008639B0">
        <w:t xml:space="preserve"> your care </w:t>
      </w:r>
      <w:r w:rsidR="00810CEA" w:rsidRPr="008639B0">
        <w:t>service</w:t>
      </w:r>
      <w:r w:rsidR="00810CEA" w:rsidRPr="00202E8D">
        <w:t xml:space="preserve"> </w:t>
      </w:r>
      <w:r w:rsidR="00224F2E" w:rsidRPr="00202E8D">
        <w:t>after</w:t>
      </w:r>
      <w:r w:rsidR="00224F2E" w:rsidRPr="008639B0">
        <w:t xml:space="preserve"> 1 September 2021, you will not need to re-calculate their unspent funds. Any</w:t>
      </w:r>
      <w:r w:rsidR="00810CEA" w:rsidRPr="008639B0">
        <w:t xml:space="preserve"> amount</w:t>
      </w:r>
      <w:r w:rsidR="00224F2E" w:rsidRPr="008639B0">
        <w:t xml:space="preserve"> transferred from the old provider </w:t>
      </w:r>
      <w:r w:rsidR="00810CEA" w:rsidRPr="008639B0">
        <w:t xml:space="preserve">to you </w:t>
      </w:r>
      <w:r w:rsidR="00224F2E" w:rsidRPr="008639B0">
        <w:t xml:space="preserve">will be the care recipient portion of unspent funds. </w:t>
      </w:r>
    </w:p>
    <w:p w14:paraId="0650E372" w14:textId="77777777" w:rsidR="005E62D7" w:rsidRPr="009E5CBC" w:rsidRDefault="005E62D7" w:rsidP="00382317">
      <w:pPr>
        <w:pStyle w:val="Heading2"/>
        <w:rPr>
          <w:rFonts w:ascii="Calibri Light" w:hAnsi="Calibri Light" w:cs="Calibri Light"/>
          <w:color w:val="1F3864" w:themeColor="accent1" w:themeShade="80"/>
        </w:rPr>
      </w:pPr>
      <w:r w:rsidRPr="00202E8D">
        <w:t xml:space="preserve">Worked example of tracking </w:t>
      </w:r>
      <w:r w:rsidRPr="00382317">
        <w:t>unspent</w:t>
      </w:r>
      <w:r w:rsidRPr="00202E8D">
        <w:t xml:space="preserve"> funds where a care recipient is</w:t>
      </w:r>
      <w:r w:rsidRPr="009E5CBC">
        <w:rPr>
          <w:rFonts w:ascii="Calibri Light" w:hAnsi="Calibri Light" w:cs="Calibri Light"/>
          <w:color w:val="1F3864" w:themeColor="accent1" w:themeShade="80"/>
        </w:rPr>
        <w:t xml:space="preserve"> </w:t>
      </w:r>
      <w:r w:rsidRPr="00202E8D">
        <w:rPr>
          <w:rStyle w:val="Strong"/>
        </w:rPr>
        <w:t>not opted-in</w:t>
      </w:r>
    </w:p>
    <w:p w14:paraId="6C6D8C9E" w14:textId="76A45325" w:rsidR="005E62D7" w:rsidRDefault="005E62D7" w:rsidP="00382317">
      <w:r>
        <w:t xml:space="preserve">If a provider does not opt-in to return unspent funds for a care recipient, Services Australia will pay the provider from the Government subsidy available to the care recipient and their home care account balance. If the care and services delivered </w:t>
      </w:r>
      <w:r w:rsidR="008953A0">
        <w:t>exceed</w:t>
      </w:r>
      <w:r>
        <w:t xml:space="preserve"> the Government subsidy </w:t>
      </w:r>
      <w:r w:rsidR="008953A0">
        <w:t xml:space="preserve">plus </w:t>
      </w:r>
      <w:r>
        <w:t>the care recipient’s available home care balance, the provider will need to draw on the unspent funds they hold.</w:t>
      </w:r>
    </w:p>
    <w:p w14:paraId="41B86EED" w14:textId="617FF9CA" w:rsidR="005E62D7" w:rsidRPr="00202E8D" w:rsidRDefault="00FE32CD" w:rsidP="00AD55C1">
      <w:r>
        <w:lastRenderedPageBreak/>
        <w:t>If the provider needs to draw on the unspent funds they hold, a</w:t>
      </w:r>
      <w:r w:rsidR="005E62D7">
        <w:t>s they have not opted-in, they must first draw down on the care recipient portion of unspent funds before drawing on the Commonwealth portion. This ensures care recipient fees are being spent on the care recipient’s care and services, not accruing with the provider as unspent funds.</w:t>
      </w:r>
    </w:p>
    <w:p w14:paraId="7ADD4632" w14:textId="2D6235BB" w:rsidR="00AD55C1" w:rsidRDefault="00AD55C1" w:rsidP="00AD55C1">
      <w:pPr>
        <w:pStyle w:val="NoSpacing"/>
      </w:pPr>
      <w:r>
        <w:t xml:space="preserve">Month: </w:t>
      </w:r>
      <w:r w:rsidRPr="00AD55C1">
        <w:rPr>
          <w:rStyle w:val="Strong"/>
        </w:rPr>
        <w:t>September 2021</w:t>
      </w:r>
    </w:p>
    <w:p w14:paraId="04FD2DAA" w14:textId="15DAF74F" w:rsidR="00AD55C1" w:rsidRDefault="00AD55C1" w:rsidP="00AD55C1">
      <w:pPr>
        <w:pStyle w:val="Caption"/>
        <w:spacing w:before="0"/>
      </w:pPr>
      <w:r w:rsidRPr="00E0031B">
        <w:rPr>
          <w:color w:val="auto"/>
        </w:rPr>
        <w:t xml:space="preserve">Cost of care and services delivered: </w:t>
      </w:r>
      <w:r w:rsidRPr="00E0031B">
        <w:rPr>
          <w:rStyle w:val="Strong"/>
          <w:color w:val="auto"/>
        </w:rPr>
        <w:t>$1,700</w:t>
      </w:r>
      <w:r w:rsidRPr="00E0031B">
        <w:rPr>
          <w:color w:val="auto"/>
        </w:rPr>
        <w:t xml:space="preserve"> (price or invoice amount)</w:t>
      </w:r>
    </w:p>
    <w:tbl>
      <w:tblPr>
        <w:tblStyle w:val="TableGrid"/>
        <w:tblW w:w="5000" w:type="pct"/>
        <w:tblLook w:val="04A0" w:firstRow="1" w:lastRow="0" w:firstColumn="1" w:lastColumn="0" w:noHBand="0" w:noVBand="1"/>
        <w:tblCaption w:val="Tracking unspent funds where a care recipient is not opted-in"/>
        <w:tblDescription w:val="Table showing how the unspent funds should be tracked when a care recipient is not opted-in to draw down on unspent funds"/>
      </w:tblPr>
      <w:tblGrid>
        <w:gridCol w:w="1572"/>
        <w:gridCol w:w="2304"/>
        <w:gridCol w:w="1003"/>
        <w:gridCol w:w="5315"/>
      </w:tblGrid>
      <w:tr w:rsidR="00C55DED" w:rsidRPr="007E4D62" w14:paraId="441E94C5" w14:textId="77777777" w:rsidTr="00AD55C1">
        <w:trPr>
          <w:trHeight w:val="413"/>
          <w:tblHeader/>
        </w:trPr>
        <w:tc>
          <w:tcPr>
            <w:tcW w:w="1901" w:type="pct"/>
            <w:gridSpan w:val="2"/>
            <w:shd w:val="clear" w:color="auto" w:fill="F2F2F2" w:themeFill="background1" w:themeFillShade="F2"/>
            <w:vAlign w:val="center"/>
          </w:tcPr>
          <w:p w14:paraId="433A6C57" w14:textId="5E238C04" w:rsidR="00C55DED" w:rsidRPr="009E5CBC" w:rsidRDefault="00C55DED" w:rsidP="00AD55C1">
            <w:pPr>
              <w:pStyle w:val="TOAHeading"/>
              <w:rPr>
                <w:color w:val="000000" w:themeColor="text1"/>
                <w:kern w:val="24"/>
                <w:highlight w:val="yellow"/>
              </w:rPr>
            </w:pPr>
            <w:r w:rsidRPr="009E5CBC">
              <w:t>Funding</w:t>
            </w:r>
          </w:p>
        </w:tc>
        <w:tc>
          <w:tcPr>
            <w:tcW w:w="492" w:type="pct"/>
            <w:shd w:val="clear" w:color="auto" w:fill="F2F2F2" w:themeFill="background1" w:themeFillShade="F2"/>
            <w:vAlign w:val="center"/>
          </w:tcPr>
          <w:p w14:paraId="335B1D1F" w14:textId="77777777" w:rsidR="00C55DED" w:rsidRPr="009E5CBC" w:rsidRDefault="00C55DED" w:rsidP="00AD55C1">
            <w:pPr>
              <w:pStyle w:val="TOAHeading"/>
            </w:pPr>
            <w:r w:rsidRPr="009E5CBC">
              <w:t>Amount</w:t>
            </w:r>
          </w:p>
        </w:tc>
        <w:tc>
          <w:tcPr>
            <w:tcW w:w="2608" w:type="pct"/>
            <w:shd w:val="clear" w:color="auto" w:fill="F2F2F2" w:themeFill="background1" w:themeFillShade="F2"/>
            <w:vAlign w:val="center"/>
          </w:tcPr>
          <w:p w14:paraId="49790E18" w14:textId="77777777" w:rsidR="00C55DED" w:rsidRPr="009E5CBC" w:rsidRDefault="00C55DED" w:rsidP="00AD55C1">
            <w:pPr>
              <w:pStyle w:val="TOAHeading"/>
            </w:pPr>
            <w:r w:rsidRPr="009E5CBC">
              <w:t>Notes</w:t>
            </w:r>
          </w:p>
        </w:tc>
      </w:tr>
      <w:tr w:rsidR="00C55DED" w:rsidRPr="007E4D62" w14:paraId="576BA20A" w14:textId="77777777" w:rsidTr="00AD55C1">
        <w:trPr>
          <w:trHeight w:val="618"/>
        </w:trPr>
        <w:tc>
          <w:tcPr>
            <w:tcW w:w="771" w:type="pct"/>
            <w:vMerge w:val="restart"/>
            <w:shd w:val="clear" w:color="auto" w:fill="F2F2F2" w:themeFill="background1" w:themeFillShade="F2"/>
            <w:vAlign w:val="center"/>
          </w:tcPr>
          <w:p w14:paraId="3DE10E42" w14:textId="7695D467" w:rsidR="00813898" w:rsidRPr="009E5CBC" w:rsidRDefault="001E6860" w:rsidP="00AD55C1">
            <w:pPr>
              <w:pStyle w:val="TableofAuthorities"/>
            </w:pPr>
            <w:r w:rsidRPr="009E5CBC">
              <w:t>Provider-held unspent funds</w:t>
            </w:r>
            <w:r w:rsidR="00A2202A" w:rsidRPr="009E5CBC">
              <w:t xml:space="preserve"> at start of the month</w:t>
            </w:r>
          </w:p>
        </w:tc>
        <w:tc>
          <w:tcPr>
            <w:tcW w:w="1129" w:type="pct"/>
            <w:shd w:val="clear" w:color="auto" w:fill="DEEAF6" w:themeFill="accent5" w:themeFillTint="33"/>
            <w:vAlign w:val="center"/>
          </w:tcPr>
          <w:p w14:paraId="08EB8B4D" w14:textId="137C21C2" w:rsidR="00813898" w:rsidRPr="009E5CBC" w:rsidRDefault="00A2202A" w:rsidP="00AD55C1">
            <w:pPr>
              <w:pStyle w:val="TableofAuthorities"/>
            </w:pPr>
            <w:r w:rsidRPr="009E5CBC">
              <w:t>Provider-held</w:t>
            </w:r>
            <w:r w:rsidRPr="009E5CBC">
              <w:rPr>
                <w:i/>
                <w:iCs/>
              </w:rPr>
              <w:t xml:space="preserve"> C</w:t>
            </w:r>
            <w:r w:rsidR="00813898" w:rsidRPr="009E5CBC">
              <w:rPr>
                <w:i/>
                <w:iCs/>
              </w:rPr>
              <w:t>are recipient unspent funds</w:t>
            </w:r>
            <w:r w:rsidR="00813898" w:rsidRPr="009E5CBC">
              <w:t xml:space="preserve"> </w:t>
            </w:r>
          </w:p>
        </w:tc>
        <w:tc>
          <w:tcPr>
            <w:tcW w:w="492" w:type="pct"/>
            <w:shd w:val="clear" w:color="auto" w:fill="DEEAF6" w:themeFill="accent5" w:themeFillTint="33"/>
            <w:vAlign w:val="center"/>
          </w:tcPr>
          <w:p w14:paraId="4F4BB70E" w14:textId="77777777" w:rsidR="00813898" w:rsidRPr="009E5CBC" w:rsidRDefault="00813898" w:rsidP="00AD55C1">
            <w:pPr>
              <w:pStyle w:val="TableofAuthorities"/>
            </w:pPr>
            <w:r w:rsidRPr="009E5CBC">
              <w:t>$150</w:t>
            </w:r>
          </w:p>
        </w:tc>
        <w:tc>
          <w:tcPr>
            <w:tcW w:w="2608" w:type="pct"/>
            <w:shd w:val="clear" w:color="auto" w:fill="DEEAF6" w:themeFill="accent5" w:themeFillTint="33"/>
            <w:vAlign w:val="center"/>
          </w:tcPr>
          <w:p w14:paraId="26BA62C3" w14:textId="13B86016" w:rsidR="00813898" w:rsidRPr="009E5CBC" w:rsidRDefault="00813898" w:rsidP="00AD55C1">
            <w:pPr>
              <w:pStyle w:val="TableofAuthorities"/>
            </w:pPr>
            <w:r w:rsidRPr="009E5CBC">
              <w:rPr>
                <w:color w:val="000000" w:themeColor="text1"/>
                <w:kern w:val="24"/>
              </w:rPr>
              <w:t xml:space="preserve">These </w:t>
            </w:r>
            <w:r w:rsidR="00A2202A" w:rsidRPr="009E5CBC">
              <w:rPr>
                <w:color w:val="000000" w:themeColor="text1"/>
                <w:kern w:val="24"/>
              </w:rPr>
              <w:t xml:space="preserve">care-recipient contributed </w:t>
            </w:r>
            <w:r w:rsidRPr="009E5CBC">
              <w:rPr>
                <w:color w:val="000000" w:themeColor="text1"/>
                <w:kern w:val="24"/>
              </w:rPr>
              <w:t>funds were accrued prior to 1 September 2021</w:t>
            </w:r>
          </w:p>
        </w:tc>
      </w:tr>
      <w:tr w:rsidR="00C55DED" w:rsidRPr="007E4D62" w14:paraId="535CECE4" w14:textId="77777777" w:rsidTr="00AD55C1">
        <w:trPr>
          <w:trHeight w:val="538"/>
        </w:trPr>
        <w:tc>
          <w:tcPr>
            <w:tcW w:w="771" w:type="pct"/>
            <w:vMerge/>
            <w:shd w:val="clear" w:color="auto" w:fill="F2F2F2" w:themeFill="background1" w:themeFillShade="F2"/>
          </w:tcPr>
          <w:p w14:paraId="01CBC77F" w14:textId="77777777" w:rsidR="00813898" w:rsidRPr="009E5CBC" w:rsidRDefault="00813898" w:rsidP="00AD55C1">
            <w:pPr>
              <w:pStyle w:val="TableofAuthorities"/>
              <w:rPr>
                <w:i/>
                <w:iCs/>
                <w:color w:val="000000" w:themeColor="text1"/>
                <w:kern w:val="24"/>
              </w:rPr>
            </w:pPr>
          </w:p>
        </w:tc>
        <w:tc>
          <w:tcPr>
            <w:tcW w:w="1129" w:type="pct"/>
            <w:shd w:val="clear" w:color="auto" w:fill="E2EFD9" w:themeFill="accent6" w:themeFillTint="33"/>
            <w:vAlign w:val="center"/>
          </w:tcPr>
          <w:p w14:paraId="7AD54081" w14:textId="7DECD59C" w:rsidR="00813898" w:rsidRPr="009E5CBC" w:rsidRDefault="00813898" w:rsidP="00AD55C1">
            <w:pPr>
              <w:pStyle w:val="TableofAuthorities"/>
              <w:rPr>
                <w:i/>
                <w:iCs/>
                <w:color w:val="000000" w:themeColor="text1"/>
                <w:kern w:val="24"/>
                <w:highlight w:val="yellow"/>
              </w:rPr>
            </w:pPr>
            <w:r w:rsidRPr="009E5CBC">
              <w:rPr>
                <w:i/>
                <w:iCs/>
                <w:color w:val="000000" w:themeColor="text1"/>
                <w:kern w:val="24"/>
              </w:rPr>
              <w:t>Provider-held Commonwealth unspent funds</w:t>
            </w:r>
          </w:p>
        </w:tc>
        <w:tc>
          <w:tcPr>
            <w:tcW w:w="492" w:type="pct"/>
            <w:shd w:val="clear" w:color="auto" w:fill="E2EFD9" w:themeFill="accent6" w:themeFillTint="33"/>
            <w:vAlign w:val="center"/>
          </w:tcPr>
          <w:p w14:paraId="62187E96" w14:textId="77777777" w:rsidR="00813898" w:rsidRPr="009E5CBC" w:rsidRDefault="00813898" w:rsidP="00AD55C1">
            <w:pPr>
              <w:pStyle w:val="TableofAuthorities"/>
              <w:rPr>
                <w:i/>
                <w:iCs/>
              </w:rPr>
            </w:pPr>
            <w:r w:rsidRPr="009E5CBC">
              <w:t>$500</w:t>
            </w:r>
          </w:p>
        </w:tc>
        <w:tc>
          <w:tcPr>
            <w:tcW w:w="2608" w:type="pct"/>
            <w:shd w:val="clear" w:color="auto" w:fill="E2EFD9" w:themeFill="accent6" w:themeFillTint="33"/>
            <w:vAlign w:val="center"/>
          </w:tcPr>
          <w:p w14:paraId="60BD25B8" w14:textId="2BDEB3CC" w:rsidR="00813898" w:rsidRPr="009E5CBC" w:rsidRDefault="00813898" w:rsidP="00AD55C1">
            <w:pPr>
              <w:pStyle w:val="TableofAuthorities"/>
              <w:rPr>
                <w:color w:val="000000" w:themeColor="text1"/>
                <w:kern w:val="24"/>
                <w:highlight w:val="yellow"/>
              </w:rPr>
            </w:pPr>
            <w:r w:rsidRPr="009E5CBC">
              <w:rPr>
                <w:color w:val="000000" w:themeColor="text1"/>
                <w:kern w:val="24"/>
              </w:rPr>
              <w:t xml:space="preserve">These </w:t>
            </w:r>
            <w:r w:rsidR="008953A0" w:rsidRPr="009E5CBC">
              <w:rPr>
                <w:color w:val="000000" w:themeColor="text1"/>
                <w:kern w:val="24"/>
              </w:rPr>
              <w:t xml:space="preserve">Government contributed </w:t>
            </w:r>
            <w:r w:rsidRPr="009E5CBC">
              <w:rPr>
                <w:color w:val="000000" w:themeColor="text1"/>
                <w:kern w:val="24"/>
              </w:rPr>
              <w:t>funds were accrued prior to 1 September 2021</w:t>
            </w:r>
          </w:p>
        </w:tc>
      </w:tr>
      <w:tr w:rsidR="00C55DED" w:rsidRPr="007E4D62" w14:paraId="5B1B5AD4" w14:textId="77777777" w:rsidTr="0042023A">
        <w:trPr>
          <w:trHeight w:hRule="exact" w:val="119"/>
        </w:trPr>
        <w:tc>
          <w:tcPr>
            <w:tcW w:w="771" w:type="pct"/>
            <w:shd w:val="clear" w:color="auto" w:fill="808080" w:themeFill="background1" w:themeFillShade="80"/>
          </w:tcPr>
          <w:p w14:paraId="01B8EB4C" w14:textId="77777777" w:rsidR="00813898" w:rsidRPr="0042023A" w:rsidRDefault="00813898" w:rsidP="0042023A">
            <w:pPr>
              <w:pStyle w:val="TableofAuthorities"/>
              <w:jc w:val="center"/>
              <w:rPr>
                <w:b/>
                <w:bCs/>
                <w:sz w:val="6"/>
                <w:szCs w:val="6"/>
              </w:rPr>
            </w:pPr>
          </w:p>
        </w:tc>
        <w:tc>
          <w:tcPr>
            <w:tcW w:w="1129" w:type="pct"/>
            <w:shd w:val="clear" w:color="auto" w:fill="808080" w:themeFill="background1" w:themeFillShade="80"/>
            <w:vAlign w:val="center"/>
          </w:tcPr>
          <w:p w14:paraId="1D1DC8B5" w14:textId="01B11680" w:rsidR="00813898" w:rsidRPr="009E5CBC" w:rsidRDefault="00813898" w:rsidP="00AD55C1">
            <w:pPr>
              <w:pStyle w:val="TableofAuthorities"/>
              <w:rPr>
                <w:b/>
                <w:bCs/>
                <w:sz w:val="8"/>
                <w:szCs w:val="8"/>
              </w:rPr>
            </w:pPr>
          </w:p>
        </w:tc>
        <w:tc>
          <w:tcPr>
            <w:tcW w:w="492" w:type="pct"/>
            <w:shd w:val="clear" w:color="auto" w:fill="808080" w:themeFill="background1" w:themeFillShade="80"/>
            <w:vAlign w:val="center"/>
          </w:tcPr>
          <w:p w14:paraId="1AA987D2" w14:textId="77777777" w:rsidR="00813898" w:rsidRPr="009E5CBC" w:rsidRDefault="00813898" w:rsidP="00AD55C1">
            <w:pPr>
              <w:pStyle w:val="TableofAuthorities"/>
              <w:rPr>
                <w:b/>
                <w:bCs/>
                <w:sz w:val="8"/>
                <w:szCs w:val="8"/>
              </w:rPr>
            </w:pPr>
          </w:p>
        </w:tc>
        <w:tc>
          <w:tcPr>
            <w:tcW w:w="2608" w:type="pct"/>
            <w:shd w:val="clear" w:color="auto" w:fill="808080" w:themeFill="background1" w:themeFillShade="80"/>
            <w:vAlign w:val="center"/>
          </w:tcPr>
          <w:p w14:paraId="74CC4260" w14:textId="77777777" w:rsidR="00813898" w:rsidRPr="009E5CBC" w:rsidRDefault="00813898" w:rsidP="00AD55C1">
            <w:pPr>
              <w:pStyle w:val="TableofAuthorities"/>
              <w:rPr>
                <w:b/>
                <w:bCs/>
                <w:sz w:val="8"/>
                <w:szCs w:val="8"/>
              </w:rPr>
            </w:pPr>
          </w:p>
        </w:tc>
      </w:tr>
      <w:tr w:rsidR="007E4D62" w:rsidRPr="007E4D62" w14:paraId="1C86D03A" w14:textId="77777777" w:rsidTr="00AD55C1">
        <w:trPr>
          <w:trHeight w:val="604"/>
        </w:trPr>
        <w:tc>
          <w:tcPr>
            <w:tcW w:w="771" w:type="pct"/>
            <w:vMerge w:val="restart"/>
            <w:shd w:val="clear" w:color="auto" w:fill="F2F2F2" w:themeFill="background1" w:themeFillShade="F2"/>
            <w:vAlign w:val="center"/>
          </w:tcPr>
          <w:p w14:paraId="101F24F6" w14:textId="7C1B8C3B" w:rsidR="001E6860" w:rsidRPr="009E5CBC" w:rsidRDefault="00D918A6" w:rsidP="00AD55C1">
            <w:pPr>
              <w:pStyle w:val="TableofAuthorities"/>
            </w:pPr>
            <w:r w:rsidRPr="009E5CBC">
              <w:t xml:space="preserve">Additional </w:t>
            </w:r>
            <w:r w:rsidR="001E6860" w:rsidRPr="009E5CBC">
              <w:t>funds available to pay for care and services</w:t>
            </w:r>
          </w:p>
        </w:tc>
        <w:tc>
          <w:tcPr>
            <w:tcW w:w="1129" w:type="pct"/>
            <w:shd w:val="clear" w:color="auto" w:fill="DEEAF6" w:themeFill="accent5" w:themeFillTint="33"/>
            <w:vAlign w:val="center"/>
          </w:tcPr>
          <w:p w14:paraId="15D9B541" w14:textId="7D701BE4" w:rsidR="001E6860" w:rsidRPr="009E5CBC" w:rsidRDefault="001E6860" w:rsidP="00AD55C1">
            <w:pPr>
              <w:pStyle w:val="TableofAuthorities"/>
              <w:rPr>
                <w:i/>
                <w:iCs/>
              </w:rPr>
            </w:pPr>
            <w:r w:rsidRPr="009E5CBC">
              <w:rPr>
                <w:i/>
                <w:iCs/>
              </w:rPr>
              <w:t>Care recipient fees</w:t>
            </w:r>
            <w:r w:rsidRPr="009E5CBC">
              <w:t xml:space="preserve"> </w:t>
            </w:r>
            <w:r w:rsidR="008953A0" w:rsidRPr="009E5CBC">
              <w:t>(</w:t>
            </w:r>
            <w:r w:rsidR="008953A0" w:rsidRPr="009E5CBC">
              <w:rPr>
                <w:i/>
                <w:iCs/>
              </w:rPr>
              <w:t>income tested care fee</w:t>
            </w:r>
            <w:r w:rsidR="008953A0" w:rsidRPr="009E5CBC">
              <w:t xml:space="preserve">) </w:t>
            </w:r>
            <w:r w:rsidRPr="009E5CBC">
              <w:t>received this month</w:t>
            </w:r>
            <w:r w:rsidR="005F6E5C" w:rsidRPr="009E5CBC">
              <w:t xml:space="preserve"> </w:t>
            </w:r>
          </w:p>
        </w:tc>
        <w:tc>
          <w:tcPr>
            <w:tcW w:w="492" w:type="pct"/>
            <w:shd w:val="clear" w:color="auto" w:fill="DEEAF6" w:themeFill="accent5" w:themeFillTint="33"/>
            <w:vAlign w:val="center"/>
          </w:tcPr>
          <w:p w14:paraId="5C0B47D1" w14:textId="77777777" w:rsidR="001E6860" w:rsidRPr="009E5CBC" w:rsidRDefault="001E6860" w:rsidP="00AD55C1">
            <w:pPr>
              <w:pStyle w:val="TableofAuthorities"/>
            </w:pPr>
            <w:r w:rsidRPr="009E5CBC">
              <w:t>$200</w:t>
            </w:r>
          </w:p>
        </w:tc>
        <w:tc>
          <w:tcPr>
            <w:tcW w:w="2608" w:type="pct"/>
            <w:shd w:val="clear" w:color="auto" w:fill="DEEAF6" w:themeFill="accent5" w:themeFillTint="33"/>
            <w:vAlign w:val="center"/>
          </w:tcPr>
          <w:p w14:paraId="37CF0886" w14:textId="77777777" w:rsidR="001E6860" w:rsidRPr="009E5CBC" w:rsidRDefault="001E6860" w:rsidP="00AD55C1">
            <w:pPr>
              <w:pStyle w:val="TableofAuthorities"/>
              <w:rPr>
                <w:color w:val="000000" w:themeColor="text1"/>
                <w:kern w:val="24"/>
              </w:rPr>
            </w:pPr>
            <w:r w:rsidRPr="009E5CBC">
              <w:t xml:space="preserve">$200 </w:t>
            </w:r>
            <w:r w:rsidRPr="009E5CBC">
              <w:rPr>
                <w:i/>
                <w:iCs/>
              </w:rPr>
              <w:t>income tested care fee</w:t>
            </w:r>
            <w:r w:rsidRPr="009E5CBC">
              <w:t xml:space="preserve"> paid by care recipient this month</w:t>
            </w:r>
          </w:p>
        </w:tc>
      </w:tr>
      <w:tr w:rsidR="007E4D62" w:rsidRPr="007E4D62" w14:paraId="0B8065F2" w14:textId="77777777" w:rsidTr="00AD55C1">
        <w:trPr>
          <w:trHeight w:val="840"/>
        </w:trPr>
        <w:tc>
          <w:tcPr>
            <w:tcW w:w="771" w:type="pct"/>
            <w:vMerge/>
            <w:shd w:val="clear" w:color="auto" w:fill="F2F2F2" w:themeFill="background1" w:themeFillShade="F2"/>
            <w:vAlign w:val="center"/>
          </w:tcPr>
          <w:p w14:paraId="5236555E" w14:textId="01444FCF" w:rsidR="001E6860" w:rsidRPr="009E5CBC" w:rsidRDefault="001E6860" w:rsidP="00AD55C1">
            <w:pPr>
              <w:pStyle w:val="TableofAuthorities"/>
              <w:rPr>
                <w:i/>
                <w:iCs/>
              </w:rPr>
            </w:pPr>
          </w:p>
        </w:tc>
        <w:tc>
          <w:tcPr>
            <w:tcW w:w="1129" w:type="pct"/>
            <w:shd w:val="clear" w:color="auto" w:fill="FFF2CC" w:themeFill="accent4" w:themeFillTint="33"/>
            <w:vAlign w:val="center"/>
          </w:tcPr>
          <w:p w14:paraId="0975DBDB" w14:textId="2EB2CBCF" w:rsidR="001E6860" w:rsidRPr="009E5CBC" w:rsidRDefault="00D918A6" w:rsidP="00AD55C1">
            <w:pPr>
              <w:pStyle w:val="TableofAuthorities"/>
              <w:rPr>
                <w:i/>
                <w:iCs/>
              </w:rPr>
            </w:pPr>
            <w:r w:rsidRPr="009E5CBC">
              <w:t xml:space="preserve">Care recipient’s monthly </w:t>
            </w:r>
            <w:r w:rsidRPr="009E5CBC">
              <w:rPr>
                <w:i/>
                <w:iCs/>
              </w:rPr>
              <w:t>Government subsidy entitlement</w:t>
            </w:r>
            <w:r w:rsidRPr="009E5CBC">
              <w:t xml:space="preserve"> </w:t>
            </w:r>
          </w:p>
        </w:tc>
        <w:tc>
          <w:tcPr>
            <w:tcW w:w="492" w:type="pct"/>
            <w:shd w:val="clear" w:color="auto" w:fill="FFF2CC" w:themeFill="accent4" w:themeFillTint="33"/>
            <w:vAlign w:val="center"/>
          </w:tcPr>
          <w:p w14:paraId="098018D5" w14:textId="5E9E5812" w:rsidR="001E6860" w:rsidRPr="009E5CBC" w:rsidRDefault="001E6860" w:rsidP="00AD55C1">
            <w:pPr>
              <w:pStyle w:val="TableofAuthorities"/>
            </w:pPr>
            <w:r w:rsidRPr="009E5CBC">
              <w:t>$1,</w:t>
            </w:r>
            <w:r w:rsidR="008953A0" w:rsidRPr="009E5CBC">
              <w:t>7</w:t>
            </w:r>
            <w:r w:rsidRPr="009E5CBC">
              <w:t>00</w:t>
            </w:r>
          </w:p>
        </w:tc>
        <w:tc>
          <w:tcPr>
            <w:tcW w:w="2608" w:type="pct"/>
            <w:shd w:val="clear" w:color="auto" w:fill="FFF2CC" w:themeFill="accent4" w:themeFillTint="33"/>
            <w:vAlign w:val="center"/>
          </w:tcPr>
          <w:p w14:paraId="124566AB" w14:textId="518AA6EE" w:rsidR="001E6860" w:rsidRPr="009E5CBC" w:rsidRDefault="008953A0" w:rsidP="00AD55C1">
            <w:pPr>
              <w:pStyle w:val="TableofAuthorities"/>
            </w:pPr>
            <w:r w:rsidRPr="009E5CBC">
              <w:t xml:space="preserve">Given the client is expected to pay a $200 </w:t>
            </w:r>
            <w:r w:rsidRPr="009E5CBC">
              <w:rPr>
                <w:i/>
                <w:iCs/>
              </w:rPr>
              <w:t>income tested care fee,</w:t>
            </w:r>
            <w:r w:rsidRPr="009E5CBC">
              <w:t xml:space="preserve"> only up to </w:t>
            </w:r>
            <w:r w:rsidR="001E6860" w:rsidRPr="009E5CBC">
              <w:t>$1,</w:t>
            </w:r>
            <w:r w:rsidRPr="009E5CBC">
              <w:t>5</w:t>
            </w:r>
            <w:r w:rsidR="001E6860" w:rsidRPr="009E5CBC">
              <w:t xml:space="preserve">00 </w:t>
            </w:r>
            <w:r w:rsidRPr="009E5CBC">
              <w:t xml:space="preserve">of the </w:t>
            </w:r>
            <w:r w:rsidR="001E6860" w:rsidRPr="009E5CBC">
              <w:rPr>
                <w:i/>
                <w:iCs/>
              </w:rPr>
              <w:t xml:space="preserve">government subsidy entitlement </w:t>
            </w:r>
            <w:r w:rsidRPr="009E5CBC">
              <w:t xml:space="preserve">is available </w:t>
            </w:r>
          </w:p>
        </w:tc>
      </w:tr>
      <w:tr w:rsidR="007E4D62" w:rsidRPr="007E4D62" w14:paraId="37B1182B" w14:textId="77777777" w:rsidTr="0042023A">
        <w:trPr>
          <w:trHeight w:hRule="exact" w:val="79"/>
        </w:trPr>
        <w:tc>
          <w:tcPr>
            <w:tcW w:w="771" w:type="pct"/>
            <w:shd w:val="clear" w:color="auto" w:fill="808080" w:themeFill="background1" w:themeFillShade="80"/>
          </w:tcPr>
          <w:p w14:paraId="397AAC74" w14:textId="77777777" w:rsidR="001E6860" w:rsidRPr="0042023A" w:rsidRDefault="001E6860" w:rsidP="0042023A">
            <w:pPr>
              <w:spacing w:before="0" w:after="0"/>
              <w:jc w:val="center"/>
              <w:rPr>
                <w:b/>
                <w:bCs/>
                <w:sz w:val="8"/>
                <w:szCs w:val="8"/>
              </w:rPr>
            </w:pPr>
          </w:p>
        </w:tc>
        <w:tc>
          <w:tcPr>
            <w:tcW w:w="1129" w:type="pct"/>
            <w:shd w:val="clear" w:color="auto" w:fill="808080" w:themeFill="background1" w:themeFillShade="80"/>
            <w:vAlign w:val="center"/>
          </w:tcPr>
          <w:p w14:paraId="3236AADE" w14:textId="77777777" w:rsidR="001E6860" w:rsidRPr="007E4D62" w:rsidRDefault="001E6860" w:rsidP="00AD55C1">
            <w:pPr>
              <w:pStyle w:val="TableofAuthorities"/>
              <w:rPr>
                <w:b/>
                <w:bCs/>
                <w:sz w:val="8"/>
                <w:szCs w:val="8"/>
              </w:rPr>
            </w:pPr>
          </w:p>
        </w:tc>
        <w:tc>
          <w:tcPr>
            <w:tcW w:w="492" w:type="pct"/>
            <w:shd w:val="clear" w:color="auto" w:fill="808080" w:themeFill="background1" w:themeFillShade="80"/>
            <w:vAlign w:val="center"/>
          </w:tcPr>
          <w:p w14:paraId="7645E07C" w14:textId="77777777" w:rsidR="001E6860" w:rsidRPr="007E4D62" w:rsidRDefault="001E6860" w:rsidP="00AD55C1">
            <w:pPr>
              <w:pStyle w:val="TableofAuthorities"/>
              <w:rPr>
                <w:b/>
                <w:bCs/>
                <w:sz w:val="8"/>
                <w:szCs w:val="8"/>
              </w:rPr>
            </w:pPr>
          </w:p>
        </w:tc>
        <w:tc>
          <w:tcPr>
            <w:tcW w:w="2608" w:type="pct"/>
            <w:shd w:val="clear" w:color="auto" w:fill="808080" w:themeFill="background1" w:themeFillShade="80"/>
            <w:vAlign w:val="center"/>
          </w:tcPr>
          <w:p w14:paraId="71C1ED14" w14:textId="77777777" w:rsidR="001E6860" w:rsidRPr="007E4D62" w:rsidRDefault="001E6860" w:rsidP="00AD55C1">
            <w:pPr>
              <w:pStyle w:val="TableofAuthorities"/>
              <w:rPr>
                <w:b/>
                <w:bCs/>
                <w:sz w:val="8"/>
                <w:szCs w:val="8"/>
              </w:rPr>
            </w:pPr>
          </w:p>
        </w:tc>
      </w:tr>
      <w:tr w:rsidR="007E4D62" w:rsidRPr="007E4D62" w14:paraId="7DE7604D" w14:textId="77777777" w:rsidTr="00AD55C1">
        <w:trPr>
          <w:trHeight w:val="861"/>
        </w:trPr>
        <w:tc>
          <w:tcPr>
            <w:tcW w:w="771" w:type="pct"/>
            <w:vMerge w:val="restart"/>
            <w:shd w:val="clear" w:color="auto" w:fill="F2F2F2" w:themeFill="background1" w:themeFillShade="F2"/>
            <w:vAlign w:val="center"/>
          </w:tcPr>
          <w:p w14:paraId="3FEB87D0" w14:textId="0679F197" w:rsidR="005F6E5C" w:rsidRPr="009E5CBC" w:rsidRDefault="007E4D62" w:rsidP="00AD55C1">
            <w:pPr>
              <w:pStyle w:val="TableofAuthorities"/>
            </w:pPr>
            <w:r w:rsidRPr="009E5CBC">
              <w:t>F</w:t>
            </w:r>
            <w:r w:rsidR="008953A0" w:rsidRPr="009E5CBC">
              <w:t xml:space="preserve">unds </w:t>
            </w:r>
            <w:r w:rsidRPr="009E5CBC">
              <w:t xml:space="preserve">used </w:t>
            </w:r>
            <w:r w:rsidR="008953A0" w:rsidRPr="009E5CBC">
              <w:t>to cover costs of care and services</w:t>
            </w:r>
          </w:p>
        </w:tc>
        <w:tc>
          <w:tcPr>
            <w:tcW w:w="1129" w:type="pct"/>
            <w:shd w:val="clear" w:color="auto" w:fill="DEEAF6" w:themeFill="accent5" w:themeFillTint="33"/>
            <w:vAlign w:val="center"/>
          </w:tcPr>
          <w:p w14:paraId="49C6029D" w14:textId="15E064D9" w:rsidR="005F6E5C" w:rsidRPr="009E5CBC" w:rsidRDefault="005F6E5C" w:rsidP="00AD55C1">
            <w:pPr>
              <w:pStyle w:val="TableofAuthorities"/>
              <w:rPr>
                <w:i/>
                <w:iCs/>
              </w:rPr>
            </w:pPr>
            <w:r w:rsidRPr="009E5CBC">
              <w:rPr>
                <w:i/>
                <w:iCs/>
              </w:rPr>
              <w:t>Care recipient fees</w:t>
            </w:r>
            <w:r w:rsidRPr="009E5CBC">
              <w:t xml:space="preserve"> spent on care and services this month</w:t>
            </w:r>
          </w:p>
        </w:tc>
        <w:tc>
          <w:tcPr>
            <w:tcW w:w="492" w:type="pct"/>
            <w:shd w:val="clear" w:color="auto" w:fill="DEEAF6" w:themeFill="accent5" w:themeFillTint="33"/>
            <w:vAlign w:val="center"/>
          </w:tcPr>
          <w:p w14:paraId="4C5F28E3" w14:textId="5C898F27" w:rsidR="005F6E5C" w:rsidRPr="009E5CBC" w:rsidRDefault="005F6E5C" w:rsidP="00AD55C1">
            <w:pPr>
              <w:pStyle w:val="TableofAuthorities"/>
            </w:pPr>
            <w:r w:rsidRPr="009E5CBC">
              <w:t>$200</w:t>
            </w:r>
          </w:p>
        </w:tc>
        <w:tc>
          <w:tcPr>
            <w:tcW w:w="2608" w:type="pct"/>
            <w:shd w:val="clear" w:color="auto" w:fill="DEEAF6" w:themeFill="accent5" w:themeFillTint="33"/>
            <w:vAlign w:val="center"/>
          </w:tcPr>
          <w:p w14:paraId="79B05CDC" w14:textId="4F32DF30" w:rsidR="005F6E5C" w:rsidRPr="009E5CBC" w:rsidRDefault="005F6E5C" w:rsidP="00AD55C1">
            <w:pPr>
              <w:pStyle w:val="TableofAuthorities"/>
            </w:pPr>
            <w:r w:rsidRPr="009E5CBC">
              <w:t xml:space="preserve">Payment system will reduce $1,700 invoice amount by the $200 </w:t>
            </w:r>
            <w:r w:rsidRPr="009E5CBC">
              <w:rPr>
                <w:i/>
                <w:iCs/>
              </w:rPr>
              <w:t xml:space="preserve">income tested care fee </w:t>
            </w:r>
            <w:r w:rsidRPr="009E5CBC">
              <w:t>(which must be spent first)</w:t>
            </w:r>
            <w:r w:rsidRPr="009E5CBC">
              <w:rPr>
                <w:i/>
                <w:iCs/>
              </w:rPr>
              <w:t xml:space="preserve">. </w:t>
            </w:r>
            <w:r w:rsidRPr="009E5CBC">
              <w:t xml:space="preserve">This will leave $1,500 as the </w:t>
            </w:r>
            <w:r w:rsidRPr="009E5CBC">
              <w:rPr>
                <w:i/>
                <w:iCs/>
              </w:rPr>
              <w:t>adjusted price</w:t>
            </w:r>
          </w:p>
        </w:tc>
      </w:tr>
      <w:tr w:rsidR="007E4D62" w:rsidRPr="007E4D62" w14:paraId="6753BE6A" w14:textId="77777777" w:rsidTr="00AD55C1">
        <w:trPr>
          <w:trHeight w:val="861"/>
        </w:trPr>
        <w:tc>
          <w:tcPr>
            <w:tcW w:w="771" w:type="pct"/>
            <w:vMerge/>
            <w:shd w:val="clear" w:color="auto" w:fill="F2F2F2" w:themeFill="background1" w:themeFillShade="F2"/>
            <w:vAlign w:val="center"/>
          </w:tcPr>
          <w:p w14:paraId="04189E1E" w14:textId="77777777" w:rsidR="005F6E5C" w:rsidRPr="009E5CBC" w:rsidRDefault="005F6E5C" w:rsidP="00AD55C1">
            <w:pPr>
              <w:pStyle w:val="TableofAuthorities"/>
              <w:rPr>
                <w:i/>
                <w:iCs/>
              </w:rPr>
            </w:pPr>
          </w:p>
        </w:tc>
        <w:tc>
          <w:tcPr>
            <w:tcW w:w="1129" w:type="pct"/>
            <w:shd w:val="clear" w:color="auto" w:fill="FFF2CC" w:themeFill="accent4" w:themeFillTint="33"/>
            <w:vAlign w:val="center"/>
          </w:tcPr>
          <w:p w14:paraId="3F76A197" w14:textId="08B3C9BC" w:rsidR="005F6E5C" w:rsidRPr="009E5CBC" w:rsidRDefault="005F6E5C" w:rsidP="00AD55C1">
            <w:pPr>
              <w:pStyle w:val="TableofAuthorities"/>
              <w:rPr>
                <w:i/>
                <w:iCs/>
              </w:rPr>
            </w:pPr>
            <w:r w:rsidRPr="009E5CBC">
              <w:rPr>
                <w:i/>
                <w:iCs/>
              </w:rPr>
              <w:t xml:space="preserve">Shortfall </w:t>
            </w:r>
            <w:r w:rsidRPr="009E5CBC">
              <w:t>spent on care and services this month</w:t>
            </w:r>
          </w:p>
        </w:tc>
        <w:tc>
          <w:tcPr>
            <w:tcW w:w="492" w:type="pct"/>
            <w:shd w:val="clear" w:color="auto" w:fill="FFF2CC" w:themeFill="accent4" w:themeFillTint="33"/>
            <w:vAlign w:val="center"/>
          </w:tcPr>
          <w:p w14:paraId="4521FCA4" w14:textId="42FD0CF5" w:rsidR="005F6E5C" w:rsidRPr="009E5CBC" w:rsidRDefault="005F6E5C" w:rsidP="00AD55C1">
            <w:pPr>
              <w:pStyle w:val="TableofAuthorities"/>
            </w:pPr>
            <w:r w:rsidRPr="009E5CBC">
              <w:t>$1,500</w:t>
            </w:r>
          </w:p>
        </w:tc>
        <w:tc>
          <w:tcPr>
            <w:tcW w:w="2608" w:type="pct"/>
            <w:shd w:val="clear" w:color="auto" w:fill="FFF2CC" w:themeFill="accent4" w:themeFillTint="33"/>
            <w:vAlign w:val="center"/>
          </w:tcPr>
          <w:p w14:paraId="43E5F0CD" w14:textId="32BF216D" w:rsidR="005F6E5C" w:rsidRPr="009E5CBC" w:rsidRDefault="00D918A6" w:rsidP="00AD55C1">
            <w:pPr>
              <w:pStyle w:val="TableofAuthorities"/>
            </w:pPr>
            <w:r w:rsidRPr="009E5CBC">
              <w:t xml:space="preserve">The full subsidy that is available will be paid to cover the </w:t>
            </w:r>
            <w:r w:rsidRPr="009E5CBC">
              <w:rPr>
                <w:i/>
                <w:iCs/>
              </w:rPr>
              <w:t>adjusted price</w:t>
            </w:r>
            <w:r w:rsidRPr="009E5CBC">
              <w:t>, which is also the</w:t>
            </w:r>
            <w:r w:rsidRPr="009E5CBC">
              <w:rPr>
                <w:i/>
                <w:iCs/>
              </w:rPr>
              <w:t xml:space="preserve"> Shortfall</w:t>
            </w:r>
            <w:r w:rsidR="008953A0" w:rsidRPr="009E5CBC">
              <w:rPr>
                <w:i/>
                <w:iCs/>
              </w:rPr>
              <w:t xml:space="preserve"> (government subsidy entitlement less income tested care fee)</w:t>
            </w:r>
          </w:p>
        </w:tc>
      </w:tr>
      <w:tr w:rsidR="00C55DED" w:rsidRPr="007E4D62" w14:paraId="5AFF440E" w14:textId="77777777" w:rsidTr="00AD55C1">
        <w:trPr>
          <w:trHeight w:val="846"/>
        </w:trPr>
        <w:tc>
          <w:tcPr>
            <w:tcW w:w="771" w:type="pct"/>
            <w:vMerge/>
            <w:shd w:val="clear" w:color="auto" w:fill="F2F2F2" w:themeFill="background1" w:themeFillShade="F2"/>
          </w:tcPr>
          <w:p w14:paraId="7E0F71DD" w14:textId="77777777" w:rsidR="005F6E5C" w:rsidRPr="009E5CBC" w:rsidRDefault="005F6E5C" w:rsidP="00AD55C1">
            <w:pPr>
              <w:pStyle w:val="TableofAuthorities"/>
              <w:rPr>
                <w:i/>
                <w:iCs/>
              </w:rPr>
            </w:pPr>
          </w:p>
        </w:tc>
        <w:tc>
          <w:tcPr>
            <w:tcW w:w="1129" w:type="pct"/>
            <w:shd w:val="clear" w:color="auto" w:fill="E2EFD9" w:themeFill="accent6" w:themeFillTint="33"/>
            <w:vAlign w:val="center"/>
          </w:tcPr>
          <w:p w14:paraId="31901E9A" w14:textId="77777777" w:rsidR="005F6E5C" w:rsidRPr="009E5CBC" w:rsidRDefault="005F6E5C" w:rsidP="00AD55C1">
            <w:pPr>
              <w:pStyle w:val="TableofAuthorities"/>
              <w:rPr>
                <w:i/>
                <w:iCs/>
              </w:rPr>
            </w:pPr>
            <w:r w:rsidRPr="009E5CBC">
              <w:rPr>
                <w:i/>
                <w:iCs/>
                <w:color w:val="000000" w:themeColor="text1"/>
                <w:kern w:val="24"/>
              </w:rPr>
              <w:t>Provider-held Commonwealth unspent funds</w:t>
            </w:r>
            <w:r w:rsidRPr="009E5CBC">
              <w:rPr>
                <w:color w:val="000000" w:themeColor="text1"/>
                <w:kern w:val="24"/>
              </w:rPr>
              <w:t xml:space="preserve"> spent on care and services this month</w:t>
            </w:r>
          </w:p>
        </w:tc>
        <w:tc>
          <w:tcPr>
            <w:tcW w:w="492" w:type="pct"/>
            <w:shd w:val="clear" w:color="auto" w:fill="E2EFD9" w:themeFill="accent6" w:themeFillTint="33"/>
            <w:vAlign w:val="center"/>
          </w:tcPr>
          <w:p w14:paraId="00F2C268" w14:textId="77777777" w:rsidR="005F6E5C" w:rsidRPr="009E5CBC" w:rsidRDefault="005F6E5C" w:rsidP="00AD55C1">
            <w:pPr>
              <w:pStyle w:val="TableofAuthorities"/>
            </w:pPr>
            <w:r w:rsidRPr="009E5CBC">
              <w:t>$0</w:t>
            </w:r>
          </w:p>
        </w:tc>
        <w:tc>
          <w:tcPr>
            <w:tcW w:w="2608" w:type="pct"/>
            <w:shd w:val="clear" w:color="auto" w:fill="E2EFD9" w:themeFill="accent6" w:themeFillTint="33"/>
            <w:vAlign w:val="center"/>
          </w:tcPr>
          <w:p w14:paraId="7C18B5B1" w14:textId="4F2DFFE7" w:rsidR="005F6E5C" w:rsidRPr="009E5CBC" w:rsidRDefault="005F6E5C" w:rsidP="00AD55C1">
            <w:pPr>
              <w:pStyle w:val="TableofAuthorities"/>
            </w:pPr>
            <w:r w:rsidRPr="009E5CBC">
              <w:t xml:space="preserve">$1,500 </w:t>
            </w:r>
            <w:r w:rsidRPr="009E5CBC">
              <w:rPr>
                <w:i/>
                <w:iCs/>
              </w:rPr>
              <w:t>government subsidy entitlement</w:t>
            </w:r>
            <w:r w:rsidRPr="009E5CBC">
              <w:t xml:space="preserve"> and $200 </w:t>
            </w:r>
            <w:r w:rsidRPr="009E5CBC">
              <w:rPr>
                <w:i/>
                <w:iCs/>
              </w:rPr>
              <w:t xml:space="preserve">income tested care fee </w:t>
            </w:r>
            <w:r w:rsidR="008953A0" w:rsidRPr="009E5CBC">
              <w:t>collected</w:t>
            </w:r>
            <w:r w:rsidR="008953A0" w:rsidRPr="009E5CBC">
              <w:rPr>
                <w:i/>
                <w:iCs/>
              </w:rPr>
              <w:t xml:space="preserve"> </w:t>
            </w:r>
            <w:r w:rsidRPr="009E5CBC">
              <w:t xml:space="preserve">cover the $1,700 care and services, so the </w:t>
            </w:r>
            <w:r w:rsidRPr="009E5CBC">
              <w:rPr>
                <w:i/>
                <w:iCs/>
              </w:rPr>
              <w:t>provider-held Commonwealth portion</w:t>
            </w:r>
            <w:r w:rsidRPr="009E5CBC">
              <w:t xml:space="preserve"> does not get spent</w:t>
            </w:r>
          </w:p>
        </w:tc>
      </w:tr>
      <w:tr w:rsidR="00C55DED" w:rsidRPr="007E4D62" w14:paraId="3C23CD4A" w14:textId="77777777" w:rsidTr="00AD55C1">
        <w:trPr>
          <w:trHeight w:val="70"/>
        </w:trPr>
        <w:tc>
          <w:tcPr>
            <w:tcW w:w="771" w:type="pct"/>
            <w:shd w:val="clear" w:color="auto" w:fill="808080" w:themeFill="background1" w:themeFillShade="80"/>
          </w:tcPr>
          <w:p w14:paraId="3CBAA120" w14:textId="77777777" w:rsidR="005F6E5C" w:rsidRPr="00721A41" w:rsidRDefault="005F6E5C" w:rsidP="005F6E5C">
            <w:pPr>
              <w:spacing w:before="0" w:after="0"/>
              <w:jc w:val="center"/>
              <w:rPr>
                <w:rFonts w:ascii="Calibri Light" w:hAnsi="Calibri Light" w:cs="Calibri Light"/>
                <w:b/>
                <w:bCs/>
                <w:sz w:val="8"/>
                <w:szCs w:val="8"/>
              </w:rPr>
            </w:pPr>
          </w:p>
        </w:tc>
        <w:tc>
          <w:tcPr>
            <w:tcW w:w="1129" w:type="pct"/>
            <w:shd w:val="clear" w:color="auto" w:fill="808080" w:themeFill="background1" w:themeFillShade="80"/>
            <w:vAlign w:val="center"/>
          </w:tcPr>
          <w:p w14:paraId="5EC4217D" w14:textId="77777777" w:rsidR="005F6E5C" w:rsidRPr="007E4D62" w:rsidRDefault="005F6E5C" w:rsidP="005F6E5C">
            <w:pPr>
              <w:spacing w:before="0" w:after="0"/>
              <w:jc w:val="center"/>
              <w:rPr>
                <w:rFonts w:ascii="Calibri Light" w:hAnsi="Calibri Light" w:cs="Calibri Light"/>
                <w:b/>
                <w:bCs/>
                <w:sz w:val="8"/>
                <w:szCs w:val="8"/>
              </w:rPr>
            </w:pPr>
          </w:p>
        </w:tc>
        <w:tc>
          <w:tcPr>
            <w:tcW w:w="492" w:type="pct"/>
            <w:shd w:val="clear" w:color="auto" w:fill="808080" w:themeFill="background1" w:themeFillShade="80"/>
            <w:vAlign w:val="center"/>
          </w:tcPr>
          <w:p w14:paraId="2545A296" w14:textId="77777777" w:rsidR="005F6E5C" w:rsidRPr="007E4D62" w:rsidRDefault="005F6E5C" w:rsidP="005F6E5C">
            <w:pPr>
              <w:spacing w:before="0" w:after="0"/>
              <w:jc w:val="center"/>
              <w:rPr>
                <w:rFonts w:ascii="Calibri Light" w:hAnsi="Calibri Light" w:cs="Calibri Light"/>
                <w:b/>
                <w:bCs/>
                <w:sz w:val="8"/>
                <w:szCs w:val="8"/>
              </w:rPr>
            </w:pPr>
          </w:p>
        </w:tc>
        <w:tc>
          <w:tcPr>
            <w:tcW w:w="2608" w:type="pct"/>
            <w:shd w:val="clear" w:color="auto" w:fill="808080" w:themeFill="background1" w:themeFillShade="80"/>
            <w:vAlign w:val="center"/>
          </w:tcPr>
          <w:p w14:paraId="7B7B16BA" w14:textId="77777777" w:rsidR="005F6E5C" w:rsidRPr="007E4D62" w:rsidRDefault="005F6E5C" w:rsidP="005F6E5C">
            <w:pPr>
              <w:spacing w:before="0" w:after="0"/>
              <w:jc w:val="center"/>
              <w:rPr>
                <w:rFonts w:ascii="Calibri Light" w:hAnsi="Calibri Light" w:cs="Calibri Light"/>
                <w:b/>
                <w:bCs/>
                <w:sz w:val="8"/>
                <w:szCs w:val="8"/>
              </w:rPr>
            </w:pPr>
          </w:p>
        </w:tc>
      </w:tr>
      <w:tr w:rsidR="007E4D62" w:rsidRPr="007E4D62" w14:paraId="01DBB991" w14:textId="77777777" w:rsidTr="00AD55C1">
        <w:trPr>
          <w:trHeight w:val="846"/>
        </w:trPr>
        <w:tc>
          <w:tcPr>
            <w:tcW w:w="771" w:type="pct"/>
            <w:vMerge w:val="restart"/>
            <w:shd w:val="clear" w:color="auto" w:fill="F2F2F2" w:themeFill="background1" w:themeFillShade="F2"/>
            <w:vAlign w:val="center"/>
          </w:tcPr>
          <w:p w14:paraId="4AE4E5B2" w14:textId="6FED12D5" w:rsidR="005F6E5C" w:rsidRPr="00AD55C1" w:rsidRDefault="005F6E5C" w:rsidP="00AD55C1">
            <w:pPr>
              <w:pStyle w:val="TableofAuthorities"/>
            </w:pPr>
            <w:r w:rsidRPr="00AD55C1">
              <w:t>Unspent funds balances at month end</w:t>
            </w:r>
          </w:p>
        </w:tc>
        <w:tc>
          <w:tcPr>
            <w:tcW w:w="1129" w:type="pct"/>
            <w:shd w:val="clear" w:color="auto" w:fill="DEEAF6" w:themeFill="accent5" w:themeFillTint="33"/>
            <w:vAlign w:val="center"/>
          </w:tcPr>
          <w:p w14:paraId="4A4CABD0" w14:textId="32C10543" w:rsidR="005F6E5C" w:rsidRPr="009E5CBC" w:rsidRDefault="005F6E5C" w:rsidP="00AD55C1">
            <w:pPr>
              <w:pStyle w:val="TableofAuthorities"/>
              <w:rPr>
                <w:color w:val="000000" w:themeColor="text1"/>
                <w:kern w:val="24"/>
              </w:rPr>
            </w:pPr>
            <w:r w:rsidRPr="009E5CBC">
              <w:t>Provider-held Care recipient unspent funds</w:t>
            </w:r>
          </w:p>
        </w:tc>
        <w:tc>
          <w:tcPr>
            <w:tcW w:w="492" w:type="pct"/>
            <w:shd w:val="clear" w:color="auto" w:fill="DEEAF6" w:themeFill="accent5" w:themeFillTint="33"/>
            <w:vAlign w:val="center"/>
          </w:tcPr>
          <w:p w14:paraId="7A6835B5" w14:textId="1AF1E271" w:rsidR="005F6E5C" w:rsidRPr="009E5CBC" w:rsidRDefault="005F6E5C" w:rsidP="00AD55C1">
            <w:pPr>
              <w:pStyle w:val="TableofAuthorities"/>
            </w:pPr>
            <w:r w:rsidRPr="009E5CBC">
              <w:t>$150</w:t>
            </w:r>
          </w:p>
        </w:tc>
        <w:tc>
          <w:tcPr>
            <w:tcW w:w="2608" w:type="pct"/>
            <w:shd w:val="clear" w:color="auto" w:fill="DEEAF6" w:themeFill="accent5" w:themeFillTint="33"/>
            <w:vAlign w:val="center"/>
          </w:tcPr>
          <w:p w14:paraId="0AE15738" w14:textId="03281A0A" w:rsidR="005F6E5C" w:rsidRPr="009E5CBC" w:rsidRDefault="005F6E5C" w:rsidP="00AD55C1">
            <w:pPr>
              <w:pStyle w:val="TableofAuthorities"/>
            </w:pPr>
            <w:r w:rsidRPr="009E5CBC">
              <w:t xml:space="preserve">$200 </w:t>
            </w:r>
            <w:r w:rsidRPr="009E5CBC">
              <w:rPr>
                <w:i/>
                <w:iCs/>
              </w:rPr>
              <w:t xml:space="preserve">income tested care fee </w:t>
            </w:r>
            <w:r w:rsidRPr="009E5CBC">
              <w:t xml:space="preserve">was spent on care and services. $150 in </w:t>
            </w:r>
            <w:r w:rsidRPr="009E5CBC">
              <w:rPr>
                <w:i/>
                <w:iCs/>
              </w:rPr>
              <w:t xml:space="preserve">care recipient unspent funds </w:t>
            </w:r>
            <w:r w:rsidRPr="009E5CBC">
              <w:t>remains</w:t>
            </w:r>
            <w:r w:rsidRPr="009E5CBC">
              <w:rPr>
                <w:i/>
                <w:iCs/>
              </w:rPr>
              <w:t>.</w:t>
            </w:r>
          </w:p>
        </w:tc>
      </w:tr>
      <w:tr w:rsidR="007E4D62" w:rsidRPr="007E4D62" w14:paraId="1DE7A866" w14:textId="77777777" w:rsidTr="00AD55C1">
        <w:trPr>
          <w:trHeight w:val="846"/>
        </w:trPr>
        <w:tc>
          <w:tcPr>
            <w:tcW w:w="771" w:type="pct"/>
            <w:vMerge/>
            <w:shd w:val="clear" w:color="auto" w:fill="F2F2F2" w:themeFill="background1" w:themeFillShade="F2"/>
            <w:vAlign w:val="center"/>
          </w:tcPr>
          <w:p w14:paraId="5F8E32D5" w14:textId="77777777" w:rsidR="005F6E5C" w:rsidRPr="009E5CBC" w:rsidRDefault="005F6E5C" w:rsidP="005F6E5C">
            <w:pPr>
              <w:spacing w:before="0" w:after="0"/>
              <w:rPr>
                <w:rFonts w:ascii="Calibri Light" w:hAnsi="Calibri Light" w:cs="Calibri Light"/>
                <w:i/>
                <w:iCs/>
                <w:sz w:val="18"/>
                <w:szCs w:val="18"/>
              </w:rPr>
            </w:pPr>
          </w:p>
        </w:tc>
        <w:tc>
          <w:tcPr>
            <w:tcW w:w="1129" w:type="pct"/>
            <w:shd w:val="clear" w:color="auto" w:fill="E2EFD9" w:themeFill="accent6" w:themeFillTint="33"/>
            <w:vAlign w:val="center"/>
          </w:tcPr>
          <w:p w14:paraId="6D410731" w14:textId="72C87F59" w:rsidR="005F6E5C" w:rsidRPr="009E5CBC" w:rsidRDefault="005F6E5C" w:rsidP="00AD55C1">
            <w:pPr>
              <w:pStyle w:val="TableofAuthorities"/>
              <w:rPr>
                <w:color w:val="000000" w:themeColor="text1"/>
                <w:kern w:val="24"/>
              </w:rPr>
            </w:pPr>
            <w:r w:rsidRPr="009E5CBC">
              <w:rPr>
                <w:color w:val="000000" w:themeColor="text1"/>
                <w:kern w:val="24"/>
              </w:rPr>
              <w:t>Provider-held Commonwealth unspent funds</w:t>
            </w:r>
          </w:p>
        </w:tc>
        <w:tc>
          <w:tcPr>
            <w:tcW w:w="492" w:type="pct"/>
            <w:shd w:val="clear" w:color="auto" w:fill="E2EFD9" w:themeFill="accent6" w:themeFillTint="33"/>
            <w:vAlign w:val="center"/>
          </w:tcPr>
          <w:p w14:paraId="72BDDFA1" w14:textId="35854878" w:rsidR="005F6E5C" w:rsidRPr="009E5CBC" w:rsidRDefault="005F6E5C" w:rsidP="00AD55C1">
            <w:pPr>
              <w:pStyle w:val="TableofAuthorities"/>
            </w:pPr>
            <w:r w:rsidRPr="009E5CBC">
              <w:t>$500</w:t>
            </w:r>
          </w:p>
        </w:tc>
        <w:tc>
          <w:tcPr>
            <w:tcW w:w="2608" w:type="pct"/>
            <w:shd w:val="clear" w:color="auto" w:fill="E2EFD9" w:themeFill="accent6" w:themeFillTint="33"/>
            <w:vAlign w:val="center"/>
          </w:tcPr>
          <w:p w14:paraId="79391500" w14:textId="3C5AFDA1" w:rsidR="005F6E5C" w:rsidRPr="009E5CBC" w:rsidRDefault="005F6E5C" w:rsidP="00AD55C1">
            <w:pPr>
              <w:pStyle w:val="TableofAuthorities"/>
            </w:pPr>
            <w:r w:rsidRPr="009E5CBC">
              <w:t xml:space="preserve">No </w:t>
            </w:r>
            <w:r w:rsidRPr="009E5CBC">
              <w:rPr>
                <w:i/>
                <w:iCs/>
              </w:rPr>
              <w:t>provider-held Commonwealth portion</w:t>
            </w:r>
            <w:r w:rsidRPr="009E5CBC">
              <w:t xml:space="preserve"> was spent this month. Provider must report this</w:t>
            </w:r>
            <w:r w:rsidRPr="009E5CBC">
              <w:rPr>
                <w:i/>
                <w:iCs/>
              </w:rPr>
              <w:t xml:space="preserve"> </w:t>
            </w:r>
            <w:r w:rsidRPr="009E5CBC">
              <w:t xml:space="preserve">each month when finalising their </w:t>
            </w:r>
            <w:r w:rsidR="008953A0" w:rsidRPr="009E5CBC">
              <w:t>claims and</w:t>
            </w:r>
            <w:r w:rsidRPr="009E5CBC">
              <w:t xml:space="preserve"> include the </w:t>
            </w:r>
            <w:r w:rsidRPr="009E5CBC">
              <w:rPr>
                <w:i/>
                <w:iCs/>
              </w:rPr>
              <w:t>total provider-held unspent funds</w:t>
            </w:r>
            <w:r w:rsidRPr="009E5CBC">
              <w:t xml:space="preserve"> in the care recipient’s monthly statement.</w:t>
            </w:r>
          </w:p>
        </w:tc>
      </w:tr>
      <w:tr w:rsidR="007E4D62" w:rsidRPr="007E4D62" w14:paraId="0B5AC16A" w14:textId="77777777" w:rsidTr="00AD55C1">
        <w:trPr>
          <w:trHeight w:val="558"/>
        </w:trPr>
        <w:tc>
          <w:tcPr>
            <w:tcW w:w="771" w:type="pct"/>
            <w:vMerge/>
            <w:shd w:val="clear" w:color="auto" w:fill="F2F2F2" w:themeFill="background1" w:themeFillShade="F2"/>
            <w:vAlign w:val="center"/>
          </w:tcPr>
          <w:p w14:paraId="19833068" w14:textId="77777777" w:rsidR="005F6E5C" w:rsidRPr="009E5CBC" w:rsidRDefault="005F6E5C" w:rsidP="005F6E5C">
            <w:pPr>
              <w:spacing w:before="0" w:after="0"/>
              <w:rPr>
                <w:rFonts w:ascii="Calibri Light" w:hAnsi="Calibri Light" w:cs="Calibri Light"/>
                <w:i/>
                <w:iCs/>
                <w:sz w:val="18"/>
                <w:szCs w:val="18"/>
              </w:rPr>
            </w:pPr>
          </w:p>
        </w:tc>
        <w:tc>
          <w:tcPr>
            <w:tcW w:w="1129" w:type="pct"/>
            <w:shd w:val="clear" w:color="auto" w:fill="FFF2CC" w:themeFill="accent4" w:themeFillTint="33"/>
            <w:vAlign w:val="center"/>
          </w:tcPr>
          <w:p w14:paraId="58E4C1F3" w14:textId="0CBC8A0D" w:rsidR="005F6E5C" w:rsidRPr="009E5CBC" w:rsidRDefault="005F6E5C" w:rsidP="00AD55C1">
            <w:pPr>
              <w:pStyle w:val="TableofAuthorities"/>
              <w:rPr>
                <w:color w:val="000000" w:themeColor="text1"/>
                <w:kern w:val="24"/>
              </w:rPr>
            </w:pPr>
            <w:r w:rsidRPr="009E5CBC">
              <w:rPr>
                <w:color w:val="000000" w:themeColor="text1"/>
                <w:kern w:val="24"/>
              </w:rPr>
              <w:t>Government subsidy in the home care account</w:t>
            </w:r>
          </w:p>
        </w:tc>
        <w:tc>
          <w:tcPr>
            <w:tcW w:w="492" w:type="pct"/>
            <w:shd w:val="clear" w:color="auto" w:fill="FFF2CC" w:themeFill="accent4" w:themeFillTint="33"/>
            <w:vAlign w:val="center"/>
          </w:tcPr>
          <w:p w14:paraId="5AF15BA5" w14:textId="1DBAE4C4" w:rsidR="005F6E5C" w:rsidRPr="009E5CBC" w:rsidRDefault="005F6E5C" w:rsidP="00AD55C1">
            <w:pPr>
              <w:pStyle w:val="TableofAuthorities"/>
            </w:pPr>
            <w:r w:rsidRPr="009E5CBC">
              <w:t>$0</w:t>
            </w:r>
          </w:p>
        </w:tc>
        <w:tc>
          <w:tcPr>
            <w:tcW w:w="2608" w:type="pct"/>
            <w:shd w:val="clear" w:color="auto" w:fill="FFF2CC" w:themeFill="accent4" w:themeFillTint="33"/>
            <w:vAlign w:val="center"/>
          </w:tcPr>
          <w:p w14:paraId="7855B702" w14:textId="0D5D4A47" w:rsidR="005F6E5C" w:rsidRPr="009E5CBC" w:rsidRDefault="005F6E5C" w:rsidP="00AD55C1">
            <w:pPr>
              <w:pStyle w:val="TableofAuthorities"/>
            </w:pPr>
            <w:r w:rsidRPr="009E5CBC">
              <w:rPr>
                <w:color w:val="000000" w:themeColor="text1"/>
                <w:kern w:val="24"/>
              </w:rPr>
              <w:t xml:space="preserve">As this month is September 2021, the </w:t>
            </w:r>
            <w:r w:rsidRPr="009E5CBC">
              <w:rPr>
                <w:i/>
                <w:iCs/>
                <w:color w:val="000000" w:themeColor="text1"/>
                <w:kern w:val="24"/>
              </w:rPr>
              <w:t>home care account</w:t>
            </w:r>
            <w:r w:rsidRPr="009E5CBC">
              <w:rPr>
                <w:color w:val="000000" w:themeColor="text1"/>
                <w:kern w:val="24"/>
              </w:rPr>
              <w:t xml:space="preserve"> balance began at $0. T</w:t>
            </w:r>
            <w:r w:rsidRPr="009E5CBC">
              <w:t xml:space="preserve">he full $1,500 </w:t>
            </w:r>
            <w:r w:rsidRPr="009E5CBC">
              <w:rPr>
                <w:i/>
                <w:iCs/>
              </w:rPr>
              <w:t>Government subsidy</w:t>
            </w:r>
            <w:r w:rsidRPr="009E5CBC">
              <w:t xml:space="preserve"> was spent, so no unspent funds accrue this month.</w:t>
            </w:r>
            <w:r w:rsidR="008953A0" w:rsidRPr="009E5CBC">
              <w:t xml:space="preserve"> </w:t>
            </w:r>
            <w:r w:rsidRPr="009E5CBC">
              <w:rPr>
                <w:color w:val="000000" w:themeColor="text1"/>
                <w:kern w:val="24"/>
              </w:rPr>
              <w:t xml:space="preserve">Services Australia </w:t>
            </w:r>
            <w:proofErr w:type="gramStart"/>
            <w:r w:rsidRPr="009E5CBC">
              <w:rPr>
                <w:color w:val="000000" w:themeColor="text1"/>
                <w:kern w:val="24"/>
              </w:rPr>
              <w:t>track</w:t>
            </w:r>
            <w:proofErr w:type="gramEnd"/>
            <w:r w:rsidRPr="009E5CBC">
              <w:rPr>
                <w:color w:val="000000" w:themeColor="text1"/>
                <w:kern w:val="24"/>
              </w:rPr>
              <w:t xml:space="preserve"> the </w:t>
            </w:r>
            <w:r w:rsidRPr="009E5CBC">
              <w:rPr>
                <w:i/>
                <w:iCs/>
                <w:color w:val="000000" w:themeColor="text1"/>
                <w:kern w:val="24"/>
              </w:rPr>
              <w:t>home care account</w:t>
            </w:r>
            <w:r w:rsidRPr="009E5CBC">
              <w:rPr>
                <w:color w:val="000000" w:themeColor="text1"/>
                <w:kern w:val="24"/>
              </w:rPr>
              <w:t xml:space="preserve"> and report to provider </w:t>
            </w:r>
            <w:r w:rsidR="008953A0" w:rsidRPr="009E5CBC">
              <w:rPr>
                <w:color w:val="000000" w:themeColor="text1"/>
                <w:kern w:val="24"/>
              </w:rPr>
              <w:t xml:space="preserve">on the </w:t>
            </w:r>
            <w:r w:rsidR="00501083" w:rsidRPr="008E77B6">
              <w:rPr>
                <w:color w:val="000000" w:themeColor="text1"/>
                <w:kern w:val="24"/>
              </w:rPr>
              <w:t xml:space="preserve">monthly </w:t>
            </w:r>
            <w:r w:rsidRPr="009E5CBC">
              <w:rPr>
                <w:color w:val="000000" w:themeColor="text1"/>
                <w:kern w:val="24"/>
              </w:rPr>
              <w:t xml:space="preserve">payment statement and </w:t>
            </w:r>
            <w:r w:rsidR="008953A0" w:rsidRPr="009E5CBC">
              <w:rPr>
                <w:color w:val="000000" w:themeColor="text1"/>
                <w:kern w:val="24"/>
              </w:rPr>
              <w:t xml:space="preserve">via the </w:t>
            </w:r>
            <w:r w:rsidRPr="009E5CBC">
              <w:rPr>
                <w:color w:val="000000" w:themeColor="text1"/>
                <w:kern w:val="24"/>
              </w:rPr>
              <w:t>Aged Care Provider Portal.</w:t>
            </w:r>
          </w:p>
        </w:tc>
      </w:tr>
    </w:tbl>
    <w:p w14:paraId="5A2B7122" w14:textId="7A6374C0" w:rsidR="005E62D7" w:rsidRPr="009E5CBC" w:rsidRDefault="005E62D7" w:rsidP="00AD55C1">
      <w:pPr>
        <w:pStyle w:val="Heading2"/>
      </w:pPr>
      <w:r w:rsidRPr="009E5CBC">
        <w:t xml:space="preserve">Worked example of tracking unspent funds when a care recipient </w:t>
      </w:r>
      <w:r w:rsidRPr="00202E8D">
        <w:rPr>
          <w:rStyle w:val="Strong"/>
        </w:rPr>
        <w:t>is opted-in</w:t>
      </w:r>
      <w:r w:rsidRPr="009E5CBC">
        <w:t xml:space="preserve"> </w:t>
      </w:r>
    </w:p>
    <w:p w14:paraId="4FA0124C" w14:textId="7AE63FA5" w:rsidR="005E62D7" w:rsidRDefault="005E62D7" w:rsidP="00AD55C1">
      <w:r>
        <w:t xml:space="preserve">If a provider opts-in to return unspent funds for a care recipient, they will begin to draw down on the provider-held Commonwealth portion of unspent funds before receiving any further subsidies from Services Australia. During this time, any </w:t>
      </w:r>
      <w:r w:rsidR="007D770D">
        <w:t xml:space="preserve">unspent </w:t>
      </w:r>
      <w:r>
        <w:t>Government subsidies</w:t>
      </w:r>
      <w:r w:rsidR="00FE32CD">
        <w:t xml:space="preserve"> not paid to the provider </w:t>
      </w:r>
      <w:r>
        <w:t>will accrue in the care recipient’s home care account, so the care recipient retains their full subsidy entitlement.</w:t>
      </w:r>
    </w:p>
    <w:p w14:paraId="4AEACB7F" w14:textId="6F6978E8" w:rsidR="005E62D7" w:rsidRDefault="005E62D7" w:rsidP="00AD55C1">
      <w:r w:rsidRPr="00DC2B0D">
        <w:t>When opted-in, the provider does not need to use the care recipient portion of unspent funds they hold, unless they deliver services in excess of what is otherwise available to the care recipient</w:t>
      </w:r>
    </w:p>
    <w:p w14:paraId="1FC95F28" w14:textId="77777777" w:rsidR="00AD55C1" w:rsidRDefault="00AD55C1" w:rsidP="00AD55C1">
      <w:pPr>
        <w:spacing w:before="0" w:after="0" w:line="259" w:lineRule="auto"/>
      </w:pPr>
      <w:r>
        <w:lastRenderedPageBreak/>
        <w:t xml:space="preserve">Month: </w:t>
      </w:r>
      <w:r w:rsidRPr="00AD55C1">
        <w:rPr>
          <w:rStyle w:val="Strong"/>
        </w:rPr>
        <w:t>September 2021</w:t>
      </w:r>
    </w:p>
    <w:p w14:paraId="3C50603B" w14:textId="0B54334A" w:rsidR="00AD55C1" w:rsidRPr="00E0031B" w:rsidRDefault="00AD55C1" w:rsidP="00AD55C1">
      <w:pPr>
        <w:pStyle w:val="Caption"/>
        <w:spacing w:before="0"/>
        <w:rPr>
          <w:color w:val="auto"/>
        </w:rPr>
      </w:pPr>
      <w:r w:rsidRPr="00E0031B">
        <w:rPr>
          <w:color w:val="auto"/>
        </w:rPr>
        <w:t xml:space="preserve">Cost of care and services delivered: </w:t>
      </w:r>
      <w:r w:rsidRPr="00E0031B">
        <w:rPr>
          <w:b/>
          <w:bCs/>
          <w:color w:val="auto"/>
        </w:rPr>
        <w:t>$1,700</w:t>
      </w:r>
      <w:r w:rsidRPr="00E0031B">
        <w:rPr>
          <w:color w:val="auto"/>
        </w:rPr>
        <w:t xml:space="preserve"> (price or invoice amount)</w:t>
      </w:r>
    </w:p>
    <w:tbl>
      <w:tblPr>
        <w:tblStyle w:val="TableGrid"/>
        <w:tblW w:w="5000" w:type="pct"/>
        <w:tblLook w:val="04A0" w:firstRow="1" w:lastRow="0" w:firstColumn="1" w:lastColumn="0" w:noHBand="0" w:noVBand="1"/>
        <w:tblCaption w:val="Tracking unspent funds where a care recipient is not opted-in"/>
        <w:tblDescription w:val="Table showing how the unspent funds should be tracked when a care recipient is not opted-in to draw down on unspent funds"/>
      </w:tblPr>
      <w:tblGrid>
        <w:gridCol w:w="1580"/>
        <w:gridCol w:w="3301"/>
        <w:gridCol w:w="1005"/>
        <w:gridCol w:w="4308"/>
      </w:tblGrid>
      <w:tr w:rsidR="00704AC1" w:rsidRPr="00417981" w14:paraId="510D07D7" w14:textId="77777777" w:rsidTr="00AD55C1">
        <w:trPr>
          <w:trHeight w:val="413"/>
          <w:tblHeader/>
        </w:trPr>
        <w:tc>
          <w:tcPr>
            <w:tcW w:w="2394" w:type="pct"/>
            <w:gridSpan w:val="2"/>
            <w:shd w:val="clear" w:color="auto" w:fill="F2F2F2" w:themeFill="background1" w:themeFillShade="F2"/>
            <w:vAlign w:val="center"/>
          </w:tcPr>
          <w:p w14:paraId="1DAE552C" w14:textId="77777777" w:rsidR="00704AC1" w:rsidRPr="00417981" w:rsidRDefault="00704AC1" w:rsidP="00AD55C1">
            <w:pPr>
              <w:pStyle w:val="TOAHeading"/>
              <w:rPr>
                <w:color w:val="000000" w:themeColor="text1"/>
                <w:kern w:val="24"/>
                <w:highlight w:val="yellow"/>
              </w:rPr>
            </w:pPr>
            <w:r w:rsidRPr="00417981">
              <w:t>Funding</w:t>
            </w:r>
          </w:p>
        </w:tc>
        <w:tc>
          <w:tcPr>
            <w:tcW w:w="493" w:type="pct"/>
            <w:shd w:val="clear" w:color="auto" w:fill="F2F2F2" w:themeFill="background1" w:themeFillShade="F2"/>
            <w:vAlign w:val="center"/>
          </w:tcPr>
          <w:p w14:paraId="440639F3" w14:textId="77777777" w:rsidR="00704AC1" w:rsidRPr="00417981" w:rsidRDefault="00704AC1" w:rsidP="00AD55C1">
            <w:pPr>
              <w:pStyle w:val="TOAHeading"/>
            </w:pPr>
            <w:r w:rsidRPr="00417981">
              <w:t>Amount</w:t>
            </w:r>
          </w:p>
        </w:tc>
        <w:tc>
          <w:tcPr>
            <w:tcW w:w="2113" w:type="pct"/>
            <w:shd w:val="clear" w:color="auto" w:fill="F2F2F2" w:themeFill="background1" w:themeFillShade="F2"/>
            <w:vAlign w:val="center"/>
          </w:tcPr>
          <w:p w14:paraId="3DE9E543" w14:textId="77777777" w:rsidR="00704AC1" w:rsidRPr="00417981" w:rsidRDefault="00704AC1" w:rsidP="00AD55C1">
            <w:pPr>
              <w:pStyle w:val="TOAHeading"/>
            </w:pPr>
            <w:r w:rsidRPr="00417981">
              <w:t>Notes</w:t>
            </w:r>
          </w:p>
        </w:tc>
      </w:tr>
      <w:tr w:rsidR="00704AC1" w:rsidRPr="00417981" w14:paraId="2C763D49" w14:textId="77777777" w:rsidTr="00AD55C1">
        <w:trPr>
          <w:trHeight w:val="618"/>
        </w:trPr>
        <w:tc>
          <w:tcPr>
            <w:tcW w:w="775" w:type="pct"/>
            <w:vMerge w:val="restart"/>
            <w:shd w:val="clear" w:color="auto" w:fill="F2F2F2" w:themeFill="background1" w:themeFillShade="F2"/>
            <w:vAlign w:val="center"/>
          </w:tcPr>
          <w:p w14:paraId="7BF2AE66" w14:textId="77777777" w:rsidR="00704AC1" w:rsidRPr="00417981" w:rsidRDefault="00704AC1" w:rsidP="00AD55C1">
            <w:pPr>
              <w:pStyle w:val="TableofAuthorities"/>
            </w:pPr>
            <w:r w:rsidRPr="00417981">
              <w:t>Provider-held unspent funds at start of the month</w:t>
            </w:r>
          </w:p>
        </w:tc>
        <w:tc>
          <w:tcPr>
            <w:tcW w:w="1619" w:type="pct"/>
            <w:shd w:val="clear" w:color="auto" w:fill="DEEAF6" w:themeFill="accent5" w:themeFillTint="33"/>
            <w:vAlign w:val="center"/>
          </w:tcPr>
          <w:p w14:paraId="28198374" w14:textId="77777777" w:rsidR="00704AC1" w:rsidRPr="00417981" w:rsidRDefault="00704AC1" w:rsidP="00AD55C1">
            <w:pPr>
              <w:pStyle w:val="TableofAuthorities"/>
            </w:pPr>
            <w:r w:rsidRPr="00417981">
              <w:t>Provider-held</w:t>
            </w:r>
            <w:r w:rsidRPr="00417981">
              <w:rPr>
                <w:i/>
                <w:iCs/>
              </w:rPr>
              <w:t xml:space="preserve"> Care recipient unspent funds</w:t>
            </w:r>
            <w:r w:rsidRPr="00417981">
              <w:t xml:space="preserve"> </w:t>
            </w:r>
          </w:p>
        </w:tc>
        <w:tc>
          <w:tcPr>
            <w:tcW w:w="493" w:type="pct"/>
            <w:shd w:val="clear" w:color="auto" w:fill="DEEAF6" w:themeFill="accent5" w:themeFillTint="33"/>
            <w:vAlign w:val="center"/>
          </w:tcPr>
          <w:p w14:paraId="75D4D17A" w14:textId="77777777" w:rsidR="00704AC1" w:rsidRPr="00417981" w:rsidRDefault="00704AC1" w:rsidP="00AD55C1">
            <w:pPr>
              <w:pStyle w:val="TableofAuthorities"/>
            </w:pPr>
            <w:r w:rsidRPr="00417981">
              <w:t>$150</w:t>
            </w:r>
          </w:p>
        </w:tc>
        <w:tc>
          <w:tcPr>
            <w:tcW w:w="2113" w:type="pct"/>
            <w:shd w:val="clear" w:color="auto" w:fill="DEEAF6" w:themeFill="accent5" w:themeFillTint="33"/>
            <w:vAlign w:val="center"/>
          </w:tcPr>
          <w:p w14:paraId="00753B72" w14:textId="77777777" w:rsidR="00704AC1" w:rsidRPr="00417981" w:rsidRDefault="00704AC1" w:rsidP="00AD55C1">
            <w:pPr>
              <w:pStyle w:val="TableofAuthorities"/>
            </w:pPr>
            <w:r w:rsidRPr="00417981">
              <w:rPr>
                <w:color w:val="000000" w:themeColor="text1"/>
                <w:kern w:val="24"/>
              </w:rPr>
              <w:t>These care-recipient contributed funds were accrued prior to 1 September 2021</w:t>
            </w:r>
          </w:p>
        </w:tc>
      </w:tr>
      <w:tr w:rsidR="00704AC1" w:rsidRPr="00417981" w14:paraId="06F9406C" w14:textId="77777777" w:rsidTr="00AD55C1">
        <w:trPr>
          <w:trHeight w:val="538"/>
        </w:trPr>
        <w:tc>
          <w:tcPr>
            <w:tcW w:w="775" w:type="pct"/>
            <w:vMerge/>
            <w:shd w:val="clear" w:color="auto" w:fill="F2F2F2" w:themeFill="background1" w:themeFillShade="F2"/>
          </w:tcPr>
          <w:p w14:paraId="4F19EE30" w14:textId="77777777" w:rsidR="00704AC1" w:rsidRPr="00417981" w:rsidRDefault="00704AC1" w:rsidP="00AD55C1">
            <w:pPr>
              <w:pStyle w:val="TableofAuthorities"/>
              <w:rPr>
                <w:i/>
                <w:iCs/>
                <w:color w:val="000000" w:themeColor="text1"/>
                <w:kern w:val="24"/>
              </w:rPr>
            </w:pPr>
          </w:p>
        </w:tc>
        <w:tc>
          <w:tcPr>
            <w:tcW w:w="1619" w:type="pct"/>
            <w:shd w:val="clear" w:color="auto" w:fill="E2EFD9" w:themeFill="accent6" w:themeFillTint="33"/>
            <w:vAlign w:val="center"/>
          </w:tcPr>
          <w:p w14:paraId="30D39685" w14:textId="77777777" w:rsidR="00704AC1" w:rsidRPr="00417981" w:rsidRDefault="00704AC1" w:rsidP="00AD55C1">
            <w:pPr>
              <w:pStyle w:val="TableofAuthorities"/>
              <w:rPr>
                <w:i/>
                <w:iCs/>
                <w:color w:val="000000" w:themeColor="text1"/>
                <w:kern w:val="24"/>
                <w:highlight w:val="yellow"/>
              </w:rPr>
            </w:pPr>
            <w:r w:rsidRPr="00417981">
              <w:rPr>
                <w:i/>
                <w:iCs/>
                <w:color w:val="000000" w:themeColor="text1"/>
                <w:kern w:val="24"/>
              </w:rPr>
              <w:t>Provider-held Commonwealth unspent funds</w:t>
            </w:r>
          </w:p>
        </w:tc>
        <w:tc>
          <w:tcPr>
            <w:tcW w:w="493" w:type="pct"/>
            <w:shd w:val="clear" w:color="auto" w:fill="E2EFD9" w:themeFill="accent6" w:themeFillTint="33"/>
            <w:vAlign w:val="center"/>
          </w:tcPr>
          <w:p w14:paraId="40423DD7" w14:textId="77777777" w:rsidR="00704AC1" w:rsidRPr="00417981" w:rsidRDefault="00704AC1" w:rsidP="00AD55C1">
            <w:pPr>
              <w:pStyle w:val="TableofAuthorities"/>
              <w:rPr>
                <w:i/>
                <w:iCs/>
              </w:rPr>
            </w:pPr>
            <w:r w:rsidRPr="00417981">
              <w:t>$500</w:t>
            </w:r>
          </w:p>
        </w:tc>
        <w:tc>
          <w:tcPr>
            <w:tcW w:w="2113" w:type="pct"/>
            <w:shd w:val="clear" w:color="auto" w:fill="E2EFD9" w:themeFill="accent6" w:themeFillTint="33"/>
            <w:vAlign w:val="center"/>
          </w:tcPr>
          <w:p w14:paraId="484B2C8F" w14:textId="77777777" w:rsidR="00704AC1" w:rsidRPr="00417981" w:rsidRDefault="00704AC1" w:rsidP="00AD55C1">
            <w:pPr>
              <w:pStyle w:val="TableofAuthorities"/>
              <w:rPr>
                <w:color w:val="000000" w:themeColor="text1"/>
                <w:kern w:val="24"/>
                <w:highlight w:val="yellow"/>
              </w:rPr>
            </w:pPr>
            <w:r w:rsidRPr="00417981">
              <w:rPr>
                <w:color w:val="000000" w:themeColor="text1"/>
                <w:kern w:val="24"/>
              </w:rPr>
              <w:t>These Government contributed funds were accrued prior to 1 September 2021</w:t>
            </w:r>
          </w:p>
        </w:tc>
      </w:tr>
      <w:tr w:rsidR="00704AC1" w:rsidRPr="00417981" w14:paraId="033D2C2C" w14:textId="77777777" w:rsidTr="0042023A">
        <w:trPr>
          <w:trHeight w:hRule="exact" w:val="119"/>
        </w:trPr>
        <w:tc>
          <w:tcPr>
            <w:tcW w:w="775" w:type="pct"/>
            <w:shd w:val="clear" w:color="auto" w:fill="808080" w:themeFill="background1" w:themeFillShade="80"/>
          </w:tcPr>
          <w:p w14:paraId="232913E0" w14:textId="77777777" w:rsidR="00704AC1" w:rsidRPr="00417981" w:rsidRDefault="00704AC1" w:rsidP="00AD55C1">
            <w:pPr>
              <w:pStyle w:val="TableofAuthorities"/>
              <w:rPr>
                <w:b/>
                <w:bCs/>
                <w:sz w:val="8"/>
                <w:szCs w:val="8"/>
              </w:rPr>
            </w:pPr>
          </w:p>
        </w:tc>
        <w:tc>
          <w:tcPr>
            <w:tcW w:w="1619" w:type="pct"/>
            <w:shd w:val="clear" w:color="auto" w:fill="808080" w:themeFill="background1" w:themeFillShade="80"/>
            <w:vAlign w:val="center"/>
          </w:tcPr>
          <w:p w14:paraId="79EC4B64" w14:textId="77777777" w:rsidR="00704AC1" w:rsidRPr="00417981" w:rsidRDefault="00704AC1" w:rsidP="00AD55C1">
            <w:pPr>
              <w:pStyle w:val="TableofAuthorities"/>
              <w:rPr>
                <w:b/>
                <w:bCs/>
                <w:sz w:val="8"/>
                <w:szCs w:val="8"/>
              </w:rPr>
            </w:pPr>
          </w:p>
        </w:tc>
        <w:tc>
          <w:tcPr>
            <w:tcW w:w="493" w:type="pct"/>
            <w:shd w:val="clear" w:color="auto" w:fill="808080" w:themeFill="background1" w:themeFillShade="80"/>
            <w:vAlign w:val="center"/>
          </w:tcPr>
          <w:p w14:paraId="7915456B" w14:textId="77777777" w:rsidR="00704AC1" w:rsidRPr="00417981" w:rsidRDefault="00704AC1" w:rsidP="00AD55C1">
            <w:pPr>
              <w:pStyle w:val="TableofAuthorities"/>
              <w:rPr>
                <w:b/>
                <w:bCs/>
                <w:sz w:val="8"/>
                <w:szCs w:val="8"/>
              </w:rPr>
            </w:pPr>
          </w:p>
        </w:tc>
        <w:tc>
          <w:tcPr>
            <w:tcW w:w="2113" w:type="pct"/>
            <w:shd w:val="clear" w:color="auto" w:fill="808080" w:themeFill="background1" w:themeFillShade="80"/>
            <w:vAlign w:val="center"/>
          </w:tcPr>
          <w:p w14:paraId="40151115" w14:textId="77777777" w:rsidR="00704AC1" w:rsidRPr="00417981" w:rsidRDefault="00704AC1" w:rsidP="00AD55C1">
            <w:pPr>
              <w:pStyle w:val="TableofAuthorities"/>
              <w:rPr>
                <w:b/>
                <w:bCs/>
                <w:sz w:val="8"/>
                <w:szCs w:val="8"/>
              </w:rPr>
            </w:pPr>
          </w:p>
        </w:tc>
      </w:tr>
      <w:tr w:rsidR="00704AC1" w:rsidRPr="00417981" w14:paraId="180E310F" w14:textId="77777777" w:rsidTr="00AD55C1">
        <w:trPr>
          <w:trHeight w:val="604"/>
        </w:trPr>
        <w:tc>
          <w:tcPr>
            <w:tcW w:w="775" w:type="pct"/>
            <w:vMerge w:val="restart"/>
            <w:shd w:val="clear" w:color="auto" w:fill="F2F2F2" w:themeFill="background1" w:themeFillShade="F2"/>
            <w:vAlign w:val="center"/>
          </w:tcPr>
          <w:p w14:paraId="5CD449C8" w14:textId="77777777" w:rsidR="00704AC1" w:rsidRPr="00417981" w:rsidRDefault="00704AC1" w:rsidP="00AD55C1">
            <w:pPr>
              <w:pStyle w:val="TableofAuthorities"/>
            </w:pPr>
            <w:r w:rsidRPr="00417981">
              <w:t>Additional funds available to pay for care and services</w:t>
            </w:r>
          </w:p>
        </w:tc>
        <w:tc>
          <w:tcPr>
            <w:tcW w:w="1619" w:type="pct"/>
            <w:shd w:val="clear" w:color="auto" w:fill="DEEAF6" w:themeFill="accent5" w:themeFillTint="33"/>
            <w:vAlign w:val="center"/>
          </w:tcPr>
          <w:p w14:paraId="571F6788" w14:textId="77777777" w:rsidR="00704AC1" w:rsidRPr="00417981" w:rsidRDefault="00704AC1" w:rsidP="00AD55C1">
            <w:pPr>
              <w:pStyle w:val="TableofAuthorities"/>
              <w:rPr>
                <w:i/>
                <w:iCs/>
              </w:rPr>
            </w:pPr>
            <w:r w:rsidRPr="00417981">
              <w:rPr>
                <w:i/>
                <w:iCs/>
              </w:rPr>
              <w:t>Care recipient fees</w:t>
            </w:r>
            <w:r w:rsidRPr="00417981">
              <w:t xml:space="preserve"> (</w:t>
            </w:r>
            <w:r w:rsidRPr="00417981">
              <w:rPr>
                <w:i/>
                <w:iCs/>
              </w:rPr>
              <w:t>income tested care fee</w:t>
            </w:r>
            <w:r w:rsidRPr="00417981">
              <w:t xml:space="preserve">) received this month </w:t>
            </w:r>
          </w:p>
        </w:tc>
        <w:tc>
          <w:tcPr>
            <w:tcW w:w="493" w:type="pct"/>
            <w:shd w:val="clear" w:color="auto" w:fill="DEEAF6" w:themeFill="accent5" w:themeFillTint="33"/>
            <w:vAlign w:val="center"/>
          </w:tcPr>
          <w:p w14:paraId="6AD3B022" w14:textId="77777777" w:rsidR="00704AC1" w:rsidRPr="00417981" w:rsidRDefault="00704AC1" w:rsidP="00AD55C1">
            <w:pPr>
              <w:pStyle w:val="TableofAuthorities"/>
            </w:pPr>
            <w:r w:rsidRPr="00417981">
              <w:t>$200</w:t>
            </w:r>
          </w:p>
        </w:tc>
        <w:tc>
          <w:tcPr>
            <w:tcW w:w="2113" w:type="pct"/>
            <w:shd w:val="clear" w:color="auto" w:fill="DEEAF6" w:themeFill="accent5" w:themeFillTint="33"/>
            <w:vAlign w:val="center"/>
          </w:tcPr>
          <w:p w14:paraId="5618FF7D" w14:textId="77777777" w:rsidR="00704AC1" w:rsidRPr="00417981" w:rsidRDefault="00704AC1" w:rsidP="00AD55C1">
            <w:pPr>
              <w:pStyle w:val="TableofAuthorities"/>
              <w:rPr>
                <w:color w:val="000000" w:themeColor="text1"/>
                <w:kern w:val="24"/>
              </w:rPr>
            </w:pPr>
            <w:r w:rsidRPr="00417981">
              <w:t xml:space="preserve">$200 </w:t>
            </w:r>
            <w:r w:rsidRPr="00417981">
              <w:rPr>
                <w:i/>
                <w:iCs/>
              </w:rPr>
              <w:t>income tested care fee</w:t>
            </w:r>
            <w:r w:rsidRPr="00417981">
              <w:t xml:space="preserve"> paid by care recipient this month</w:t>
            </w:r>
          </w:p>
        </w:tc>
      </w:tr>
      <w:tr w:rsidR="00704AC1" w:rsidRPr="00417981" w14:paraId="57425B20" w14:textId="77777777" w:rsidTr="00AD55C1">
        <w:trPr>
          <w:trHeight w:val="840"/>
        </w:trPr>
        <w:tc>
          <w:tcPr>
            <w:tcW w:w="775" w:type="pct"/>
            <w:vMerge/>
            <w:shd w:val="clear" w:color="auto" w:fill="F2F2F2" w:themeFill="background1" w:themeFillShade="F2"/>
            <w:vAlign w:val="center"/>
          </w:tcPr>
          <w:p w14:paraId="737CCD56" w14:textId="77777777" w:rsidR="00704AC1" w:rsidRPr="00417981" w:rsidRDefault="00704AC1" w:rsidP="00AD55C1">
            <w:pPr>
              <w:pStyle w:val="TableofAuthorities"/>
              <w:rPr>
                <w:i/>
                <w:iCs/>
              </w:rPr>
            </w:pPr>
          </w:p>
        </w:tc>
        <w:tc>
          <w:tcPr>
            <w:tcW w:w="1619" w:type="pct"/>
            <w:shd w:val="clear" w:color="auto" w:fill="FFF2CC" w:themeFill="accent4" w:themeFillTint="33"/>
            <w:vAlign w:val="center"/>
          </w:tcPr>
          <w:p w14:paraId="15DE41A0" w14:textId="77777777" w:rsidR="00704AC1" w:rsidRPr="00417981" w:rsidRDefault="00704AC1" w:rsidP="00AD55C1">
            <w:pPr>
              <w:pStyle w:val="TableofAuthorities"/>
              <w:rPr>
                <w:i/>
                <w:iCs/>
              </w:rPr>
            </w:pPr>
            <w:r w:rsidRPr="00417981">
              <w:t xml:space="preserve">Care recipient’s monthly </w:t>
            </w:r>
            <w:r w:rsidRPr="00417981">
              <w:rPr>
                <w:i/>
                <w:iCs/>
              </w:rPr>
              <w:t>Government subsidy entitlement</w:t>
            </w:r>
            <w:r w:rsidRPr="00417981">
              <w:t xml:space="preserve"> </w:t>
            </w:r>
          </w:p>
        </w:tc>
        <w:tc>
          <w:tcPr>
            <w:tcW w:w="493" w:type="pct"/>
            <w:shd w:val="clear" w:color="auto" w:fill="FFF2CC" w:themeFill="accent4" w:themeFillTint="33"/>
            <w:vAlign w:val="center"/>
          </w:tcPr>
          <w:p w14:paraId="0A884177" w14:textId="77777777" w:rsidR="00704AC1" w:rsidRPr="00417981" w:rsidRDefault="00704AC1" w:rsidP="00AD55C1">
            <w:pPr>
              <w:pStyle w:val="TableofAuthorities"/>
            </w:pPr>
            <w:r w:rsidRPr="00417981">
              <w:t>$1,700</w:t>
            </w:r>
          </w:p>
        </w:tc>
        <w:tc>
          <w:tcPr>
            <w:tcW w:w="2113" w:type="pct"/>
            <w:shd w:val="clear" w:color="auto" w:fill="FFF2CC" w:themeFill="accent4" w:themeFillTint="33"/>
            <w:vAlign w:val="center"/>
          </w:tcPr>
          <w:p w14:paraId="28441766" w14:textId="77777777" w:rsidR="00704AC1" w:rsidRPr="00417981" w:rsidRDefault="00704AC1" w:rsidP="00AD55C1">
            <w:pPr>
              <w:pStyle w:val="TableofAuthorities"/>
            </w:pPr>
            <w:r w:rsidRPr="00417981">
              <w:t xml:space="preserve">Given the client is expected to pay a $200 </w:t>
            </w:r>
            <w:r w:rsidRPr="00417981">
              <w:rPr>
                <w:i/>
                <w:iCs/>
              </w:rPr>
              <w:t>income tested care fee,</w:t>
            </w:r>
            <w:r w:rsidRPr="00417981">
              <w:t xml:space="preserve"> only up to $1,500 of the </w:t>
            </w:r>
            <w:r w:rsidRPr="00417981">
              <w:rPr>
                <w:i/>
                <w:iCs/>
              </w:rPr>
              <w:t xml:space="preserve">government subsidy entitlement </w:t>
            </w:r>
            <w:r w:rsidRPr="00417981">
              <w:t xml:space="preserve">is available </w:t>
            </w:r>
          </w:p>
        </w:tc>
      </w:tr>
      <w:tr w:rsidR="00704AC1" w:rsidRPr="00417981" w14:paraId="77AB696B" w14:textId="77777777" w:rsidTr="0042023A">
        <w:trPr>
          <w:trHeight w:hRule="exact" w:val="119"/>
        </w:trPr>
        <w:tc>
          <w:tcPr>
            <w:tcW w:w="775" w:type="pct"/>
            <w:shd w:val="clear" w:color="auto" w:fill="808080" w:themeFill="background1" w:themeFillShade="80"/>
          </w:tcPr>
          <w:p w14:paraId="27AEC7DF" w14:textId="77777777" w:rsidR="00704AC1" w:rsidRPr="00417981" w:rsidRDefault="00704AC1" w:rsidP="00AD55C1">
            <w:pPr>
              <w:pStyle w:val="TableofAuthorities"/>
              <w:rPr>
                <w:b/>
                <w:bCs/>
                <w:sz w:val="8"/>
                <w:szCs w:val="8"/>
              </w:rPr>
            </w:pPr>
          </w:p>
        </w:tc>
        <w:tc>
          <w:tcPr>
            <w:tcW w:w="1619" w:type="pct"/>
            <w:shd w:val="clear" w:color="auto" w:fill="808080" w:themeFill="background1" w:themeFillShade="80"/>
            <w:vAlign w:val="center"/>
          </w:tcPr>
          <w:p w14:paraId="77368967" w14:textId="77777777" w:rsidR="00704AC1" w:rsidRPr="00417981" w:rsidRDefault="00704AC1" w:rsidP="00AD55C1">
            <w:pPr>
              <w:pStyle w:val="TableofAuthorities"/>
              <w:rPr>
                <w:b/>
                <w:bCs/>
                <w:sz w:val="8"/>
                <w:szCs w:val="8"/>
              </w:rPr>
            </w:pPr>
          </w:p>
        </w:tc>
        <w:tc>
          <w:tcPr>
            <w:tcW w:w="493" w:type="pct"/>
            <w:shd w:val="clear" w:color="auto" w:fill="808080" w:themeFill="background1" w:themeFillShade="80"/>
            <w:vAlign w:val="center"/>
          </w:tcPr>
          <w:p w14:paraId="02423AFE" w14:textId="77777777" w:rsidR="00704AC1" w:rsidRPr="00417981" w:rsidRDefault="00704AC1" w:rsidP="00AD55C1">
            <w:pPr>
              <w:pStyle w:val="TableofAuthorities"/>
              <w:rPr>
                <w:b/>
                <w:bCs/>
                <w:sz w:val="8"/>
                <w:szCs w:val="8"/>
              </w:rPr>
            </w:pPr>
          </w:p>
        </w:tc>
        <w:tc>
          <w:tcPr>
            <w:tcW w:w="2113" w:type="pct"/>
            <w:shd w:val="clear" w:color="auto" w:fill="808080" w:themeFill="background1" w:themeFillShade="80"/>
            <w:vAlign w:val="center"/>
          </w:tcPr>
          <w:p w14:paraId="41DDDE71" w14:textId="77777777" w:rsidR="00704AC1" w:rsidRPr="00417981" w:rsidRDefault="00704AC1" w:rsidP="00AD55C1">
            <w:pPr>
              <w:pStyle w:val="TableofAuthorities"/>
              <w:rPr>
                <w:b/>
                <w:bCs/>
                <w:sz w:val="8"/>
                <w:szCs w:val="8"/>
              </w:rPr>
            </w:pPr>
          </w:p>
        </w:tc>
      </w:tr>
      <w:tr w:rsidR="00704AC1" w:rsidRPr="00417981" w14:paraId="1D324046" w14:textId="77777777" w:rsidTr="00AD55C1">
        <w:trPr>
          <w:trHeight w:val="861"/>
        </w:trPr>
        <w:tc>
          <w:tcPr>
            <w:tcW w:w="775" w:type="pct"/>
            <w:vMerge w:val="restart"/>
            <w:shd w:val="clear" w:color="auto" w:fill="F2F2F2" w:themeFill="background1" w:themeFillShade="F2"/>
            <w:vAlign w:val="center"/>
          </w:tcPr>
          <w:p w14:paraId="05F832F3" w14:textId="77777777" w:rsidR="00704AC1" w:rsidRPr="00417981" w:rsidRDefault="00704AC1" w:rsidP="00AD55C1">
            <w:pPr>
              <w:pStyle w:val="TableofAuthorities"/>
            </w:pPr>
            <w:r w:rsidRPr="00417981">
              <w:t>Funds used to cover costs of care and services</w:t>
            </w:r>
          </w:p>
        </w:tc>
        <w:tc>
          <w:tcPr>
            <w:tcW w:w="1619" w:type="pct"/>
            <w:shd w:val="clear" w:color="auto" w:fill="DEEAF6" w:themeFill="accent5" w:themeFillTint="33"/>
            <w:vAlign w:val="center"/>
          </w:tcPr>
          <w:p w14:paraId="1DC7382C" w14:textId="77777777" w:rsidR="00704AC1" w:rsidRPr="00417981" w:rsidRDefault="00704AC1" w:rsidP="00AD55C1">
            <w:pPr>
              <w:pStyle w:val="TableofAuthorities"/>
              <w:rPr>
                <w:i/>
                <w:iCs/>
              </w:rPr>
            </w:pPr>
            <w:r w:rsidRPr="00417981">
              <w:rPr>
                <w:i/>
                <w:iCs/>
              </w:rPr>
              <w:t>Care recipient fees</w:t>
            </w:r>
            <w:r w:rsidRPr="00417981">
              <w:t xml:space="preserve"> spent on care and services this month</w:t>
            </w:r>
          </w:p>
        </w:tc>
        <w:tc>
          <w:tcPr>
            <w:tcW w:w="493" w:type="pct"/>
            <w:shd w:val="clear" w:color="auto" w:fill="DEEAF6" w:themeFill="accent5" w:themeFillTint="33"/>
            <w:vAlign w:val="center"/>
          </w:tcPr>
          <w:p w14:paraId="7EC2A3AE" w14:textId="77777777" w:rsidR="00704AC1" w:rsidRPr="00417981" w:rsidRDefault="00704AC1" w:rsidP="00AD55C1">
            <w:pPr>
              <w:pStyle w:val="TableofAuthorities"/>
            </w:pPr>
            <w:r w:rsidRPr="00417981">
              <w:t>$200</w:t>
            </w:r>
          </w:p>
        </w:tc>
        <w:tc>
          <w:tcPr>
            <w:tcW w:w="2113" w:type="pct"/>
            <w:shd w:val="clear" w:color="auto" w:fill="DEEAF6" w:themeFill="accent5" w:themeFillTint="33"/>
            <w:vAlign w:val="center"/>
          </w:tcPr>
          <w:p w14:paraId="0C0E5728" w14:textId="77777777" w:rsidR="00704AC1" w:rsidRPr="00417981" w:rsidRDefault="00704AC1" w:rsidP="00AD55C1">
            <w:pPr>
              <w:pStyle w:val="TableofAuthorities"/>
            </w:pPr>
            <w:r w:rsidRPr="00417981">
              <w:t xml:space="preserve">Payment system will reduce $1,700 invoice amount by the $200 </w:t>
            </w:r>
            <w:r w:rsidRPr="00417981">
              <w:rPr>
                <w:i/>
                <w:iCs/>
              </w:rPr>
              <w:t xml:space="preserve">income tested care fee </w:t>
            </w:r>
            <w:r w:rsidRPr="00417981">
              <w:t>(which must be spent first)</w:t>
            </w:r>
            <w:r w:rsidRPr="00417981">
              <w:rPr>
                <w:i/>
                <w:iCs/>
              </w:rPr>
              <w:t xml:space="preserve">. </w:t>
            </w:r>
            <w:r w:rsidRPr="00417981">
              <w:t xml:space="preserve">This will leave $1,500 as the </w:t>
            </w:r>
            <w:r w:rsidRPr="00417981">
              <w:rPr>
                <w:i/>
                <w:iCs/>
              </w:rPr>
              <w:t>adjusted price</w:t>
            </w:r>
          </w:p>
        </w:tc>
      </w:tr>
      <w:tr w:rsidR="00704AC1" w:rsidRPr="00417981" w14:paraId="1AEE49C4" w14:textId="77777777" w:rsidTr="00AD55C1">
        <w:trPr>
          <w:trHeight w:val="861"/>
        </w:trPr>
        <w:tc>
          <w:tcPr>
            <w:tcW w:w="775" w:type="pct"/>
            <w:vMerge/>
            <w:shd w:val="clear" w:color="auto" w:fill="F2F2F2" w:themeFill="background1" w:themeFillShade="F2"/>
            <w:vAlign w:val="center"/>
          </w:tcPr>
          <w:p w14:paraId="2BD86D63" w14:textId="77777777" w:rsidR="00704AC1" w:rsidRPr="00417981" w:rsidRDefault="00704AC1" w:rsidP="00AD55C1">
            <w:pPr>
              <w:pStyle w:val="TableofAuthorities"/>
              <w:rPr>
                <w:i/>
                <w:iCs/>
              </w:rPr>
            </w:pPr>
          </w:p>
        </w:tc>
        <w:tc>
          <w:tcPr>
            <w:tcW w:w="1619" w:type="pct"/>
            <w:shd w:val="clear" w:color="auto" w:fill="FFF2CC" w:themeFill="accent4" w:themeFillTint="33"/>
            <w:vAlign w:val="center"/>
          </w:tcPr>
          <w:p w14:paraId="28E92C08" w14:textId="77777777" w:rsidR="00704AC1" w:rsidRPr="00417981" w:rsidRDefault="00704AC1" w:rsidP="00AD55C1">
            <w:pPr>
              <w:pStyle w:val="TableofAuthorities"/>
              <w:rPr>
                <w:i/>
                <w:iCs/>
              </w:rPr>
            </w:pPr>
            <w:r w:rsidRPr="00417981">
              <w:rPr>
                <w:i/>
                <w:iCs/>
              </w:rPr>
              <w:t xml:space="preserve">Shortfall </w:t>
            </w:r>
            <w:r w:rsidRPr="00417981">
              <w:t>spent on care and services this month</w:t>
            </w:r>
          </w:p>
        </w:tc>
        <w:tc>
          <w:tcPr>
            <w:tcW w:w="493" w:type="pct"/>
            <w:shd w:val="clear" w:color="auto" w:fill="FFF2CC" w:themeFill="accent4" w:themeFillTint="33"/>
            <w:vAlign w:val="center"/>
          </w:tcPr>
          <w:p w14:paraId="144B0A2C" w14:textId="7EA02793" w:rsidR="00704AC1" w:rsidRPr="00417981" w:rsidRDefault="00704AC1" w:rsidP="00AD55C1">
            <w:pPr>
              <w:pStyle w:val="TableofAuthorities"/>
            </w:pPr>
            <w:r w:rsidRPr="00417981">
              <w:t>$1,</w:t>
            </w:r>
            <w:r>
              <w:t>0</w:t>
            </w:r>
            <w:r w:rsidRPr="00417981">
              <w:t>00</w:t>
            </w:r>
          </w:p>
        </w:tc>
        <w:tc>
          <w:tcPr>
            <w:tcW w:w="2113" w:type="pct"/>
            <w:shd w:val="clear" w:color="auto" w:fill="FFF2CC" w:themeFill="accent4" w:themeFillTint="33"/>
            <w:vAlign w:val="center"/>
          </w:tcPr>
          <w:p w14:paraId="1DD1F69B" w14:textId="0B77291B" w:rsidR="00704AC1" w:rsidRPr="00417981" w:rsidRDefault="00704AC1" w:rsidP="00AD55C1">
            <w:pPr>
              <w:pStyle w:val="TableofAuthorities"/>
            </w:pPr>
            <w:r w:rsidRPr="00704AC1">
              <w:t xml:space="preserve">This month $1,000 </w:t>
            </w:r>
            <w:r w:rsidRPr="009E5CBC">
              <w:rPr>
                <w:i/>
                <w:iCs/>
              </w:rPr>
              <w:t>government subsidy entitlement</w:t>
            </w:r>
            <w:r w:rsidRPr="00704AC1">
              <w:t xml:space="preserve"> will be </w:t>
            </w:r>
            <w:r>
              <w:t>paid</w:t>
            </w:r>
            <w:r w:rsidRPr="00704AC1">
              <w:t xml:space="preserve"> </w:t>
            </w:r>
            <w:r>
              <w:t>towards</w:t>
            </w:r>
            <w:r w:rsidRPr="00704AC1">
              <w:t xml:space="preserve"> the $1,700 care and services</w:t>
            </w:r>
          </w:p>
        </w:tc>
      </w:tr>
      <w:tr w:rsidR="00704AC1" w:rsidRPr="00417981" w14:paraId="3474AB9D" w14:textId="77777777" w:rsidTr="00AD55C1">
        <w:trPr>
          <w:trHeight w:val="846"/>
        </w:trPr>
        <w:tc>
          <w:tcPr>
            <w:tcW w:w="775" w:type="pct"/>
            <w:vMerge/>
            <w:shd w:val="clear" w:color="auto" w:fill="F2F2F2" w:themeFill="background1" w:themeFillShade="F2"/>
          </w:tcPr>
          <w:p w14:paraId="4290932F" w14:textId="77777777" w:rsidR="00704AC1" w:rsidRPr="00417981" w:rsidRDefault="00704AC1" w:rsidP="00AD55C1">
            <w:pPr>
              <w:pStyle w:val="TableofAuthorities"/>
              <w:rPr>
                <w:i/>
                <w:iCs/>
              </w:rPr>
            </w:pPr>
          </w:p>
        </w:tc>
        <w:tc>
          <w:tcPr>
            <w:tcW w:w="1619" w:type="pct"/>
            <w:shd w:val="clear" w:color="auto" w:fill="E2EFD9" w:themeFill="accent6" w:themeFillTint="33"/>
            <w:vAlign w:val="center"/>
          </w:tcPr>
          <w:p w14:paraId="3F6B47A5" w14:textId="77777777" w:rsidR="00704AC1" w:rsidRPr="00417981" w:rsidRDefault="00704AC1" w:rsidP="00AD55C1">
            <w:pPr>
              <w:pStyle w:val="TableofAuthorities"/>
              <w:rPr>
                <w:i/>
                <w:iCs/>
              </w:rPr>
            </w:pPr>
            <w:r w:rsidRPr="00417981">
              <w:rPr>
                <w:i/>
                <w:iCs/>
                <w:color w:val="000000" w:themeColor="text1"/>
                <w:kern w:val="24"/>
              </w:rPr>
              <w:t>Provider-held Commonwealth unspent funds</w:t>
            </w:r>
            <w:r w:rsidRPr="00417981">
              <w:rPr>
                <w:color w:val="000000" w:themeColor="text1"/>
                <w:kern w:val="24"/>
              </w:rPr>
              <w:t xml:space="preserve"> spent on care and services this month</w:t>
            </w:r>
          </w:p>
        </w:tc>
        <w:tc>
          <w:tcPr>
            <w:tcW w:w="493" w:type="pct"/>
            <w:shd w:val="clear" w:color="auto" w:fill="E2EFD9" w:themeFill="accent6" w:themeFillTint="33"/>
            <w:vAlign w:val="center"/>
          </w:tcPr>
          <w:p w14:paraId="11A8490E" w14:textId="689DEB1B" w:rsidR="00704AC1" w:rsidRPr="00417981" w:rsidRDefault="00704AC1" w:rsidP="00AD55C1">
            <w:pPr>
              <w:pStyle w:val="TableofAuthorities"/>
            </w:pPr>
            <w:r w:rsidRPr="00417981">
              <w:t>$</w:t>
            </w:r>
            <w:r>
              <w:t>500</w:t>
            </w:r>
          </w:p>
        </w:tc>
        <w:tc>
          <w:tcPr>
            <w:tcW w:w="2113" w:type="pct"/>
            <w:shd w:val="clear" w:color="auto" w:fill="E2EFD9" w:themeFill="accent6" w:themeFillTint="33"/>
            <w:vAlign w:val="center"/>
          </w:tcPr>
          <w:p w14:paraId="000755D6" w14:textId="6FAA80F6" w:rsidR="00704AC1" w:rsidRPr="00417981" w:rsidRDefault="00704AC1" w:rsidP="00AD55C1">
            <w:pPr>
              <w:pStyle w:val="TableofAuthorities"/>
            </w:pPr>
            <w:r w:rsidRPr="00704AC1">
              <w:t>This month the Services Australia system will draw down $500</w:t>
            </w:r>
            <w:r w:rsidR="00501083">
              <w:t xml:space="preserve"> from the unspent funds balance</w:t>
            </w:r>
            <w:r>
              <w:t xml:space="preserve">, as the provider </w:t>
            </w:r>
            <w:r w:rsidR="00501083">
              <w:t>has spent this on care and services</w:t>
            </w:r>
          </w:p>
        </w:tc>
      </w:tr>
      <w:tr w:rsidR="00704AC1" w:rsidRPr="00417981" w14:paraId="6CC536E7" w14:textId="77777777" w:rsidTr="0042023A">
        <w:trPr>
          <w:trHeight w:hRule="exact" w:val="119"/>
        </w:trPr>
        <w:tc>
          <w:tcPr>
            <w:tcW w:w="775" w:type="pct"/>
            <w:shd w:val="clear" w:color="auto" w:fill="808080" w:themeFill="background1" w:themeFillShade="80"/>
          </w:tcPr>
          <w:p w14:paraId="7AE87AB4" w14:textId="77777777" w:rsidR="00704AC1" w:rsidRPr="00417981" w:rsidRDefault="00704AC1" w:rsidP="00AD55C1">
            <w:pPr>
              <w:pStyle w:val="TableofAuthorities"/>
              <w:rPr>
                <w:b/>
                <w:bCs/>
                <w:sz w:val="8"/>
                <w:szCs w:val="8"/>
              </w:rPr>
            </w:pPr>
          </w:p>
        </w:tc>
        <w:tc>
          <w:tcPr>
            <w:tcW w:w="1619" w:type="pct"/>
            <w:shd w:val="clear" w:color="auto" w:fill="808080" w:themeFill="background1" w:themeFillShade="80"/>
            <w:vAlign w:val="center"/>
          </w:tcPr>
          <w:p w14:paraId="43B83C9B" w14:textId="77777777" w:rsidR="00704AC1" w:rsidRPr="00417981" w:rsidRDefault="00704AC1" w:rsidP="00AD55C1">
            <w:pPr>
              <w:pStyle w:val="TableofAuthorities"/>
              <w:rPr>
                <w:b/>
                <w:bCs/>
                <w:sz w:val="8"/>
                <w:szCs w:val="8"/>
              </w:rPr>
            </w:pPr>
          </w:p>
        </w:tc>
        <w:tc>
          <w:tcPr>
            <w:tcW w:w="493" w:type="pct"/>
            <w:shd w:val="clear" w:color="auto" w:fill="808080" w:themeFill="background1" w:themeFillShade="80"/>
            <w:vAlign w:val="center"/>
          </w:tcPr>
          <w:p w14:paraId="0DF9F1D6" w14:textId="77777777" w:rsidR="00704AC1" w:rsidRPr="00417981" w:rsidRDefault="00704AC1" w:rsidP="00AD55C1">
            <w:pPr>
              <w:pStyle w:val="TableofAuthorities"/>
              <w:rPr>
                <w:b/>
                <w:bCs/>
                <w:sz w:val="8"/>
                <w:szCs w:val="8"/>
              </w:rPr>
            </w:pPr>
          </w:p>
        </w:tc>
        <w:tc>
          <w:tcPr>
            <w:tcW w:w="2113" w:type="pct"/>
            <w:shd w:val="clear" w:color="auto" w:fill="808080" w:themeFill="background1" w:themeFillShade="80"/>
            <w:vAlign w:val="center"/>
          </w:tcPr>
          <w:p w14:paraId="48BF44F5" w14:textId="77777777" w:rsidR="00704AC1" w:rsidRPr="00417981" w:rsidRDefault="00704AC1" w:rsidP="00AD55C1">
            <w:pPr>
              <w:pStyle w:val="TableofAuthorities"/>
              <w:rPr>
                <w:b/>
                <w:bCs/>
                <w:sz w:val="8"/>
                <w:szCs w:val="8"/>
              </w:rPr>
            </w:pPr>
          </w:p>
        </w:tc>
      </w:tr>
      <w:tr w:rsidR="00704AC1" w:rsidRPr="00417981" w14:paraId="770EB45F" w14:textId="77777777" w:rsidTr="00AD55C1">
        <w:trPr>
          <w:trHeight w:val="846"/>
        </w:trPr>
        <w:tc>
          <w:tcPr>
            <w:tcW w:w="775" w:type="pct"/>
            <w:vMerge w:val="restart"/>
            <w:shd w:val="clear" w:color="auto" w:fill="F2F2F2" w:themeFill="background1" w:themeFillShade="F2"/>
            <w:vAlign w:val="center"/>
          </w:tcPr>
          <w:p w14:paraId="64D83C31" w14:textId="77777777" w:rsidR="00704AC1" w:rsidRPr="00417981" w:rsidRDefault="00704AC1" w:rsidP="00AD55C1">
            <w:pPr>
              <w:pStyle w:val="TableofAuthorities"/>
            </w:pPr>
            <w:r w:rsidRPr="00417981">
              <w:t>Unspent funds balances at month end</w:t>
            </w:r>
          </w:p>
        </w:tc>
        <w:tc>
          <w:tcPr>
            <w:tcW w:w="1619" w:type="pct"/>
            <w:shd w:val="clear" w:color="auto" w:fill="DEEAF6" w:themeFill="accent5" w:themeFillTint="33"/>
            <w:vAlign w:val="center"/>
          </w:tcPr>
          <w:p w14:paraId="568A22CE" w14:textId="77777777" w:rsidR="00704AC1" w:rsidRPr="00417981" w:rsidRDefault="00704AC1" w:rsidP="00AD55C1">
            <w:pPr>
              <w:pStyle w:val="TableofAuthorities"/>
              <w:rPr>
                <w:i/>
                <w:iCs/>
                <w:color w:val="000000" w:themeColor="text1"/>
                <w:kern w:val="24"/>
              </w:rPr>
            </w:pPr>
            <w:r w:rsidRPr="00417981">
              <w:t>Provider-held</w:t>
            </w:r>
            <w:r w:rsidRPr="00417981">
              <w:rPr>
                <w:i/>
                <w:iCs/>
              </w:rPr>
              <w:t xml:space="preserve"> Care recipient unspent funds</w:t>
            </w:r>
          </w:p>
        </w:tc>
        <w:tc>
          <w:tcPr>
            <w:tcW w:w="493" w:type="pct"/>
            <w:shd w:val="clear" w:color="auto" w:fill="DEEAF6" w:themeFill="accent5" w:themeFillTint="33"/>
            <w:vAlign w:val="center"/>
          </w:tcPr>
          <w:p w14:paraId="0C660E1C" w14:textId="77777777" w:rsidR="00704AC1" w:rsidRPr="00417981" w:rsidRDefault="00704AC1" w:rsidP="00AD55C1">
            <w:pPr>
              <w:pStyle w:val="TableofAuthorities"/>
            </w:pPr>
            <w:r w:rsidRPr="00417981">
              <w:t>$150</w:t>
            </w:r>
          </w:p>
        </w:tc>
        <w:tc>
          <w:tcPr>
            <w:tcW w:w="2113" w:type="pct"/>
            <w:shd w:val="clear" w:color="auto" w:fill="DEEAF6" w:themeFill="accent5" w:themeFillTint="33"/>
            <w:vAlign w:val="center"/>
          </w:tcPr>
          <w:p w14:paraId="4237F069" w14:textId="37A903B2" w:rsidR="00704AC1" w:rsidRPr="00417981" w:rsidRDefault="00704AC1" w:rsidP="00AD55C1">
            <w:pPr>
              <w:pStyle w:val="TableofAuthorities"/>
            </w:pPr>
            <w:r w:rsidRPr="00417981">
              <w:t xml:space="preserve">$200 </w:t>
            </w:r>
            <w:r w:rsidRPr="00417981">
              <w:rPr>
                <w:i/>
                <w:iCs/>
              </w:rPr>
              <w:t xml:space="preserve">income tested care fee </w:t>
            </w:r>
            <w:r w:rsidRPr="00417981">
              <w:t xml:space="preserve">was spent on care and services. $150 in </w:t>
            </w:r>
            <w:r w:rsidRPr="00417981">
              <w:rPr>
                <w:i/>
                <w:iCs/>
              </w:rPr>
              <w:t xml:space="preserve">care recipient unspent funds </w:t>
            </w:r>
            <w:r w:rsidRPr="00417981">
              <w:t>remains</w:t>
            </w:r>
          </w:p>
        </w:tc>
      </w:tr>
      <w:tr w:rsidR="00704AC1" w:rsidRPr="00417981" w14:paraId="0A23347F" w14:textId="77777777" w:rsidTr="00AD55C1">
        <w:trPr>
          <w:trHeight w:val="1244"/>
        </w:trPr>
        <w:tc>
          <w:tcPr>
            <w:tcW w:w="775" w:type="pct"/>
            <w:vMerge/>
            <w:shd w:val="clear" w:color="auto" w:fill="F2F2F2" w:themeFill="background1" w:themeFillShade="F2"/>
            <w:vAlign w:val="center"/>
          </w:tcPr>
          <w:p w14:paraId="0A2AA49D" w14:textId="77777777" w:rsidR="00704AC1" w:rsidRPr="00417981" w:rsidRDefault="00704AC1" w:rsidP="00704AC1">
            <w:pPr>
              <w:spacing w:before="0" w:after="0"/>
              <w:rPr>
                <w:rFonts w:ascii="Calibri Light" w:hAnsi="Calibri Light" w:cs="Calibri Light"/>
                <w:i/>
                <w:iCs/>
                <w:sz w:val="18"/>
                <w:szCs w:val="18"/>
              </w:rPr>
            </w:pPr>
          </w:p>
        </w:tc>
        <w:tc>
          <w:tcPr>
            <w:tcW w:w="1619" w:type="pct"/>
            <w:shd w:val="clear" w:color="auto" w:fill="E2EFD9" w:themeFill="accent6" w:themeFillTint="33"/>
            <w:vAlign w:val="center"/>
          </w:tcPr>
          <w:p w14:paraId="20F9D781" w14:textId="77777777" w:rsidR="00704AC1" w:rsidRPr="00417981" w:rsidRDefault="00704AC1" w:rsidP="00AD55C1">
            <w:pPr>
              <w:pStyle w:val="TableofAuthorities"/>
            </w:pPr>
            <w:r w:rsidRPr="00417981">
              <w:t>Provider-held Commonwealth unspent funds</w:t>
            </w:r>
          </w:p>
        </w:tc>
        <w:tc>
          <w:tcPr>
            <w:tcW w:w="493" w:type="pct"/>
            <w:shd w:val="clear" w:color="auto" w:fill="E2EFD9" w:themeFill="accent6" w:themeFillTint="33"/>
            <w:vAlign w:val="center"/>
          </w:tcPr>
          <w:p w14:paraId="2BCD39BE" w14:textId="70477572" w:rsidR="00704AC1" w:rsidRPr="00417981" w:rsidRDefault="00704AC1" w:rsidP="00AD55C1">
            <w:pPr>
              <w:pStyle w:val="TableofAuthorities"/>
            </w:pPr>
            <w:r w:rsidRPr="00417981">
              <w:t>$0</w:t>
            </w:r>
          </w:p>
        </w:tc>
        <w:tc>
          <w:tcPr>
            <w:tcW w:w="2113" w:type="pct"/>
            <w:shd w:val="clear" w:color="auto" w:fill="E2EFD9" w:themeFill="accent6" w:themeFillTint="33"/>
            <w:vAlign w:val="center"/>
          </w:tcPr>
          <w:p w14:paraId="6DA057DF" w14:textId="4F5748E8" w:rsidR="00501083" w:rsidRPr="00501083" w:rsidRDefault="00501083" w:rsidP="00AD55C1">
            <w:pPr>
              <w:pStyle w:val="TableofAuthorities"/>
            </w:pPr>
            <w:r w:rsidRPr="00501083">
              <w:t xml:space="preserve">The provider has drawn down </w:t>
            </w:r>
            <w:r>
              <w:t>the</w:t>
            </w:r>
            <w:r w:rsidRPr="00501083">
              <w:t xml:space="preserve"> $500 available.</w:t>
            </w:r>
          </w:p>
          <w:p w14:paraId="7B2D0B9B" w14:textId="0D4A5B0C" w:rsidR="00704AC1" w:rsidRPr="00417981" w:rsidRDefault="00501083" w:rsidP="00AD55C1">
            <w:pPr>
              <w:pStyle w:val="TableofAuthorities"/>
            </w:pPr>
            <w:r w:rsidRPr="00501083">
              <w:t xml:space="preserve">As the provider has opted-in and reported the total </w:t>
            </w:r>
            <w:r w:rsidRPr="009E5CBC">
              <w:t>Commonwealth portion of unspent funds</w:t>
            </w:r>
            <w:r w:rsidRPr="00501083">
              <w:t xml:space="preserve"> they had available for this care recipient, Services Australia will track these funds for the provider</w:t>
            </w:r>
          </w:p>
        </w:tc>
      </w:tr>
      <w:tr w:rsidR="00704AC1" w:rsidRPr="00417981" w14:paraId="057AE48E" w14:textId="77777777" w:rsidTr="00AD55C1">
        <w:trPr>
          <w:trHeight w:val="558"/>
        </w:trPr>
        <w:tc>
          <w:tcPr>
            <w:tcW w:w="775" w:type="pct"/>
            <w:vMerge/>
            <w:shd w:val="clear" w:color="auto" w:fill="F2F2F2" w:themeFill="background1" w:themeFillShade="F2"/>
            <w:vAlign w:val="center"/>
          </w:tcPr>
          <w:p w14:paraId="03A190EE" w14:textId="77777777" w:rsidR="00704AC1" w:rsidRPr="00417981" w:rsidRDefault="00704AC1" w:rsidP="00704AC1">
            <w:pPr>
              <w:spacing w:before="0" w:after="0"/>
              <w:rPr>
                <w:rFonts w:ascii="Calibri Light" w:hAnsi="Calibri Light" w:cs="Calibri Light"/>
                <w:i/>
                <w:iCs/>
                <w:sz w:val="18"/>
                <w:szCs w:val="18"/>
              </w:rPr>
            </w:pPr>
          </w:p>
        </w:tc>
        <w:tc>
          <w:tcPr>
            <w:tcW w:w="1619" w:type="pct"/>
            <w:shd w:val="clear" w:color="auto" w:fill="FFF2CC" w:themeFill="accent4" w:themeFillTint="33"/>
            <w:vAlign w:val="center"/>
          </w:tcPr>
          <w:p w14:paraId="6841B50D" w14:textId="77777777" w:rsidR="00704AC1" w:rsidRPr="00417981" w:rsidRDefault="00704AC1" w:rsidP="00AD55C1">
            <w:pPr>
              <w:pStyle w:val="TableofAuthorities"/>
            </w:pPr>
            <w:r w:rsidRPr="00417981">
              <w:t>Government subsidy in the home care account</w:t>
            </w:r>
          </w:p>
        </w:tc>
        <w:tc>
          <w:tcPr>
            <w:tcW w:w="493" w:type="pct"/>
            <w:shd w:val="clear" w:color="auto" w:fill="FFF2CC" w:themeFill="accent4" w:themeFillTint="33"/>
            <w:vAlign w:val="center"/>
          </w:tcPr>
          <w:p w14:paraId="3BCBB593" w14:textId="2BFBA6A2" w:rsidR="00704AC1" w:rsidRPr="00417981" w:rsidRDefault="00704AC1" w:rsidP="00AD55C1">
            <w:pPr>
              <w:pStyle w:val="TableofAuthorities"/>
            </w:pPr>
            <w:r w:rsidRPr="00417981">
              <w:t>$</w:t>
            </w:r>
            <w:r w:rsidR="00501083">
              <w:t>500</w:t>
            </w:r>
          </w:p>
        </w:tc>
        <w:tc>
          <w:tcPr>
            <w:tcW w:w="2113" w:type="pct"/>
            <w:shd w:val="clear" w:color="auto" w:fill="FFF2CC" w:themeFill="accent4" w:themeFillTint="33"/>
            <w:vAlign w:val="center"/>
          </w:tcPr>
          <w:p w14:paraId="0023314A" w14:textId="77777777" w:rsidR="00501083" w:rsidRPr="00501083" w:rsidRDefault="00501083" w:rsidP="00AD55C1">
            <w:pPr>
              <w:pStyle w:val="TableofAuthorities"/>
            </w:pPr>
            <w:r w:rsidRPr="00501083">
              <w:t xml:space="preserve">As this month is September 2021, the </w:t>
            </w:r>
            <w:r w:rsidRPr="009E5CBC">
              <w:t>home care account</w:t>
            </w:r>
            <w:r w:rsidRPr="00501083">
              <w:t xml:space="preserve"> balance began at $0.</w:t>
            </w:r>
          </w:p>
          <w:p w14:paraId="6126A3CC" w14:textId="51E74BDA" w:rsidR="00501083" w:rsidRPr="00501083" w:rsidRDefault="00501083" w:rsidP="00AD55C1">
            <w:pPr>
              <w:pStyle w:val="TableofAuthorities"/>
            </w:pPr>
            <w:r>
              <w:t>Only</w:t>
            </w:r>
            <w:r w:rsidRPr="00501083">
              <w:t xml:space="preserve"> $1,</w:t>
            </w:r>
            <w:r>
              <w:t>0</w:t>
            </w:r>
            <w:r w:rsidRPr="00501083">
              <w:t xml:space="preserve">00 </w:t>
            </w:r>
            <w:r w:rsidRPr="009E5CBC">
              <w:t>Government subsidy</w:t>
            </w:r>
            <w:r w:rsidRPr="00501083">
              <w:t xml:space="preserve"> was spent, while the opted-in provider</w:t>
            </w:r>
            <w:r>
              <w:t>-</w:t>
            </w:r>
            <w:r w:rsidRPr="00501083">
              <w:t>held unspent funds were drawn down</w:t>
            </w:r>
            <w:r>
              <w:t xml:space="preserve"> by </w:t>
            </w:r>
            <w:r w:rsidRPr="00501083">
              <w:t>$500</w:t>
            </w:r>
            <w:r>
              <w:t xml:space="preserve">. Therefore, the remaining $500 </w:t>
            </w:r>
            <w:r w:rsidRPr="009E5CBC">
              <w:t>Government subsidy</w:t>
            </w:r>
            <w:r w:rsidRPr="00501083">
              <w:t xml:space="preserve"> accrue</w:t>
            </w:r>
            <w:r>
              <w:t>s</w:t>
            </w:r>
            <w:r w:rsidRPr="00501083">
              <w:t xml:space="preserve"> in the </w:t>
            </w:r>
            <w:r w:rsidRPr="009E5CBC">
              <w:t>home care account</w:t>
            </w:r>
            <w:r w:rsidRPr="00501083">
              <w:t xml:space="preserve"> this month.</w:t>
            </w:r>
          </w:p>
          <w:p w14:paraId="110199ED" w14:textId="69FF96D5" w:rsidR="00704AC1" w:rsidRPr="00417981" w:rsidRDefault="00501083" w:rsidP="00AD55C1">
            <w:pPr>
              <w:pStyle w:val="TableofAuthorities"/>
            </w:pPr>
            <w:r w:rsidRPr="00501083">
              <w:t xml:space="preserve">Services Australia </w:t>
            </w:r>
            <w:proofErr w:type="gramStart"/>
            <w:r w:rsidRPr="00501083">
              <w:t>track</w:t>
            </w:r>
            <w:proofErr w:type="gramEnd"/>
            <w:r w:rsidRPr="00501083">
              <w:t xml:space="preserve"> the </w:t>
            </w:r>
            <w:r w:rsidRPr="009E5CBC">
              <w:t xml:space="preserve">home care account </w:t>
            </w:r>
            <w:r w:rsidRPr="00501083">
              <w:t>and report to provider on the monthly payment statement and on the Aged Care Provider Portal</w:t>
            </w:r>
          </w:p>
        </w:tc>
      </w:tr>
    </w:tbl>
    <w:p w14:paraId="139AD727" w14:textId="77777777" w:rsidR="005E62D7" w:rsidRPr="00AD55C1" w:rsidRDefault="005E62D7" w:rsidP="00382317">
      <w:pPr>
        <w:pStyle w:val="Heading1"/>
      </w:pPr>
      <w:bookmarkStart w:id="0" w:name="_Returning_unspent_funds"/>
      <w:bookmarkEnd w:id="0"/>
      <w:r w:rsidRPr="006A3134">
        <w:lastRenderedPageBreak/>
        <w:t>Returning unspent funds post-1 September 2021</w:t>
      </w:r>
    </w:p>
    <w:p w14:paraId="363CC1FE" w14:textId="6BC82BED" w:rsidR="005E62D7" w:rsidRPr="009E5CBC" w:rsidRDefault="005E62D7" w:rsidP="00382317">
      <w:pPr>
        <w:pStyle w:val="Heading2"/>
      </w:pPr>
      <w:r w:rsidRPr="009E5CBC">
        <w:t xml:space="preserve">If the </w:t>
      </w:r>
      <w:r w:rsidRPr="00382317">
        <w:t>care</w:t>
      </w:r>
      <w:r w:rsidRPr="009E5CBC">
        <w:t xml:space="preserve"> recipient is transferring to a new home care service</w:t>
      </w:r>
      <w:r w:rsidR="00114EBC" w:rsidRPr="009E5CBC">
        <w:t xml:space="preserve"> on or after 1 Sep 2021</w:t>
      </w:r>
    </w:p>
    <w:tbl>
      <w:tblPr>
        <w:tblStyle w:val="GridTable1Light-Accent1"/>
        <w:tblW w:w="9776" w:type="dxa"/>
        <w:tblLook w:val="04A0" w:firstRow="1" w:lastRow="0" w:firstColumn="1" w:lastColumn="0" w:noHBand="0" w:noVBand="1"/>
        <w:tblCaption w:val="Returning unspent funds when a care reciepient transfers to a new service"/>
        <w:tblDescription w:val="This table shows where the care recipient portion and Commonwealth portion of unspent funds should be returned when a care reciepient transfers to a new service"/>
      </w:tblPr>
      <w:tblGrid>
        <w:gridCol w:w="1810"/>
        <w:gridCol w:w="5840"/>
        <w:gridCol w:w="2126"/>
      </w:tblGrid>
      <w:tr w:rsidR="005E62D7" w:rsidRPr="009E6F63" w14:paraId="6157D029" w14:textId="77777777" w:rsidTr="001673C6">
        <w:trPr>
          <w:cnfStyle w:val="100000000000" w:firstRow="1" w:lastRow="0" w:firstColumn="0" w:lastColumn="0" w:oddVBand="0" w:evenVBand="0" w:oddHBand="0" w:evenHBand="0" w:firstRowFirstColumn="0" w:firstRowLastColumn="0" w:lastRowFirstColumn="0" w:lastRowLastColumn="0"/>
          <w:trHeight w:val="189"/>
          <w:tblHeader/>
        </w:trPr>
        <w:tc>
          <w:tcPr>
            <w:cnfStyle w:val="001000000000" w:firstRow="0" w:lastRow="0" w:firstColumn="1" w:lastColumn="0" w:oddVBand="0" w:evenVBand="0" w:oddHBand="0" w:evenHBand="0" w:firstRowFirstColumn="0" w:firstRowLastColumn="0" w:lastRowFirstColumn="0" w:lastRowLastColumn="0"/>
            <w:tcW w:w="1810" w:type="dxa"/>
            <w:shd w:val="clear" w:color="auto" w:fill="D9E2F3" w:themeFill="accent1" w:themeFillTint="33"/>
            <w:vAlign w:val="center"/>
          </w:tcPr>
          <w:p w14:paraId="53EB0A69" w14:textId="77777777" w:rsidR="005E62D7" w:rsidRPr="00FA62CE" w:rsidRDefault="005E62D7" w:rsidP="00FA62CE">
            <w:r w:rsidRPr="00FA62CE">
              <w:t>Portion</w:t>
            </w:r>
          </w:p>
        </w:tc>
        <w:tc>
          <w:tcPr>
            <w:tcW w:w="5840" w:type="dxa"/>
            <w:shd w:val="clear" w:color="auto" w:fill="D9E2F3" w:themeFill="accent1" w:themeFillTint="33"/>
            <w:vAlign w:val="center"/>
          </w:tcPr>
          <w:p w14:paraId="7AFB2F83" w14:textId="77777777" w:rsidR="005E62D7" w:rsidRPr="00FA62CE" w:rsidRDefault="005E62D7" w:rsidP="00FA62CE">
            <w:pPr>
              <w:cnfStyle w:val="100000000000" w:firstRow="1" w:lastRow="0" w:firstColumn="0" w:lastColumn="0" w:oddVBand="0" w:evenVBand="0" w:oddHBand="0" w:evenHBand="0" w:firstRowFirstColumn="0" w:firstRowLastColumn="0" w:lastRowFirstColumn="0" w:lastRowLastColumn="0"/>
            </w:pPr>
            <w:r w:rsidRPr="00FA62CE">
              <w:t>Where to return?</w:t>
            </w:r>
          </w:p>
        </w:tc>
        <w:tc>
          <w:tcPr>
            <w:tcW w:w="2126" w:type="dxa"/>
            <w:shd w:val="clear" w:color="auto" w:fill="D9E2F3" w:themeFill="accent1" w:themeFillTint="33"/>
            <w:vAlign w:val="center"/>
          </w:tcPr>
          <w:p w14:paraId="115ABED6" w14:textId="77777777" w:rsidR="005E62D7" w:rsidRPr="00FA62CE" w:rsidRDefault="005E62D7" w:rsidP="00FA62CE">
            <w:pPr>
              <w:cnfStyle w:val="100000000000" w:firstRow="1" w:lastRow="0" w:firstColumn="0" w:lastColumn="0" w:oddVBand="0" w:evenVBand="0" w:oddHBand="0" w:evenHBand="0" w:firstRowFirstColumn="0" w:firstRowLastColumn="0" w:lastRowFirstColumn="0" w:lastRowLastColumn="0"/>
            </w:pPr>
            <w:r w:rsidRPr="00FA62CE">
              <w:t>Timeframe to return</w:t>
            </w:r>
          </w:p>
        </w:tc>
      </w:tr>
      <w:tr w:rsidR="005E62D7" w:rsidRPr="009E6F63" w14:paraId="643C513C" w14:textId="77777777" w:rsidTr="001673C6">
        <w:trPr>
          <w:trHeight w:val="651"/>
        </w:trPr>
        <w:tc>
          <w:tcPr>
            <w:cnfStyle w:val="001000000000" w:firstRow="0" w:lastRow="0" w:firstColumn="1" w:lastColumn="0" w:oddVBand="0" w:evenVBand="0" w:oddHBand="0" w:evenHBand="0" w:firstRowFirstColumn="0" w:firstRowLastColumn="0" w:lastRowFirstColumn="0" w:lastRowLastColumn="0"/>
            <w:tcW w:w="1810" w:type="dxa"/>
            <w:vAlign w:val="center"/>
          </w:tcPr>
          <w:p w14:paraId="00D9AC7C" w14:textId="77777777" w:rsidR="005E62D7" w:rsidRPr="00FA62CE" w:rsidRDefault="005E62D7" w:rsidP="00704AC1">
            <w:pPr>
              <w:pStyle w:val="Heading3"/>
              <w:outlineLvl w:val="2"/>
              <w:rPr>
                <w:rStyle w:val="IntenseEmphasis"/>
              </w:rPr>
            </w:pPr>
            <w:r w:rsidRPr="00FA62CE">
              <w:rPr>
                <w:rStyle w:val="IntenseEmphasis"/>
              </w:rPr>
              <w:t>Care recipient portion of unspent funds</w:t>
            </w:r>
          </w:p>
        </w:tc>
        <w:tc>
          <w:tcPr>
            <w:tcW w:w="5840" w:type="dxa"/>
            <w:vAlign w:val="center"/>
          </w:tcPr>
          <w:p w14:paraId="39BAC0A1" w14:textId="77777777" w:rsidR="005E62D7" w:rsidRPr="00B502E1" w:rsidRDefault="005E62D7" w:rsidP="00AD55C1">
            <w:pPr>
              <w:pStyle w:val="TableofAuthorities"/>
              <w:cnfStyle w:val="000000000000" w:firstRow="0" w:lastRow="0" w:firstColumn="0" w:lastColumn="0" w:oddVBand="0" w:evenVBand="0" w:oddHBand="0" w:evenHBand="0" w:firstRowFirstColumn="0" w:firstRowLastColumn="0" w:lastRowFirstColumn="0" w:lastRowLastColumn="0"/>
              <w:rPr>
                <w:highlight w:val="yellow"/>
              </w:rPr>
            </w:pPr>
            <w:r w:rsidRPr="00325B8E">
              <w:t>The losing provider must transfer the care recipient portion to the gaining provider</w:t>
            </w:r>
          </w:p>
        </w:tc>
        <w:tc>
          <w:tcPr>
            <w:tcW w:w="2126" w:type="dxa"/>
            <w:vAlign w:val="center"/>
          </w:tcPr>
          <w:p w14:paraId="4C7CA114" w14:textId="77777777" w:rsidR="005E62D7" w:rsidRDefault="005E62D7" w:rsidP="00AD55C1">
            <w:pPr>
              <w:pStyle w:val="TableofAuthorities"/>
              <w:cnfStyle w:val="000000000000" w:firstRow="0" w:lastRow="0" w:firstColumn="0" w:lastColumn="0" w:oddVBand="0" w:evenVBand="0" w:oddHBand="0" w:evenHBand="0" w:firstRowFirstColumn="0" w:firstRowLastColumn="0" w:lastRowFirstColumn="0" w:lastRowLastColumn="0"/>
            </w:pPr>
            <w:r>
              <w:t xml:space="preserve">Up to </w:t>
            </w:r>
            <w:r w:rsidRPr="001E2F57">
              <w:t xml:space="preserve">70 </w:t>
            </w:r>
            <w:r>
              <w:t xml:space="preserve">calendar </w:t>
            </w:r>
            <w:r w:rsidRPr="001E2F57">
              <w:t>days</w:t>
            </w:r>
            <w:r>
              <w:t>*</w:t>
            </w:r>
            <w:r w:rsidRPr="001E2F57">
              <w:t xml:space="preserve"> after the </w:t>
            </w:r>
            <w:r>
              <w:t>departure from the losing provider</w:t>
            </w:r>
          </w:p>
        </w:tc>
      </w:tr>
      <w:tr w:rsidR="005E62D7" w:rsidRPr="009E6F63" w14:paraId="6644C8C1" w14:textId="77777777" w:rsidTr="001673C6">
        <w:trPr>
          <w:trHeight w:val="694"/>
        </w:trPr>
        <w:tc>
          <w:tcPr>
            <w:cnfStyle w:val="001000000000" w:firstRow="0" w:lastRow="0" w:firstColumn="1" w:lastColumn="0" w:oddVBand="0" w:evenVBand="0" w:oddHBand="0" w:evenHBand="0" w:firstRowFirstColumn="0" w:firstRowLastColumn="0" w:lastRowFirstColumn="0" w:lastRowLastColumn="0"/>
            <w:tcW w:w="1810" w:type="dxa"/>
            <w:vMerge w:val="restart"/>
            <w:vAlign w:val="center"/>
          </w:tcPr>
          <w:p w14:paraId="790543E2" w14:textId="77777777" w:rsidR="005E62D7" w:rsidRPr="00FA62CE" w:rsidRDefault="005E62D7" w:rsidP="00704AC1">
            <w:pPr>
              <w:pStyle w:val="Heading3"/>
              <w:outlineLvl w:val="2"/>
              <w:rPr>
                <w:rStyle w:val="IntenseEmphasis"/>
              </w:rPr>
            </w:pPr>
            <w:r w:rsidRPr="00FA62CE">
              <w:rPr>
                <w:rStyle w:val="IntenseEmphasis"/>
              </w:rPr>
              <w:t>Commonwealth portion of unspent funds</w:t>
            </w:r>
          </w:p>
        </w:tc>
        <w:tc>
          <w:tcPr>
            <w:tcW w:w="5840" w:type="dxa"/>
            <w:vAlign w:val="center"/>
          </w:tcPr>
          <w:p w14:paraId="5A0A342E" w14:textId="77777777" w:rsidR="005E62D7" w:rsidRPr="00B502E1" w:rsidRDefault="005E62D7" w:rsidP="00AD55C1">
            <w:pPr>
              <w:pStyle w:val="TableofAuthorities"/>
              <w:cnfStyle w:val="000000000000" w:firstRow="0" w:lastRow="0" w:firstColumn="0" w:lastColumn="0" w:oddVBand="0" w:evenVBand="0" w:oddHBand="0" w:evenHBand="0" w:firstRowFirstColumn="0" w:firstRowLastColumn="0" w:lastRowFirstColumn="0" w:lastRowLastColumn="0"/>
              <w:rPr>
                <w:highlight w:val="yellow"/>
              </w:rPr>
            </w:pPr>
            <w:r w:rsidRPr="00C86A61">
              <w:t xml:space="preserve">If the care recipient is opted in, the </w:t>
            </w:r>
            <w:r>
              <w:t xml:space="preserve">Services Australia </w:t>
            </w:r>
            <w:r w:rsidRPr="00C86A61">
              <w:t>payment system will reconcile the outstanding amount through the claim period and return it to the Commonwealth.</w:t>
            </w:r>
          </w:p>
        </w:tc>
        <w:tc>
          <w:tcPr>
            <w:tcW w:w="2126" w:type="dxa"/>
            <w:vMerge w:val="restart"/>
            <w:vAlign w:val="center"/>
          </w:tcPr>
          <w:p w14:paraId="5480A4F2" w14:textId="77777777" w:rsidR="005E62D7" w:rsidRPr="009E6F63" w:rsidRDefault="005E62D7" w:rsidP="00AD55C1">
            <w:pPr>
              <w:pStyle w:val="TableofAuthorities"/>
              <w:cnfStyle w:val="000000000000" w:firstRow="0" w:lastRow="0" w:firstColumn="0" w:lastColumn="0" w:oddVBand="0" w:evenVBand="0" w:oddHBand="0" w:evenHBand="0" w:firstRowFirstColumn="0" w:firstRowLastColumn="0" w:lastRowFirstColumn="0" w:lastRowLastColumn="0"/>
            </w:pPr>
            <w:r>
              <w:t xml:space="preserve">up to </w:t>
            </w:r>
            <w:r w:rsidRPr="001E2F57">
              <w:t xml:space="preserve">70 </w:t>
            </w:r>
            <w:r>
              <w:t xml:space="preserve">calendar </w:t>
            </w:r>
            <w:r w:rsidRPr="001E2F57">
              <w:t>days</w:t>
            </w:r>
            <w:r>
              <w:t>*</w:t>
            </w:r>
            <w:r w:rsidRPr="001E2F57">
              <w:t xml:space="preserve"> </w:t>
            </w:r>
            <w:r>
              <w:t xml:space="preserve">from </w:t>
            </w:r>
            <w:r w:rsidRPr="001E2F57">
              <w:t xml:space="preserve">the </w:t>
            </w:r>
            <w:r>
              <w:t>date of departure</w:t>
            </w:r>
          </w:p>
        </w:tc>
      </w:tr>
      <w:tr w:rsidR="005E62D7" w:rsidRPr="009E6F63" w14:paraId="22515CD5" w14:textId="77777777" w:rsidTr="001673C6">
        <w:trPr>
          <w:trHeight w:val="694"/>
        </w:trPr>
        <w:tc>
          <w:tcPr>
            <w:cnfStyle w:val="001000000000" w:firstRow="0" w:lastRow="0" w:firstColumn="1" w:lastColumn="0" w:oddVBand="0" w:evenVBand="0" w:oddHBand="0" w:evenHBand="0" w:firstRowFirstColumn="0" w:firstRowLastColumn="0" w:lastRowFirstColumn="0" w:lastRowLastColumn="0"/>
            <w:tcW w:w="1810" w:type="dxa"/>
            <w:vMerge/>
            <w:vAlign w:val="center"/>
          </w:tcPr>
          <w:p w14:paraId="77D68314" w14:textId="77777777" w:rsidR="005E62D7" w:rsidRPr="009E6F63" w:rsidRDefault="005E62D7" w:rsidP="00704AC1">
            <w:pPr>
              <w:rPr>
                <w:rFonts w:asciiTheme="minorHAnsi" w:hAnsiTheme="minorHAnsi" w:cstheme="minorHAnsi"/>
              </w:rPr>
            </w:pPr>
          </w:p>
        </w:tc>
        <w:tc>
          <w:tcPr>
            <w:tcW w:w="5840" w:type="dxa"/>
            <w:vAlign w:val="center"/>
          </w:tcPr>
          <w:p w14:paraId="7B6F96D7" w14:textId="77777777" w:rsidR="005E62D7" w:rsidRDefault="005E62D7" w:rsidP="00AD55C1">
            <w:pPr>
              <w:pStyle w:val="TableofAuthorities"/>
              <w:cnfStyle w:val="000000000000" w:firstRow="0" w:lastRow="0" w:firstColumn="0" w:lastColumn="0" w:oddVBand="0" w:evenVBand="0" w:oddHBand="0" w:evenHBand="0" w:firstRowFirstColumn="0" w:firstRowLastColumn="0" w:lastRowFirstColumn="0" w:lastRowLastColumn="0"/>
            </w:pPr>
            <w:r>
              <w:t xml:space="preserve">If the </w:t>
            </w:r>
            <w:r w:rsidRPr="00C86A61">
              <w:t>care recipient</w:t>
            </w:r>
            <w:r>
              <w:t xml:space="preserve"> is </w:t>
            </w:r>
            <w:r w:rsidRPr="00C86A61">
              <w:t>not opted in, the provider must create a ‘</w:t>
            </w:r>
            <w:r>
              <w:t>Commonwealth</w:t>
            </w:r>
            <w:r w:rsidRPr="00C86A61">
              <w:t xml:space="preserve"> unspent </w:t>
            </w:r>
            <w:r>
              <w:t xml:space="preserve">amount </w:t>
            </w:r>
            <w:r w:rsidRPr="00C86A61">
              <w:t>on departure’ event in order to return the amount, and the</w:t>
            </w:r>
            <w:r>
              <w:t xml:space="preserve"> Services Australia</w:t>
            </w:r>
            <w:r w:rsidRPr="00C86A61">
              <w:t xml:space="preserve"> payment system reconciles </w:t>
            </w:r>
            <w:r>
              <w:t xml:space="preserve">the funds </w:t>
            </w:r>
            <w:r w:rsidRPr="00C86A61">
              <w:t xml:space="preserve">into the </w:t>
            </w:r>
            <w:r>
              <w:t xml:space="preserve">care recipient’s </w:t>
            </w:r>
            <w:r w:rsidRPr="00C86A61">
              <w:t>home care account.</w:t>
            </w:r>
          </w:p>
          <w:p w14:paraId="6F527241" w14:textId="77777777" w:rsidR="005E62D7" w:rsidRPr="001673C6" w:rsidRDefault="005E62D7" w:rsidP="00AD55C1">
            <w:pPr>
              <w:pStyle w:val="TableofAuthorities"/>
              <w:cnfStyle w:val="000000000000" w:firstRow="0" w:lastRow="0" w:firstColumn="0" w:lastColumn="0" w:oddVBand="0" w:evenVBand="0" w:oddHBand="0" w:evenHBand="0" w:firstRowFirstColumn="0" w:firstRowLastColumn="0" w:lastRowFirstColumn="0" w:lastRowLastColumn="0"/>
            </w:pPr>
            <w:r w:rsidRPr="00C86A61">
              <w:t xml:space="preserve">If the provider is not holding any Commonwealth unspent funds, </w:t>
            </w:r>
            <w:r w:rsidRPr="001673C6">
              <w:t>they must report a $0 amount to Services Australia.</w:t>
            </w:r>
          </w:p>
          <w:p w14:paraId="02FAAA9F" w14:textId="70CB65F9" w:rsidR="00C419A0" w:rsidRPr="00C419A0" w:rsidRDefault="00C419A0" w:rsidP="001673C6">
            <w:pPr>
              <w:cnfStyle w:val="000000000000" w:firstRow="0" w:lastRow="0" w:firstColumn="0" w:lastColumn="0" w:oddVBand="0" w:evenVBand="0" w:oddHBand="0" w:evenHBand="0" w:firstRowFirstColumn="0" w:firstRowLastColumn="0" w:lastRowFirstColumn="0" w:lastRowLastColumn="0"/>
              <w:rPr>
                <w:highlight w:val="yellow"/>
              </w:rPr>
            </w:pPr>
            <w:r w:rsidRPr="001673C6">
              <w:rPr>
                <w:sz w:val="20"/>
                <w:szCs w:val="20"/>
              </w:rPr>
              <w:t xml:space="preserve">Providers should not adjust the </w:t>
            </w:r>
            <w:r w:rsidRPr="001673C6">
              <w:rPr>
                <w:b/>
                <w:bCs/>
                <w:sz w:val="20"/>
                <w:szCs w:val="20"/>
              </w:rPr>
              <w:t>unspent funds amount for a departed care recipient</w:t>
            </w:r>
            <w:r w:rsidRPr="001673C6">
              <w:rPr>
                <w:sz w:val="20"/>
                <w:szCs w:val="20"/>
              </w:rPr>
              <w:t xml:space="preserve"> in the departure month where the invoice amount is higher than the maximum contribution amount for that month. </w:t>
            </w:r>
            <w:r w:rsidR="001812A7" w:rsidRPr="001673C6">
              <w:rPr>
                <w:sz w:val="20"/>
                <w:szCs w:val="20"/>
              </w:rPr>
              <w:t xml:space="preserve">This leads to errors in unspent funds calculations and the amount transferred to the receiving provider. </w:t>
            </w:r>
            <w:r w:rsidRPr="001673C6">
              <w:rPr>
                <w:sz w:val="20"/>
                <w:szCs w:val="20"/>
              </w:rPr>
              <w:t xml:space="preserve">Services Australia’s systems will </w:t>
            </w:r>
            <w:r w:rsidRPr="001673C6">
              <w:rPr>
                <w:b/>
                <w:bCs/>
                <w:sz w:val="20"/>
                <w:szCs w:val="20"/>
              </w:rPr>
              <w:t>automatically</w:t>
            </w:r>
            <w:r w:rsidRPr="001673C6">
              <w:rPr>
                <w:sz w:val="20"/>
                <w:szCs w:val="20"/>
              </w:rPr>
              <w:t xml:space="preserve"> reconcile the last invoice amount with the reported unspent funds amount for departed care recipients. If </w:t>
            </w:r>
            <w:r w:rsidR="00EF0F59" w:rsidRPr="001673C6">
              <w:rPr>
                <w:sz w:val="20"/>
                <w:szCs w:val="20"/>
              </w:rPr>
              <w:t>you have adjusted the unspent funds amount for a departed care recipient</w:t>
            </w:r>
            <w:r w:rsidRPr="001673C6">
              <w:rPr>
                <w:sz w:val="20"/>
                <w:szCs w:val="20"/>
              </w:rPr>
              <w:t>, please contact Services Australia for resolution.</w:t>
            </w:r>
          </w:p>
        </w:tc>
        <w:tc>
          <w:tcPr>
            <w:tcW w:w="2126" w:type="dxa"/>
            <w:vMerge/>
            <w:vAlign w:val="center"/>
          </w:tcPr>
          <w:p w14:paraId="65705A9E" w14:textId="77777777" w:rsidR="005E62D7" w:rsidRDefault="005E62D7" w:rsidP="00704A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44787921" w14:textId="11608D38" w:rsidR="005E62D7" w:rsidRPr="009E5CBC" w:rsidRDefault="00202E8D" w:rsidP="00E0031B">
      <w:pPr>
        <w:pStyle w:val="Heading2"/>
      </w:pPr>
      <w:r>
        <w:t>I</w:t>
      </w:r>
      <w:r w:rsidR="005E62D7" w:rsidRPr="009E5CBC">
        <w:t>f the care recipient is exiting the HCP program</w:t>
      </w:r>
      <w:r w:rsidR="00114EBC" w:rsidRPr="009E5CBC">
        <w:t xml:space="preserve"> on or after 1 Sep 2021</w:t>
      </w:r>
    </w:p>
    <w:tbl>
      <w:tblPr>
        <w:tblStyle w:val="GridTable1Light-Accent1"/>
        <w:tblW w:w="9918" w:type="dxa"/>
        <w:tblLook w:val="04A0" w:firstRow="1" w:lastRow="0" w:firstColumn="1" w:lastColumn="0" w:noHBand="0" w:noVBand="1"/>
        <w:tblCaption w:val="Returning unspent funds when a care reciepient exits the HCP Program"/>
        <w:tblDescription w:val="This table shows where the care recipient portion and Commonwealth portion of unspent funds should be returned when a care reciepient exits the HCP Program"/>
      </w:tblPr>
      <w:tblGrid>
        <w:gridCol w:w="1810"/>
        <w:gridCol w:w="5708"/>
        <w:gridCol w:w="2400"/>
      </w:tblGrid>
      <w:tr w:rsidR="005E62D7" w:rsidRPr="00FA62CE" w14:paraId="0F16F4DA" w14:textId="77777777" w:rsidTr="00AD55C1">
        <w:trPr>
          <w:cnfStyle w:val="100000000000" w:firstRow="1" w:lastRow="0" w:firstColumn="0" w:lastColumn="0" w:oddVBand="0" w:evenVBand="0" w:oddHBand="0" w:evenHBand="0" w:firstRowFirstColumn="0" w:firstRowLastColumn="0" w:lastRowFirstColumn="0" w:lastRowLastColumn="0"/>
          <w:trHeight w:val="208"/>
          <w:tblHeader/>
        </w:trPr>
        <w:tc>
          <w:tcPr>
            <w:cnfStyle w:val="001000000000" w:firstRow="0" w:lastRow="0" w:firstColumn="1" w:lastColumn="0" w:oddVBand="0" w:evenVBand="0" w:oddHBand="0" w:evenHBand="0" w:firstRowFirstColumn="0" w:firstRowLastColumn="0" w:lastRowFirstColumn="0" w:lastRowLastColumn="0"/>
            <w:tcW w:w="1757" w:type="dxa"/>
            <w:shd w:val="clear" w:color="auto" w:fill="D9E2F3" w:themeFill="accent1" w:themeFillTint="33"/>
            <w:vAlign w:val="center"/>
          </w:tcPr>
          <w:p w14:paraId="5CCBCE8A" w14:textId="77777777" w:rsidR="005E62D7" w:rsidRPr="00FA62CE" w:rsidRDefault="005E62D7" w:rsidP="00FA62CE">
            <w:r w:rsidRPr="00FA62CE">
              <w:t>Portion</w:t>
            </w:r>
          </w:p>
        </w:tc>
        <w:tc>
          <w:tcPr>
            <w:tcW w:w="5751" w:type="dxa"/>
            <w:shd w:val="clear" w:color="auto" w:fill="D9E2F3" w:themeFill="accent1" w:themeFillTint="33"/>
            <w:vAlign w:val="center"/>
          </w:tcPr>
          <w:p w14:paraId="11BF5F06" w14:textId="77777777" w:rsidR="005E62D7" w:rsidRPr="00FA62CE" w:rsidRDefault="005E62D7" w:rsidP="00FA62CE">
            <w:pPr>
              <w:cnfStyle w:val="100000000000" w:firstRow="1" w:lastRow="0" w:firstColumn="0" w:lastColumn="0" w:oddVBand="0" w:evenVBand="0" w:oddHBand="0" w:evenHBand="0" w:firstRowFirstColumn="0" w:firstRowLastColumn="0" w:lastRowFirstColumn="0" w:lastRowLastColumn="0"/>
            </w:pPr>
            <w:r w:rsidRPr="00FA62CE">
              <w:t>Where to return?</w:t>
            </w:r>
          </w:p>
        </w:tc>
        <w:tc>
          <w:tcPr>
            <w:tcW w:w="2410" w:type="dxa"/>
            <w:shd w:val="clear" w:color="auto" w:fill="D9E2F3" w:themeFill="accent1" w:themeFillTint="33"/>
            <w:vAlign w:val="center"/>
          </w:tcPr>
          <w:p w14:paraId="75AD2951" w14:textId="77777777" w:rsidR="005E62D7" w:rsidRPr="00FA62CE" w:rsidRDefault="005E62D7" w:rsidP="00FA62CE">
            <w:pPr>
              <w:cnfStyle w:val="100000000000" w:firstRow="1" w:lastRow="0" w:firstColumn="0" w:lastColumn="0" w:oddVBand="0" w:evenVBand="0" w:oddHBand="0" w:evenHBand="0" w:firstRowFirstColumn="0" w:firstRowLastColumn="0" w:lastRowFirstColumn="0" w:lastRowLastColumn="0"/>
            </w:pPr>
            <w:r w:rsidRPr="00FA62CE">
              <w:t>Timeframe to return</w:t>
            </w:r>
          </w:p>
        </w:tc>
      </w:tr>
      <w:tr w:rsidR="005E62D7" w14:paraId="60AF17AB" w14:textId="77777777" w:rsidTr="00AD55C1">
        <w:trPr>
          <w:trHeight w:val="651"/>
        </w:trPr>
        <w:tc>
          <w:tcPr>
            <w:cnfStyle w:val="001000000000" w:firstRow="0" w:lastRow="0" w:firstColumn="1" w:lastColumn="0" w:oddVBand="0" w:evenVBand="0" w:oddHBand="0" w:evenHBand="0" w:firstRowFirstColumn="0" w:firstRowLastColumn="0" w:lastRowFirstColumn="0" w:lastRowLastColumn="0"/>
            <w:tcW w:w="1757" w:type="dxa"/>
            <w:vMerge w:val="restart"/>
            <w:vAlign w:val="center"/>
          </w:tcPr>
          <w:p w14:paraId="7EBBFC60" w14:textId="77777777" w:rsidR="005E62D7" w:rsidRPr="00FA62CE" w:rsidRDefault="005E62D7" w:rsidP="00704AC1">
            <w:pPr>
              <w:pStyle w:val="Heading3"/>
              <w:outlineLvl w:val="2"/>
              <w:rPr>
                <w:rStyle w:val="IntenseEmphasis"/>
              </w:rPr>
            </w:pPr>
            <w:r w:rsidRPr="00FA62CE">
              <w:rPr>
                <w:rStyle w:val="IntenseEmphasis"/>
              </w:rPr>
              <w:t>Care recipient portion of unspent funds</w:t>
            </w:r>
          </w:p>
        </w:tc>
        <w:tc>
          <w:tcPr>
            <w:tcW w:w="5751" w:type="dxa"/>
            <w:vAlign w:val="center"/>
          </w:tcPr>
          <w:p w14:paraId="0CCDDD06" w14:textId="77777777" w:rsidR="005E62D7" w:rsidRPr="005871B8" w:rsidRDefault="005E62D7" w:rsidP="005871B8">
            <w:pPr>
              <w:pStyle w:val="TableofAuthorities"/>
              <w:cnfStyle w:val="000000000000" w:firstRow="0" w:lastRow="0" w:firstColumn="0" w:lastColumn="0" w:oddVBand="0" w:evenVBand="0" w:oddHBand="0" w:evenHBand="0" w:firstRowFirstColumn="0" w:firstRowLastColumn="0" w:lastRowFirstColumn="0" w:lastRowLastColumn="0"/>
            </w:pPr>
            <w:r w:rsidRPr="005871B8">
              <w:t>The provider must return the care recipient portion to the care recipient</w:t>
            </w:r>
          </w:p>
        </w:tc>
        <w:tc>
          <w:tcPr>
            <w:tcW w:w="2410" w:type="dxa"/>
            <w:vAlign w:val="center"/>
          </w:tcPr>
          <w:p w14:paraId="50A4E341" w14:textId="77777777" w:rsidR="005E62D7" w:rsidRPr="005871B8" w:rsidRDefault="005E62D7" w:rsidP="005871B8">
            <w:pPr>
              <w:pStyle w:val="TableofAuthorities"/>
              <w:cnfStyle w:val="000000000000" w:firstRow="0" w:lastRow="0" w:firstColumn="0" w:lastColumn="0" w:oddVBand="0" w:evenVBand="0" w:oddHBand="0" w:evenHBand="0" w:firstRowFirstColumn="0" w:firstRowLastColumn="0" w:lastRowFirstColumn="0" w:lastRowLastColumn="0"/>
            </w:pPr>
            <w:r w:rsidRPr="005871B8">
              <w:t xml:space="preserve">70 calendar days* from the date of departure </w:t>
            </w:r>
          </w:p>
        </w:tc>
      </w:tr>
      <w:tr w:rsidR="005E62D7" w14:paraId="15D741CA" w14:textId="77777777" w:rsidTr="00AD55C1">
        <w:trPr>
          <w:trHeight w:val="651"/>
        </w:trPr>
        <w:tc>
          <w:tcPr>
            <w:cnfStyle w:val="001000000000" w:firstRow="0" w:lastRow="0" w:firstColumn="1" w:lastColumn="0" w:oddVBand="0" w:evenVBand="0" w:oddHBand="0" w:evenHBand="0" w:firstRowFirstColumn="0" w:firstRowLastColumn="0" w:lastRowFirstColumn="0" w:lastRowLastColumn="0"/>
            <w:tcW w:w="1757" w:type="dxa"/>
            <w:vMerge/>
            <w:vAlign w:val="center"/>
          </w:tcPr>
          <w:p w14:paraId="382BD9E8" w14:textId="77777777" w:rsidR="005E62D7" w:rsidRPr="00FA62CE" w:rsidRDefault="005E62D7" w:rsidP="00704AC1">
            <w:pPr>
              <w:pStyle w:val="Heading3"/>
              <w:outlineLvl w:val="2"/>
              <w:rPr>
                <w:rStyle w:val="IntenseEmphasis"/>
              </w:rPr>
            </w:pPr>
          </w:p>
        </w:tc>
        <w:tc>
          <w:tcPr>
            <w:tcW w:w="5751" w:type="dxa"/>
            <w:vAlign w:val="center"/>
          </w:tcPr>
          <w:p w14:paraId="05536A82" w14:textId="77777777" w:rsidR="005E62D7" w:rsidRPr="005871B8" w:rsidRDefault="005E62D7" w:rsidP="005871B8">
            <w:pPr>
              <w:pStyle w:val="TableofAuthorities"/>
              <w:cnfStyle w:val="000000000000" w:firstRow="0" w:lastRow="0" w:firstColumn="0" w:lastColumn="0" w:oddVBand="0" w:evenVBand="0" w:oddHBand="0" w:evenHBand="0" w:firstRowFirstColumn="0" w:firstRowLastColumn="0" w:lastRowFirstColumn="0" w:lastRowLastColumn="0"/>
            </w:pPr>
            <w:r w:rsidRPr="005871B8">
              <w:t>If the care recipient has passed away, the provider must return the care recipient portion to the care recipient’s estate</w:t>
            </w:r>
          </w:p>
        </w:tc>
        <w:tc>
          <w:tcPr>
            <w:tcW w:w="2410" w:type="dxa"/>
            <w:vAlign w:val="center"/>
          </w:tcPr>
          <w:p w14:paraId="6C29ACCE" w14:textId="77777777" w:rsidR="005E62D7" w:rsidRPr="005871B8" w:rsidRDefault="005E62D7" w:rsidP="005871B8">
            <w:pPr>
              <w:pStyle w:val="TableofAuthorities"/>
              <w:cnfStyle w:val="000000000000" w:firstRow="0" w:lastRow="0" w:firstColumn="0" w:lastColumn="0" w:oddVBand="0" w:evenVBand="0" w:oddHBand="0" w:evenHBand="0" w:firstRowFirstColumn="0" w:firstRowLastColumn="0" w:lastRowFirstColumn="0" w:lastRowLastColumn="0"/>
            </w:pPr>
            <w:r w:rsidRPr="005871B8">
              <w:t>14 calendar days after the provider is shown the care recipient’s probate of the will or letters of administration of the estate</w:t>
            </w:r>
          </w:p>
        </w:tc>
      </w:tr>
      <w:tr w:rsidR="005E62D7" w14:paraId="3DE984BC" w14:textId="77777777" w:rsidTr="00AD55C1">
        <w:trPr>
          <w:trHeight w:val="694"/>
        </w:trPr>
        <w:tc>
          <w:tcPr>
            <w:cnfStyle w:val="001000000000" w:firstRow="0" w:lastRow="0" w:firstColumn="1" w:lastColumn="0" w:oddVBand="0" w:evenVBand="0" w:oddHBand="0" w:evenHBand="0" w:firstRowFirstColumn="0" w:firstRowLastColumn="0" w:lastRowFirstColumn="0" w:lastRowLastColumn="0"/>
            <w:tcW w:w="1757" w:type="dxa"/>
            <w:vMerge w:val="restart"/>
            <w:vAlign w:val="center"/>
          </w:tcPr>
          <w:p w14:paraId="7E03AC09" w14:textId="77777777" w:rsidR="005E62D7" w:rsidRPr="00FA62CE" w:rsidRDefault="005E62D7" w:rsidP="00704AC1">
            <w:pPr>
              <w:pStyle w:val="Heading3"/>
              <w:outlineLvl w:val="2"/>
              <w:rPr>
                <w:rStyle w:val="IntenseEmphasis"/>
              </w:rPr>
            </w:pPr>
            <w:r w:rsidRPr="00FA62CE">
              <w:rPr>
                <w:rStyle w:val="IntenseEmphasis"/>
              </w:rPr>
              <w:t>Commonwealth portion of unspent funds</w:t>
            </w:r>
          </w:p>
        </w:tc>
        <w:tc>
          <w:tcPr>
            <w:tcW w:w="5751" w:type="dxa"/>
            <w:vAlign w:val="center"/>
          </w:tcPr>
          <w:p w14:paraId="6DEBC450" w14:textId="77777777" w:rsidR="005E62D7" w:rsidRPr="005871B8" w:rsidRDefault="005E62D7" w:rsidP="005871B8">
            <w:pPr>
              <w:pStyle w:val="TableofAuthorities"/>
              <w:cnfStyle w:val="000000000000" w:firstRow="0" w:lastRow="0" w:firstColumn="0" w:lastColumn="0" w:oddVBand="0" w:evenVBand="0" w:oddHBand="0" w:evenHBand="0" w:firstRowFirstColumn="0" w:firstRowLastColumn="0" w:lastRowFirstColumn="0" w:lastRowLastColumn="0"/>
              <w:rPr>
                <w:highlight w:val="yellow"/>
              </w:rPr>
            </w:pPr>
            <w:r w:rsidRPr="005871B8">
              <w:t>If the care recipient is opted in, the Services Australia payment system will reconcile the outstanding amount through the claim period and return it to the Commonwealth.</w:t>
            </w:r>
          </w:p>
        </w:tc>
        <w:tc>
          <w:tcPr>
            <w:tcW w:w="2410" w:type="dxa"/>
            <w:vMerge w:val="restart"/>
            <w:vAlign w:val="center"/>
          </w:tcPr>
          <w:p w14:paraId="08D71266" w14:textId="77777777" w:rsidR="005E62D7" w:rsidRPr="009E6F63" w:rsidRDefault="005E62D7" w:rsidP="00AD55C1">
            <w:pPr>
              <w:pStyle w:val="TableofAuthorities"/>
              <w:cnfStyle w:val="000000000000" w:firstRow="0" w:lastRow="0" w:firstColumn="0" w:lastColumn="0" w:oddVBand="0" w:evenVBand="0" w:oddHBand="0" w:evenHBand="0" w:firstRowFirstColumn="0" w:firstRowLastColumn="0" w:lastRowFirstColumn="0" w:lastRowLastColumn="0"/>
            </w:pPr>
            <w:r>
              <w:t xml:space="preserve">Up to </w:t>
            </w:r>
            <w:r w:rsidRPr="001E2F57">
              <w:t xml:space="preserve">70 </w:t>
            </w:r>
            <w:r>
              <w:t xml:space="preserve">calendar </w:t>
            </w:r>
            <w:r w:rsidRPr="001E2F57">
              <w:t>days</w:t>
            </w:r>
            <w:r>
              <w:t>*</w:t>
            </w:r>
            <w:r w:rsidRPr="001E2F57">
              <w:t xml:space="preserve"> </w:t>
            </w:r>
            <w:r>
              <w:t xml:space="preserve">from </w:t>
            </w:r>
            <w:r w:rsidRPr="001E2F57">
              <w:t xml:space="preserve">the </w:t>
            </w:r>
            <w:r>
              <w:t>date of departure</w:t>
            </w:r>
          </w:p>
        </w:tc>
      </w:tr>
      <w:tr w:rsidR="005E62D7" w14:paraId="5C331B3B" w14:textId="77777777" w:rsidTr="00AD55C1">
        <w:trPr>
          <w:trHeight w:val="694"/>
        </w:trPr>
        <w:tc>
          <w:tcPr>
            <w:cnfStyle w:val="001000000000" w:firstRow="0" w:lastRow="0" w:firstColumn="1" w:lastColumn="0" w:oddVBand="0" w:evenVBand="0" w:oddHBand="0" w:evenHBand="0" w:firstRowFirstColumn="0" w:firstRowLastColumn="0" w:lastRowFirstColumn="0" w:lastRowLastColumn="0"/>
            <w:tcW w:w="1757" w:type="dxa"/>
            <w:vMerge/>
            <w:vAlign w:val="center"/>
          </w:tcPr>
          <w:p w14:paraId="4295E42F" w14:textId="77777777" w:rsidR="005E62D7" w:rsidRPr="009E6F63" w:rsidRDefault="005E62D7" w:rsidP="00704AC1">
            <w:pPr>
              <w:rPr>
                <w:rFonts w:asciiTheme="minorHAnsi" w:hAnsiTheme="minorHAnsi" w:cstheme="minorHAnsi"/>
              </w:rPr>
            </w:pPr>
          </w:p>
        </w:tc>
        <w:tc>
          <w:tcPr>
            <w:tcW w:w="5751" w:type="dxa"/>
            <w:vAlign w:val="center"/>
          </w:tcPr>
          <w:p w14:paraId="0B5FA848" w14:textId="77777777" w:rsidR="005E62D7" w:rsidRPr="005871B8" w:rsidRDefault="005E62D7" w:rsidP="005871B8">
            <w:pPr>
              <w:pStyle w:val="TableofAuthorities"/>
              <w:cnfStyle w:val="000000000000" w:firstRow="0" w:lastRow="0" w:firstColumn="0" w:lastColumn="0" w:oddVBand="0" w:evenVBand="0" w:oddHBand="0" w:evenHBand="0" w:firstRowFirstColumn="0" w:firstRowLastColumn="0" w:lastRowFirstColumn="0" w:lastRowLastColumn="0"/>
            </w:pPr>
            <w:r w:rsidRPr="005871B8">
              <w:t>If the care recipient is not opted in, the provider must create a ‘Commonwealth unspent amount on departure’ event in order to return the amount, and the Services Australia payment system reconciles the funds into the care recipient’s home care account.</w:t>
            </w:r>
          </w:p>
          <w:p w14:paraId="6FC79763" w14:textId="77777777" w:rsidR="005E62D7" w:rsidRPr="005871B8" w:rsidRDefault="005E62D7" w:rsidP="005871B8">
            <w:pPr>
              <w:pStyle w:val="TableofAuthorities"/>
              <w:cnfStyle w:val="000000000000" w:firstRow="0" w:lastRow="0" w:firstColumn="0" w:lastColumn="0" w:oddVBand="0" w:evenVBand="0" w:oddHBand="0" w:evenHBand="0" w:firstRowFirstColumn="0" w:firstRowLastColumn="0" w:lastRowFirstColumn="0" w:lastRowLastColumn="0"/>
              <w:rPr>
                <w:highlight w:val="yellow"/>
              </w:rPr>
            </w:pPr>
            <w:r w:rsidRPr="005871B8">
              <w:t>If the provider is not holding any Commonwealth unspent funds, they must report a $0 amount to Services Australia.</w:t>
            </w:r>
          </w:p>
        </w:tc>
        <w:tc>
          <w:tcPr>
            <w:tcW w:w="2410" w:type="dxa"/>
            <w:vMerge/>
            <w:vAlign w:val="center"/>
          </w:tcPr>
          <w:p w14:paraId="5707AADF" w14:textId="77777777" w:rsidR="005E62D7" w:rsidRDefault="005E62D7" w:rsidP="00704A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2FA887B1" w14:textId="70CAD2BF" w:rsidR="005E62D7" w:rsidRDefault="005E62D7" w:rsidP="00AD55C1">
      <w:pPr>
        <w:pBdr>
          <w:bottom w:val="single" w:sz="6" w:space="1" w:color="auto"/>
        </w:pBdr>
        <w:rPr>
          <w:i/>
          <w:iCs/>
        </w:rPr>
      </w:pPr>
      <w:r w:rsidRPr="00E0031B">
        <w:rPr>
          <w:i/>
          <w:iCs/>
        </w:rPr>
        <w:t>*Electronic claiming is</w:t>
      </w:r>
      <w:r w:rsidR="00FE32CD" w:rsidRPr="00E0031B">
        <w:rPr>
          <w:i/>
          <w:iCs/>
        </w:rPr>
        <w:t xml:space="preserve"> usually</w:t>
      </w:r>
      <w:r w:rsidRPr="00E0031B">
        <w:rPr>
          <w:i/>
          <w:iCs/>
        </w:rPr>
        <w:t xml:space="preserve"> approved one business day after submitting the claim</w:t>
      </w:r>
      <w:r w:rsidR="007D770D" w:rsidRPr="00E0031B">
        <w:rPr>
          <w:i/>
          <w:iCs/>
        </w:rPr>
        <w:t>, however it may take 3-4 business days for it to be paid</w:t>
      </w:r>
      <w:r w:rsidRPr="00E0031B">
        <w:rPr>
          <w:i/>
          <w:iCs/>
        </w:rPr>
        <w:t>. A longer lead time applies for providers submitting paper-based claims, as these have a 10-business day turnaround. When finalising claims, providers need to factor in these timeframes when accounting for the 70-day quarantine.</w:t>
      </w:r>
    </w:p>
    <w:p w14:paraId="6F6A624C" w14:textId="259509C8" w:rsidR="005E62D7" w:rsidRPr="006A3134" w:rsidRDefault="00114EBC" w:rsidP="00AD55C1">
      <w:pPr>
        <w:pStyle w:val="Heading1"/>
        <w:pageBreakBefore/>
        <w:rPr>
          <w:rFonts w:eastAsia="Times New Roman"/>
          <w:b w:val="0"/>
        </w:rPr>
      </w:pPr>
      <w:r>
        <w:rPr>
          <w:rFonts w:eastAsia="Times New Roman"/>
        </w:rPr>
        <w:lastRenderedPageBreak/>
        <w:t>How to determine u</w:t>
      </w:r>
      <w:r w:rsidR="006A3134">
        <w:rPr>
          <w:rFonts w:eastAsia="Times New Roman"/>
        </w:rPr>
        <w:t>nspent</w:t>
      </w:r>
      <w:r w:rsidR="005E62D7" w:rsidRPr="006A3134">
        <w:rPr>
          <w:rFonts w:eastAsia="Times New Roman"/>
        </w:rPr>
        <w:t xml:space="preserve"> fund</w:t>
      </w:r>
      <w:r>
        <w:rPr>
          <w:rFonts w:eastAsia="Times New Roman"/>
        </w:rPr>
        <w:t xml:space="preserve"> amounts</w:t>
      </w:r>
      <w:r w:rsidR="005E62D7" w:rsidRPr="006A3134">
        <w:rPr>
          <w:rFonts w:eastAsia="Times New Roman"/>
        </w:rPr>
        <w:t xml:space="preserve"> pr</w:t>
      </w:r>
      <w:r>
        <w:rPr>
          <w:rFonts w:eastAsia="Times New Roman"/>
        </w:rPr>
        <w:t xml:space="preserve">ior to </w:t>
      </w:r>
      <w:r w:rsidR="005E62D7" w:rsidRPr="006A3134">
        <w:rPr>
          <w:rFonts w:eastAsia="Times New Roman"/>
        </w:rPr>
        <w:t>1 September 2021</w:t>
      </w:r>
    </w:p>
    <w:p w14:paraId="5F49E502" w14:textId="38C76F76" w:rsidR="005E62D7" w:rsidRDefault="005E62D7" w:rsidP="00AD55C1">
      <w:r>
        <w:t xml:space="preserve">This example applies to care recipients who commenced </w:t>
      </w:r>
      <w:r w:rsidR="006A3134">
        <w:t>receiving</w:t>
      </w:r>
      <w:r>
        <w:t xml:space="preserve"> a home care package before 1 September 2021. It shows how to calculate the Commonwealth portion and the care recipient portion of any unspent home care funds that were held by an approved provider on behalf of a care recipient as </w:t>
      </w:r>
      <w:proofErr w:type="gramStart"/>
      <w:r>
        <w:t>at</w:t>
      </w:r>
      <w:proofErr w:type="gramEnd"/>
      <w:r>
        <w:t xml:space="preserve"> </w:t>
      </w:r>
      <w:r w:rsidRPr="00F65E54">
        <w:t>31 August 2021</w:t>
      </w:r>
      <w:r>
        <w:t xml:space="preserve"> (the last day before the Improved Payment Arrangements Phase 2 began on 1 September 2021).</w:t>
      </w:r>
    </w:p>
    <w:p w14:paraId="33DAF01D" w14:textId="77777777" w:rsidR="00E0031B" w:rsidRDefault="005E62D7" w:rsidP="00AD55C1">
      <w:r>
        <w:t xml:space="preserve">The example is based on the percentage of the unspent funds held by the provider that have come from </w:t>
      </w:r>
      <w:r>
        <w:rPr>
          <w:rFonts w:asciiTheme="minorHAnsi" w:hAnsiTheme="minorHAnsi" w:cstheme="minorHAnsi"/>
        </w:rPr>
        <w:t xml:space="preserve">Government </w:t>
      </w:r>
      <w:r>
        <w:t>subsidies and supplements as opposed to fees from the care recipient.</w:t>
      </w:r>
      <w:r w:rsidRPr="00ED7442">
        <w:t xml:space="preserve"> </w:t>
      </w:r>
    </w:p>
    <w:p w14:paraId="30E3710B" w14:textId="4EB293BF" w:rsidR="005E62D7" w:rsidRDefault="005E62D7" w:rsidP="00AD55C1">
      <w:r>
        <w:t xml:space="preserve">The purpose of calculating these unspent fund portions as </w:t>
      </w:r>
      <w:proofErr w:type="gramStart"/>
      <w:r>
        <w:t>at</w:t>
      </w:r>
      <w:proofErr w:type="gramEnd"/>
      <w:r>
        <w:t xml:space="preserve"> 31 August 2021, is to set a baseline for the </w:t>
      </w:r>
      <w:r>
        <w:rPr>
          <w:rFonts w:asciiTheme="minorHAnsi" w:hAnsiTheme="minorHAnsi" w:cstheme="minorHAnsi"/>
        </w:rPr>
        <w:t xml:space="preserve">Commonwealth </w:t>
      </w:r>
      <w:r>
        <w:t>and care recipient portions of unspent funds; to enable consistent reporting under the Improved Payment Arrangements; and to enable providers to report the Commonwealth portion of those unspent funds to Services Australia.</w:t>
      </w:r>
    </w:p>
    <w:p w14:paraId="20747B61" w14:textId="560BD230" w:rsidR="005E62D7" w:rsidRDefault="005E62D7" w:rsidP="00AD55C1">
      <w:r>
        <w:rPr>
          <w:rFonts w:asciiTheme="minorHAnsi" w:hAnsiTheme="minorHAnsi" w:cstheme="minorHAnsi"/>
        </w:rPr>
        <w:t>Providers will need to r</w:t>
      </w:r>
      <w:r>
        <w:t>econcile the Commonwealth portion of unspent funds they are currently holding for each care recipient to support meeting the 31 December 2021 deadline for reporting. The amount that should be reported is the Commonwealth portion of unspent funds held for each care recipient at the end of the previous claim month.</w:t>
      </w:r>
    </w:p>
    <w:p w14:paraId="2FADFD8C" w14:textId="6830A286" w:rsidR="005E62D7" w:rsidRDefault="005E62D7" w:rsidP="00AD55C1">
      <w:pPr>
        <w:pStyle w:val="Heading2"/>
      </w:pPr>
      <w:r w:rsidRPr="00110BFF">
        <w:t>Cecilia has received care from a home care package provider for 2 years</w:t>
      </w:r>
    </w:p>
    <w:tbl>
      <w:tblPr>
        <w:tblStyle w:val="TableGrid"/>
        <w:tblW w:w="5000" w:type="pct"/>
        <w:jc w:val="center"/>
        <w:tblLook w:val="04A0" w:firstRow="1" w:lastRow="0" w:firstColumn="1" w:lastColumn="0" w:noHBand="0" w:noVBand="1"/>
        <w:tblCaption w:val="Description of unspent funds portions"/>
        <w:tblDescription w:val="This table explains what must be included in the Commonwealth portion and the care recipient poriton of unspent funds"/>
      </w:tblPr>
      <w:tblGrid>
        <w:gridCol w:w="8090"/>
        <w:gridCol w:w="2104"/>
      </w:tblGrid>
      <w:tr w:rsidR="005E62D7" w:rsidRPr="00D81E44" w14:paraId="2B1099EC" w14:textId="77777777" w:rsidTr="00AD55C1">
        <w:trPr>
          <w:jc w:val="center"/>
        </w:trPr>
        <w:tc>
          <w:tcPr>
            <w:tcW w:w="3968" w:type="pct"/>
          </w:tcPr>
          <w:p w14:paraId="40E4BE5F" w14:textId="7427FEB1" w:rsidR="005E62D7" w:rsidRPr="00E0031B" w:rsidRDefault="005E62D7" w:rsidP="00E0031B">
            <w:pPr>
              <w:spacing w:before="0"/>
              <w:rPr>
                <w:rStyle w:val="IntenseEmphasis"/>
                <w:sz w:val="22"/>
              </w:rPr>
            </w:pPr>
            <w:r w:rsidRPr="00E0031B">
              <w:rPr>
                <w:rStyle w:val="IntenseEmphasis"/>
                <w:sz w:val="22"/>
              </w:rPr>
              <w:t>Commonwealth portion:</w:t>
            </w:r>
          </w:p>
          <w:p w14:paraId="22682C8A" w14:textId="77777777" w:rsidR="005E62D7" w:rsidRPr="00E0031B" w:rsidRDefault="005E62D7" w:rsidP="00E0031B">
            <w:pPr>
              <w:spacing w:before="0"/>
            </w:pPr>
            <w:r w:rsidRPr="00E0031B">
              <w:t>Total Commonwealth subsidies and supplements received for this care recipient, from 1 July 2015 or when the care recipient started receiving home care from you (whichever is later) until the end of 31 August 2021</w:t>
            </w:r>
          </w:p>
        </w:tc>
        <w:tc>
          <w:tcPr>
            <w:tcW w:w="1032" w:type="pct"/>
            <w:vAlign w:val="center"/>
          </w:tcPr>
          <w:p w14:paraId="11815E70" w14:textId="77777777" w:rsidR="005E62D7" w:rsidRPr="00E0031B" w:rsidRDefault="005E62D7" w:rsidP="00E0031B">
            <w:pPr>
              <w:spacing w:before="0"/>
              <w:jc w:val="center"/>
              <w:rPr>
                <w:rStyle w:val="IntenseEmphasis"/>
                <w:sz w:val="22"/>
              </w:rPr>
            </w:pPr>
            <w:r w:rsidRPr="00E0031B">
              <w:rPr>
                <w:rStyle w:val="IntenseEmphasis"/>
                <w:sz w:val="22"/>
              </w:rPr>
              <w:t>$15,000</w:t>
            </w:r>
          </w:p>
        </w:tc>
      </w:tr>
      <w:tr w:rsidR="005E62D7" w:rsidRPr="00D81E44" w14:paraId="6B4B0E65" w14:textId="77777777" w:rsidTr="00AD55C1">
        <w:trPr>
          <w:jc w:val="center"/>
        </w:trPr>
        <w:tc>
          <w:tcPr>
            <w:tcW w:w="3968" w:type="pct"/>
          </w:tcPr>
          <w:p w14:paraId="36EDC528" w14:textId="3D62C65C" w:rsidR="005E62D7" w:rsidRPr="00E0031B" w:rsidRDefault="005E62D7" w:rsidP="00E0031B">
            <w:pPr>
              <w:spacing w:before="0"/>
              <w:rPr>
                <w:rStyle w:val="IntenseEmphasis"/>
                <w:sz w:val="22"/>
              </w:rPr>
            </w:pPr>
            <w:r w:rsidRPr="00E0031B">
              <w:rPr>
                <w:rStyle w:val="IntenseEmphasis"/>
                <w:sz w:val="22"/>
              </w:rPr>
              <w:t>Care recipient portion:</w:t>
            </w:r>
          </w:p>
          <w:p w14:paraId="5AB161E0" w14:textId="77777777" w:rsidR="005E62D7" w:rsidRPr="00E0031B" w:rsidRDefault="005E62D7" w:rsidP="00E0031B">
            <w:pPr>
              <w:spacing w:before="0"/>
            </w:pPr>
            <w:r w:rsidRPr="00E0031B">
              <w:t>Total care recipient fees received from the care recipient, from 1 July 2015 or when the care recipient started receiving home care from you (whichever is later) until the end of 31 August 2021</w:t>
            </w:r>
          </w:p>
        </w:tc>
        <w:tc>
          <w:tcPr>
            <w:tcW w:w="1032" w:type="pct"/>
            <w:vAlign w:val="center"/>
          </w:tcPr>
          <w:p w14:paraId="6204C01D" w14:textId="77777777" w:rsidR="005E62D7" w:rsidRPr="00E0031B" w:rsidRDefault="005E62D7" w:rsidP="00E0031B">
            <w:pPr>
              <w:spacing w:before="0"/>
              <w:jc w:val="center"/>
              <w:rPr>
                <w:rStyle w:val="IntenseEmphasis"/>
                <w:sz w:val="22"/>
              </w:rPr>
            </w:pPr>
            <w:r w:rsidRPr="00E0031B">
              <w:rPr>
                <w:rStyle w:val="IntenseEmphasis"/>
                <w:sz w:val="22"/>
              </w:rPr>
              <w:t>$5,000</w:t>
            </w:r>
          </w:p>
        </w:tc>
      </w:tr>
      <w:tr w:rsidR="005E62D7" w:rsidRPr="00D81E44" w14:paraId="129C2350" w14:textId="77777777" w:rsidTr="00E0031B">
        <w:trPr>
          <w:trHeight w:val="531"/>
          <w:jc w:val="center"/>
        </w:trPr>
        <w:tc>
          <w:tcPr>
            <w:tcW w:w="3968" w:type="pct"/>
          </w:tcPr>
          <w:p w14:paraId="39742E2E" w14:textId="40330432" w:rsidR="005E62D7" w:rsidRPr="00E0031B" w:rsidRDefault="005E62D7" w:rsidP="00E0031B">
            <w:pPr>
              <w:spacing w:before="0"/>
              <w:rPr>
                <w:rStyle w:val="IntenseEmphasis"/>
                <w:sz w:val="22"/>
              </w:rPr>
            </w:pPr>
            <w:r w:rsidRPr="00E0031B">
              <w:rPr>
                <w:rStyle w:val="IntenseEmphasis"/>
                <w:sz w:val="22"/>
              </w:rPr>
              <w:t>Total accumulated funds:</w:t>
            </w:r>
          </w:p>
        </w:tc>
        <w:tc>
          <w:tcPr>
            <w:tcW w:w="1032" w:type="pct"/>
            <w:vAlign w:val="center"/>
          </w:tcPr>
          <w:p w14:paraId="391C6D5C" w14:textId="77777777" w:rsidR="005E62D7" w:rsidRPr="00E0031B" w:rsidRDefault="005E62D7" w:rsidP="00E0031B">
            <w:pPr>
              <w:spacing w:before="0"/>
              <w:jc w:val="center"/>
              <w:rPr>
                <w:rStyle w:val="IntenseEmphasis"/>
                <w:sz w:val="22"/>
              </w:rPr>
            </w:pPr>
            <w:r w:rsidRPr="00E0031B">
              <w:rPr>
                <w:rStyle w:val="IntenseEmphasis"/>
                <w:sz w:val="22"/>
              </w:rPr>
              <w:t>$20,000</w:t>
            </w:r>
          </w:p>
        </w:tc>
      </w:tr>
    </w:tbl>
    <w:p w14:paraId="0B037315" w14:textId="713A4753" w:rsidR="005E62D7" w:rsidRPr="00867EA0" w:rsidRDefault="005E62D7" w:rsidP="00AD55C1">
      <w:pPr>
        <w:rPr>
          <w:color w:val="000000" w:themeColor="text1"/>
          <w:kern w:val="24"/>
        </w:rPr>
      </w:pPr>
      <w:r w:rsidRPr="00E0031B">
        <w:rPr>
          <w:b/>
          <w:bCs/>
        </w:rPr>
        <w:t>Transfer portion note</w:t>
      </w:r>
      <w:r w:rsidR="00E0031B">
        <w:t>:</w:t>
      </w:r>
      <w:r w:rsidRPr="00867EA0">
        <w:t xml:space="preserve"> if a care recipient has moved from one provider to another: </w:t>
      </w:r>
    </w:p>
    <w:p w14:paraId="1E6296E4" w14:textId="77777777" w:rsidR="005E62D7" w:rsidRPr="00224F2E" w:rsidRDefault="005E62D7" w:rsidP="00AD55C1">
      <w:pPr>
        <w:pStyle w:val="ListBullet"/>
      </w:pPr>
      <w:r w:rsidRPr="00224F2E">
        <w:t xml:space="preserve">The Commonwealth portion of any amount paid to the provider by another provider (the transfer portion) must be included in the Commonwealth contribution above. </w:t>
      </w:r>
    </w:p>
    <w:p w14:paraId="47436D63" w14:textId="77777777" w:rsidR="005E62D7" w:rsidRPr="00224F2E" w:rsidRDefault="005E62D7" w:rsidP="00AD55C1">
      <w:pPr>
        <w:pStyle w:val="ListBullet"/>
      </w:pPr>
      <w:r w:rsidRPr="00224F2E">
        <w:t>The care recipient portion of any amount paid to the provider another provider (the transfer portion) must be included in the care recipient contribution above.</w:t>
      </w:r>
    </w:p>
    <w:p w14:paraId="00C85087" w14:textId="6405B463" w:rsidR="005E62D7" w:rsidRPr="00110BFF" w:rsidRDefault="00E0031B" w:rsidP="00AD55C1">
      <w:r>
        <w:rPr>
          <w:b/>
          <w:bCs/>
        </w:rPr>
        <w:t xml:space="preserve">Step 1: </w:t>
      </w:r>
      <w:r w:rsidR="005E62D7" w:rsidRPr="00110BFF">
        <w:t xml:space="preserve">During this time, </w:t>
      </w:r>
      <w:r w:rsidR="00110BFF" w:rsidRPr="00110BFF">
        <w:t>Cecilia</w:t>
      </w:r>
      <w:r w:rsidR="005E62D7" w:rsidRPr="00110BFF">
        <w:t xml:space="preserve"> has received $18,000 worth of services</w:t>
      </w:r>
    </w:p>
    <w:tbl>
      <w:tblPr>
        <w:tblStyle w:val="TableGrid"/>
        <w:tblW w:w="5000" w:type="pct"/>
        <w:jc w:val="center"/>
        <w:tblLook w:val="04A0" w:firstRow="1" w:lastRow="0" w:firstColumn="1" w:lastColumn="0" w:noHBand="0" w:noVBand="1"/>
        <w:tblCaption w:val="Total Unspent Funds Amount"/>
        <w:tblDescription w:val="This table shows the total accumulated funds and the total unspent funds amount "/>
      </w:tblPr>
      <w:tblGrid>
        <w:gridCol w:w="8084"/>
        <w:gridCol w:w="2110"/>
      </w:tblGrid>
      <w:tr w:rsidR="005E62D7" w:rsidRPr="00D81E44" w14:paraId="36A00D42" w14:textId="77777777" w:rsidTr="00E0031B">
        <w:trPr>
          <w:trHeight w:val="681"/>
          <w:jc w:val="center"/>
        </w:trPr>
        <w:tc>
          <w:tcPr>
            <w:tcW w:w="3965" w:type="pct"/>
          </w:tcPr>
          <w:p w14:paraId="7D16554F" w14:textId="77777777" w:rsidR="00E0031B" w:rsidRPr="00E0031B" w:rsidRDefault="005E62D7" w:rsidP="00E0031B">
            <w:pPr>
              <w:spacing w:before="0" w:after="0"/>
              <w:rPr>
                <w:rStyle w:val="IntenseEmphasis"/>
                <w:sz w:val="22"/>
                <w:szCs w:val="20"/>
              </w:rPr>
            </w:pPr>
            <w:r w:rsidRPr="00E0031B">
              <w:rPr>
                <w:rStyle w:val="IntenseEmphasis"/>
                <w:sz w:val="22"/>
                <w:szCs w:val="20"/>
              </w:rPr>
              <w:t xml:space="preserve">Total accumulated: </w:t>
            </w:r>
          </w:p>
          <w:p w14:paraId="06DC675C" w14:textId="0BDECACA" w:rsidR="005E62D7" w:rsidRPr="00E0031B" w:rsidRDefault="005E62D7" w:rsidP="00E0031B">
            <w:pPr>
              <w:spacing w:before="0" w:after="0"/>
              <w:rPr>
                <w:rStyle w:val="IntenseEmphasis"/>
                <w:sz w:val="22"/>
                <w:szCs w:val="20"/>
              </w:rPr>
            </w:pPr>
            <w:r w:rsidRPr="00E0031B">
              <w:rPr>
                <w:rStyle w:val="IntenseEmphasis"/>
                <w:sz w:val="22"/>
                <w:szCs w:val="20"/>
              </w:rPr>
              <w:t>- Total debits:</w:t>
            </w:r>
          </w:p>
        </w:tc>
        <w:tc>
          <w:tcPr>
            <w:tcW w:w="1035" w:type="pct"/>
          </w:tcPr>
          <w:p w14:paraId="5075E802" w14:textId="77777777" w:rsidR="005E62D7" w:rsidRPr="00E0031B" w:rsidRDefault="005E62D7" w:rsidP="00E0031B">
            <w:pPr>
              <w:spacing w:before="0" w:after="0"/>
              <w:rPr>
                <w:rStyle w:val="IntenseEmphasis"/>
                <w:sz w:val="22"/>
                <w:szCs w:val="20"/>
              </w:rPr>
            </w:pPr>
            <w:r w:rsidRPr="00E0031B">
              <w:rPr>
                <w:rStyle w:val="IntenseEmphasis"/>
                <w:sz w:val="22"/>
                <w:szCs w:val="20"/>
              </w:rPr>
              <w:t>$20,000</w:t>
            </w:r>
          </w:p>
          <w:p w14:paraId="56528408" w14:textId="77777777" w:rsidR="005E62D7" w:rsidRPr="00E0031B" w:rsidRDefault="005E62D7" w:rsidP="00E0031B">
            <w:pPr>
              <w:spacing w:before="0" w:after="0"/>
              <w:rPr>
                <w:rStyle w:val="IntenseEmphasis"/>
                <w:sz w:val="22"/>
                <w:szCs w:val="20"/>
              </w:rPr>
            </w:pPr>
            <w:r w:rsidRPr="00E0031B">
              <w:rPr>
                <w:rStyle w:val="IntenseEmphasis"/>
                <w:sz w:val="22"/>
                <w:szCs w:val="20"/>
              </w:rPr>
              <w:t>$18,000</w:t>
            </w:r>
          </w:p>
        </w:tc>
      </w:tr>
      <w:tr w:rsidR="005E62D7" w:rsidRPr="00D81E44" w14:paraId="2017C932" w14:textId="77777777" w:rsidTr="00E0031B">
        <w:trPr>
          <w:trHeight w:val="563"/>
          <w:jc w:val="center"/>
        </w:trPr>
        <w:tc>
          <w:tcPr>
            <w:tcW w:w="3965" w:type="pct"/>
            <w:vAlign w:val="center"/>
          </w:tcPr>
          <w:p w14:paraId="35297B76" w14:textId="77777777" w:rsidR="005E62D7" w:rsidRPr="00E0031B" w:rsidRDefault="005E62D7" w:rsidP="00E0031B">
            <w:pPr>
              <w:spacing w:before="0" w:after="0"/>
              <w:rPr>
                <w:rStyle w:val="IntenseEmphasis"/>
                <w:sz w:val="22"/>
                <w:szCs w:val="20"/>
              </w:rPr>
            </w:pPr>
            <w:r w:rsidRPr="00E0031B">
              <w:rPr>
                <w:rStyle w:val="IntenseEmphasis"/>
                <w:sz w:val="22"/>
                <w:szCs w:val="20"/>
              </w:rPr>
              <w:t>Total unspent funds amount:</w:t>
            </w:r>
          </w:p>
        </w:tc>
        <w:tc>
          <w:tcPr>
            <w:tcW w:w="1035" w:type="pct"/>
            <w:vAlign w:val="center"/>
          </w:tcPr>
          <w:p w14:paraId="13723995" w14:textId="77777777" w:rsidR="005E62D7" w:rsidRPr="00E0031B" w:rsidRDefault="005E62D7" w:rsidP="00E0031B">
            <w:pPr>
              <w:spacing w:before="0" w:after="0"/>
              <w:rPr>
                <w:rStyle w:val="IntenseEmphasis"/>
                <w:sz w:val="22"/>
                <w:szCs w:val="20"/>
              </w:rPr>
            </w:pPr>
            <w:r w:rsidRPr="00E0031B">
              <w:rPr>
                <w:rStyle w:val="IntenseEmphasis"/>
                <w:sz w:val="22"/>
                <w:szCs w:val="20"/>
              </w:rPr>
              <w:t>$2,000</w:t>
            </w:r>
          </w:p>
        </w:tc>
      </w:tr>
    </w:tbl>
    <w:p w14:paraId="63D2A4B1" w14:textId="77004A84" w:rsidR="005E62D7" w:rsidRDefault="00E0031B" w:rsidP="00AD55C1">
      <w:r>
        <w:rPr>
          <w:b/>
          <w:bCs/>
        </w:rPr>
        <w:t xml:space="preserve">Step 2: </w:t>
      </w:r>
      <w:r w:rsidR="005E62D7">
        <w:t>T</w:t>
      </w:r>
      <w:r w:rsidR="005E62D7" w:rsidRPr="00867EA0">
        <w:t xml:space="preserve">he provider will need to calculate what proportion of </w:t>
      </w:r>
      <w:r w:rsidR="005E62D7">
        <w:t>Cecilia</w:t>
      </w:r>
      <w:r w:rsidR="005E62D7" w:rsidRPr="00867EA0">
        <w:t xml:space="preserve">’s total home care package budget came from the Commonwealth and </w:t>
      </w:r>
      <w:r w:rsidR="005E62D7">
        <w:t xml:space="preserve">what proportion </w:t>
      </w:r>
      <w:r w:rsidR="005E62D7" w:rsidRPr="00867EA0">
        <w:t>from care recipient fees, as set out below</w:t>
      </w:r>
      <w:r w:rsidR="005E62D7">
        <w:t xml:space="preserve">, if she is: </w:t>
      </w:r>
    </w:p>
    <w:p w14:paraId="2304FC3C" w14:textId="45D4C02A" w:rsidR="005E62D7" w:rsidRDefault="005E62D7" w:rsidP="00AD55C1">
      <w:pPr>
        <w:pStyle w:val="ListBullet"/>
      </w:pPr>
      <w:r w:rsidRPr="00867EA0">
        <w:t>moving to a new home care package provider</w:t>
      </w:r>
      <w:r>
        <w:t>,</w:t>
      </w:r>
      <w:r w:rsidR="00B46904">
        <w:t xml:space="preserve"> or</w:t>
      </w:r>
    </w:p>
    <w:p w14:paraId="114D4CC9" w14:textId="7871BBC6" w:rsidR="005E62D7" w:rsidRDefault="005E62D7" w:rsidP="00AD55C1">
      <w:pPr>
        <w:pStyle w:val="ListBullet"/>
      </w:pPr>
      <w:r w:rsidRPr="00867EA0">
        <w:t>exiting the home care packages program</w:t>
      </w:r>
      <w:r>
        <w:t>,</w:t>
      </w:r>
      <w:r w:rsidR="00B46904">
        <w:t xml:space="preserve"> or</w:t>
      </w:r>
    </w:p>
    <w:p w14:paraId="0BBC4B62" w14:textId="276148F3" w:rsidR="00E0031B" w:rsidRDefault="005E62D7" w:rsidP="00E0031B">
      <w:pPr>
        <w:pStyle w:val="ListBullet"/>
      </w:pPr>
      <w:r w:rsidRPr="00867EA0">
        <w:t xml:space="preserve">the provider is preparing to report </w:t>
      </w:r>
      <w:r>
        <w:t>Cecilia</w:t>
      </w:r>
      <w:r w:rsidRPr="00867EA0">
        <w:t>’s Commonwealth portion of unspent funds to Services Australia under IPA Phase 2 requirements.</w:t>
      </w:r>
    </w:p>
    <w:tbl>
      <w:tblPr>
        <w:tblStyle w:val="TableGrid"/>
        <w:tblW w:w="5000" w:type="pct"/>
        <w:jc w:val="center"/>
        <w:tblLook w:val="04A0" w:firstRow="1" w:lastRow="0" w:firstColumn="1" w:lastColumn="0" w:noHBand="0" w:noVBand="1"/>
        <w:tblCaption w:val="Proportion of unspent funds"/>
        <w:tblDescription w:val="This table shows the percentage proportion of unspent funds"/>
      </w:tblPr>
      <w:tblGrid>
        <w:gridCol w:w="5070"/>
        <w:gridCol w:w="5124"/>
      </w:tblGrid>
      <w:tr w:rsidR="005E62D7" w14:paraId="77F4F7F0" w14:textId="77777777" w:rsidTr="00E0031B">
        <w:trPr>
          <w:trHeight w:val="539"/>
          <w:jc w:val="center"/>
        </w:trPr>
        <w:tc>
          <w:tcPr>
            <w:tcW w:w="5000" w:type="pct"/>
            <w:gridSpan w:val="2"/>
            <w:vAlign w:val="center"/>
          </w:tcPr>
          <w:p w14:paraId="31DFF634" w14:textId="77777777" w:rsidR="005E62D7" w:rsidRPr="00E0031B" w:rsidRDefault="005E62D7" w:rsidP="00E0031B">
            <w:pPr>
              <w:spacing w:before="0" w:after="0"/>
              <w:jc w:val="center"/>
              <w:rPr>
                <w:rStyle w:val="IntenseEmphasis"/>
                <w:sz w:val="22"/>
                <w:szCs w:val="20"/>
              </w:rPr>
            </w:pPr>
            <w:r w:rsidRPr="00E0031B">
              <w:rPr>
                <w:rStyle w:val="IntenseEmphasis"/>
                <w:sz w:val="22"/>
                <w:szCs w:val="20"/>
              </w:rPr>
              <w:t>Total accumulated funds: $20,000</w:t>
            </w:r>
          </w:p>
        </w:tc>
      </w:tr>
      <w:tr w:rsidR="005E62D7" w14:paraId="7C5DCE00" w14:textId="77777777" w:rsidTr="00E0031B">
        <w:trPr>
          <w:trHeight w:val="831"/>
          <w:jc w:val="center"/>
        </w:trPr>
        <w:tc>
          <w:tcPr>
            <w:tcW w:w="2487" w:type="pct"/>
            <w:vAlign w:val="center"/>
          </w:tcPr>
          <w:p w14:paraId="0BD8A43B" w14:textId="77777777" w:rsidR="005E62D7" w:rsidRPr="00E0031B" w:rsidRDefault="005E62D7" w:rsidP="00E0031B">
            <w:pPr>
              <w:spacing w:before="0" w:after="0"/>
              <w:jc w:val="center"/>
              <w:rPr>
                <w:rStyle w:val="IntenseEmphasis"/>
                <w:sz w:val="22"/>
                <w:szCs w:val="20"/>
              </w:rPr>
            </w:pPr>
            <w:r w:rsidRPr="00E0031B">
              <w:rPr>
                <w:rStyle w:val="IntenseEmphasis"/>
                <w:sz w:val="22"/>
                <w:szCs w:val="20"/>
              </w:rPr>
              <w:t>Commonwealth portion: $15,000/$20,000</w:t>
            </w:r>
          </w:p>
          <w:p w14:paraId="11213098" w14:textId="77777777" w:rsidR="005E62D7" w:rsidRPr="00E0031B" w:rsidRDefault="005E62D7" w:rsidP="00E0031B">
            <w:pPr>
              <w:spacing w:before="0" w:after="0"/>
              <w:jc w:val="center"/>
              <w:rPr>
                <w:rStyle w:val="IntenseEmphasis"/>
                <w:sz w:val="22"/>
                <w:szCs w:val="20"/>
              </w:rPr>
            </w:pPr>
            <w:r w:rsidRPr="00E0031B">
              <w:rPr>
                <w:rStyle w:val="IntenseEmphasis"/>
                <w:sz w:val="22"/>
                <w:szCs w:val="20"/>
              </w:rPr>
              <w:t>= 75%</w:t>
            </w:r>
          </w:p>
        </w:tc>
        <w:tc>
          <w:tcPr>
            <w:tcW w:w="2513" w:type="pct"/>
            <w:vAlign w:val="center"/>
          </w:tcPr>
          <w:p w14:paraId="415203CC" w14:textId="12F42C6D" w:rsidR="005E62D7" w:rsidRPr="00E0031B" w:rsidRDefault="005E62D7" w:rsidP="00E0031B">
            <w:pPr>
              <w:spacing w:before="0" w:after="0"/>
              <w:jc w:val="center"/>
              <w:rPr>
                <w:rStyle w:val="IntenseEmphasis"/>
                <w:sz w:val="22"/>
                <w:szCs w:val="20"/>
              </w:rPr>
            </w:pPr>
            <w:r w:rsidRPr="00E0031B">
              <w:rPr>
                <w:rStyle w:val="IntenseEmphasis"/>
                <w:sz w:val="22"/>
                <w:szCs w:val="20"/>
              </w:rPr>
              <w:t>Care recipient portion: $5,000/$20,000</w:t>
            </w:r>
          </w:p>
          <w:p w14:paraId="02687504" w14:textId="77777777" w:rsidR="005E62D7" w:rsidRPr="00E0031B" w:rsidRDefault="005E62D7" w:rsidP="00E0031B">
            <w:pPr>
              <w:spacing w:before="0" w:after="0"/>
              <w:jc w:val="center"/>
              <w:rPr>
                <w:rStyle w:val="IntenseEmphasis"/>
                <w:sz w:val="22"/>
                <w:szCs w:val="20"/>
              </w:rPr>
            </w:pPr>
            <w:r w:rsidRPr="00E0031B">
              <w:rPr>
                <w:rStyle w:val="IntenseEmphasis"/>
                <w:sz w:val="22"/>
                <w:szCs w:val="20"/>
              </w:rPr>
              <w:t>= 25%</w:t>
            </w:r>
          </w:p>
        </w:tc>
      </w:tr>
    </w:tbl>
    <w:p w14:paraId="35B4D502" w14:textId="621643A9" w:rsidR="005E62D7" w:rsidRPr="00867EA0" w:rsidRDefault="00E0031B" w:rsidP="00E0031B">
      <w:pPr>
        <w:spacing w:before="0" w:after="160" w:line="259" w:lineRule="auto"/>
        <w:rPr>
          <w:rFonts w:asciiTheme="minorHAnsi" w:hAnsiTheme="minorHAnsi" w:cstheme="minorHAnsi"/>
          <w:color w:val="000000" w:themeColor="text1"/>
          <w:kern w:val="24"/>
        </w:rPr>
      </w:pPr>
      <w:r>
        <w:rPr>
          <w:rFonts w:asciiTheme="minorHAnsi" w:hAnsiTheme="minorHAnsi" w:cstheme="minorHAnsi"/>
          <w:color w:val="000000" w:themeColor="text1"/>
          <w:kern w:val="24"/>
        </w:rPr>
        <w:br w:type="page"/>
      </w:r>
      <w:r w:rsidRPr="00E0031B">
        <w:rPr>
          <w:rFonts w:asciiTheme="minorHAnsi" w:hAnsiTheme="minorHAnsi" w:cstheme="minorHAnsi"/>
          <w:b/>
          <w:bCs/>
          <w:color w:val="000000" w:themeColor="text1"/>
          <w:kern w:val="24"/>
        </w:rPr>
        <w:lastRenderedPageBreak/>
        <w:t xml:space="preserve">Step 3: </w:t>
      </w:r>
      <w:r w:rsidR="005E62D7">
        <w:rPr>
          <w:rFonts w:asciiTheme="minorHAnsi" w:hAnsiTheme="minorHAnsi" w:cstheme="minorHAnsi"/>
          <w:color w:val="000000" w:themeColor="text1"/>
          <w:kern w:val="24"/>
        </w:rPr>
        <w:t>The provider will t</w:t>
      </w:r>
      <w:r w:rsidR="005E62D7" w:rsidRPr="00867EA0">
        <w:rPr>
          <w:rFonts w:asciiTheme="minorHAnsi" w:hAnsiTheme="minorHAnsi" w:cstheme="minorHAnsi"/>
          <w:color w:val="000000" w:themeColor="text1"/>
          <w:kern w:val="24"/>
        </w:rPr>
        <w:t>hen apply these proportions to the unspent funds amount</w:t>
      </w:r>
      <w:r w:rsidR="005E62D7">
        <w:rPr>
          <w:rFonts w:asciiTheme="minorHAnsi" w:hAnsiTheme="minorHAnsi" w:cstheme="minorHAnsi"/>
          <w:color w:val="000000" w:themeColor="text1"/>
          <w:kern w:val="24"/>
        </w:rPr>
        <w:t>, as set out below:</w:t>
      </w:r>
    </w:p>
    <w:tbl>
      <w:tblPr>
        <w:tblStyle w:val="TableGrid"/>
        <w:tblW w:w="5000" w:type="pct"/>
        <w:jc w:val="center"/>
        <w:tblLook w:val="04A0" w:firstRow="1" w:lastRow="0" w:firstColumn="1" w:lastColumn="0" w:noHBand="0" w:noVBand="1"/>
        <w:tblCaption w:val="Unspent proportion in dollar amounts"/>
        <w:tblDescription w:val="This table shows the unspent proportion in dollar amounts"/>
      </w:tblPr>
      <w:tblGrid>
        <w:gridCol w:w="5070"/>
        <w:gridCol w:w="5124"/>
      </w:tblGrid>
      <w:tr w:rsidR="005E62D7" w14:paraId="76CCF9BF" w14:textId="77777777" w:rsidTr="00E0031B">
        <w:trPr>
          <w:trHeight w:val="384"/>
          <w:jc w:val="center"/>
        </w:trPr>
        <w:tc>
          <w:tcPr>
            <w:tcW w:w="5000" w:type="pct"/>
            <w:gridSpan w:val="2"/>
            <w:vAlign w:val="center"/>
          </w:tcPr>
          <w:p w14:paraId="755C73A2" w14:textId="77777777" w:rsidR="005E62D7" w:rsidRPr="00E0031B" w:rsidRDefault="005E62D7" w:rsidP="00110BFF">
            <w:pPr>
              <w:jc w:val="center"/>
              <w:rPr>
                <w:rStyle w:val="IntenseEmphasis"/>
                <w:sz w:val="22"/>
                <w:szCs w:val="20"/>
              </w:rPr>
            </w:pPr>
            <w:r w:rsidRPr="00E0031B">
              <w:rPr>
                <w:rStyle w:val="IntenseEmphasis"/>
                <w:sz w:val="22"/>
                <w:szCs w:val="20"/>
              </w:rPr>
              <w:t>Unspent funds amount: $20,000</w:t>
            </w:r>
          </w:p>
        </w:tc>
      </w:tr>
      <w:tr w:rsidR="005E62D7" w14:paraId="6A13BC85" w14:textId="77777777" w:rsidTr="00E0031B">
        <w:trPr>
          <w:trHeight w:val="717"/>
          <w:jc w:val="center"/>
        </w:trPr>
        <w:tc>
          <w:tcPr>
            <w:tcW w:w="2487" w:type="pct"/>
            <w:vAlign w:val="center"/>
          </w:tcPr>
          <w:p w14:paraId="309603CE" w14:textId="458B7AD6" w:rsidR="005E62D7" w:rsidRPr="00E0031B" w:rsidRDefault="005E62D7" w:rsidP="00110BFF">
            <w:pPr>
              <w:jc w:val="center"/>
              <w:rPr>
                <w:rStyle w:val="IntenseEmphasis"/>
                <w:sz w:val="22"/>
                <w:szCs w:val="20"/>
              </w:rPr>
            </w:pPr>
            <w:r w:rsidRPr="00E0031B">
              <w:rPr>
                <w:rStyle w:val="IntenseEmphasis"/>
                <w:sz w:val="22"/>
                <w:szCs w:val="20"/>
              </w:rPr>
              <w:t>Commonwealth portion: 75% of $2,000</w:t>
            </w:r>
          </w:p>
          <w:p w14:paraId="061CD393" w14:textId="77777777" w:rsidR="005E62D7" w:rsidRPr="00E0031B" w:rsidRDefault="005E62D7" w:rsidP="00110BFF">
            <w:pPr>
              <w:jc w:val="center"/>
              <w:rPr>
                <w:rFonts w:ascii="Calibri Light" w:hAnsi="Calibri Light" w:cs="Calibri Light"/>
                <w:color w:val="1F3864" w:themeColor="accent1" w:themeShade="80"/>
                <w:szCs w:val="20"/>
              </w:rPr>
            </w:pPr>
            <w:r w:rsidRPr="00E0031B">
              <w:rPr>
                <w:rStyle w:val="IntenseEmphasis"/>
                <w:sz w:val="22"/>
                <w:szCs w:val="20"/>
              </w:rPr>
              <w:t>= $1,500</w:t>
            </w:r>
          </w:p>
        </w:tc>
        <w:tc>
          <w:tcPr>
            <w:tcW w:w="2513" w:type="pct"/>
            <w:vAlign w:val="center"/>
          </w:tcPr>
          <w:p w14:paraId="1AED6ACC" w14:textId="3C590C6B" w:rsidR="005E62D7" w:rsidRPr="00E0031B" w:rsidRDefault="005E62D7" w:rsidP="00110BFF">
            <w:pPr>
              <w:jc w:val="center"/>
              <w:rPr>
                <w:rStyle w:val="IntenseEmphasis"/>
                <w:sz w:val="22"/>
                <w:szCs w:val="20"/>
              </w:rPr>
            </w:pPr>
            <w:r w:rsidRPr="00E0031B">
              <w:rPr>
                <w:rStyle w:val="IntenseEmphasis"/>
                <w:sz w:val="22"/>
                <w:szCs w:val="20"/>
              </w:rPr>
              <w:t>Care recipient portion: 25% of $2,000</w:t>
            </w:r>
          </w:p>
          <w:p w14:paraId="2126D706" w14:textId="77777777" w:rsidR="005E62D7" w:rsidRPr="00E0031B" w:rsidRDefault="005E62D7" w:rsidP="00110BFF">
            <w:pPr>
              <w:jc w:val="center"/>
              <w:rPr>
                <w:rStyle w:val="IntenseEmphasis"/>
                <w:sz w:val="22"/>
                <w:szCs w:val="20"/>
              </w:rPr>
            </w:pPr>
            <w:r w:rsidRPr="00E0031B">
              <w:rPr>
                <w:rStyle w:val="IntenseEmphasis"/>
                <w:sz w:val="22"/>
                <w:szCs w:val="20"/>
              </w:rPr>
              <w:t>= $500</w:t>
            </w:r>
          </w:p>
        </w:tc>
      </w:tr>
    </w:tbl>
    <w:p w14:paraId="50DAC239" w14:textId="71089BE3" w:rsidR="0042023A" w:rsidRDefault="0042023A" w:rsidP="0042023A">
      <w:pPr>
        <w:pStyle w:val="Heading1"/>
      </w:pPr>
      <w:r w:rsidRPr="006A3134">
        <w:t>Returning unspent funds</w:t>
      </w:r>
      <w:r>
        <w:t xml:space="preserve"> </w:t>
      </w:r>
      <w:r w:rsidRPr="00110BFF">
        <w:rPr>
          <w:bCs/>
        </w:rPr>
        <w:t>before</w:t>
      </w:r>
      <w:r>
        <w:t xml:space="preserve"> 1 September 2021</w:t>
      </w:r>
    </w:p>
    <w:p w14:paraId="77E6DB4C" w14:textId="0BC03193" w:rsidR="005E62D7" w:rsidRPr="001E2F57" w:rsidRDefault="005E62D7" w:rsidP="00202E8D">
      <w:pPr>
        <w:pStyle w:val="Heading2"/>
      </w:pPr>
      <w:r w:rsidRPr="001E2F57">
        <w:t xml:space="preserve">If the care recipient </w:t>
      </w:r>
      <w:r w:rsidRPr="00202E8D">
        <w:t>transferred</w:t>
      </w:r>
      <w:r>
        <w:t xml:space="preserve"> t</w:t>
      </w:r>
      <w:r w:rsidRPr="001E2F57">
        <w:t xml:space="preserve">o a new </w:t>
      </w:r>
      <w:r>
        <w:t xml:space="preserve">home care </w:t>
      </w:r>
      <w:r w:rsidRPr="001E2F57">
        <w:t>service</w:t>
      </w:r>
      <w:r w:rsidR="00114EBC">
        <w:t xml:space="preserve"> </w:t>
      </w:r>
      <w:r w:rsidR="00114EBC" w:rsidRPr="00110BFF">
        <w:rPr>
          <w:b/>
          <w:bCs/>
        </w:rPr>
        <w:t>before</w:t>
      </w:r>
      <w:r w:rsidR="00114EBC">
        <w:t xml:space="preserve"> 1 September 2021</w:t>
      </w:r>
    </w:p>
    <w:tbl>
      <w:tblPr>
        <w:tblStyle w:val="GridTable1Light-Accent1"/>
        <w:tblW w:w="5000" w:type="pct"/>
        <w:tblLook w:val="04A0" w:firstRow="1" w:lastRow="0" w:firstColumn="1" w:lastColumn="0" w:noHBand="0" w:noVBand="1"/>
        <w:tblCaption w:val="Returning unspent funds when a care reciepient transfers to a new service"/>
        <w:tblDescription w:val="This table shows where the care recipient portion and Commonwealth portion of unspent funds should be returned when a care reciepient transfers to a new service"/>
      </w:tblPr>
      <w:tblGrid>
        <w:gridCol w:w="2472"/>
        <w:gridCol w:w="4225"/>
        <w:gridCol w:w="3497"/>
      </w:tblGrid>
      <w:tr w:rsidR="005E62D7" w:rsidRPr="00FA62CE" w14:paraId="2F9C46A2" w14:textId="77777777" w:rsidTr="00AD55C1">
        <w:trPr>
          <w:cnfStyle w:val="100000000000" w:firstRow="1" w:lastRow="0" w:firstColumn="0" w:lastColumn="0" w:oddVBand="0" w:evenVBand="0" w:oddHBand="0" w:evenHBand="0" w:firstRowFirstColumn="0" w:firstRowLastColumn="0" w:lastRowFirstColumn="0" w:lastRowLastColumn="0"/>
          <w:trHeight w:val="71"/>
          <w:tblHeader/>
        </w:trPr>
        <w:tc>
          <w:tcPr>
            <w:cnfStyle w:val="001000000000" w:firstRow="0" w:lastRow="0" w:firstColumn="1" w:lastColumn="0" w:oddVBand="0" w:evenVBand="0" w:oddHBand="0" w:evenHBand="0" w:firstRowFirstColumn="0" w:firstRowLastColumn="0" w:lastRowFirstColumn="0" w:lastRowLastColumn="0"/>
            <w:tcW w:w="1212" w:type="pct"/>
            <w:shd w:val="clear" w:color="auto" w:fill="D9E2F3" w:themeFill="accent1" w:themeFillTint="33"/>
            <w:vAlign w:val="center"/>
          </w:tcPr>
          <w:p w14:paraId="6E77E82B" w14:textId="77777777" w:rsidR="005E62D7" w:rsidRPr="00FA62CE" w:rsidRDefault="005E62D7" w:rsidP="00FA62CE">
            <w:r w:rsidRPr="00FA62CE">
              <w:t>Portion</w:t>
            </w:r>
          </w:p>
        </w:tc>
        <w:tc>
          <w:tcPr>
            <w:tcW w:w="2072" w:type="pct"/>
            <w:shd w:val="clear" w:color="auto" w:fill="D9E2F3" w:themeFill="accent1" w:themeFillTint="33"/>
            <w:vAlign w:val="center"/>
          </w:tcPr>
          <w:p w14:paraId="0912B9AD" w14:textId="77777777" w:rsidR="005E62D7" w:rsidRPr="00FA62CE" w:rsidRDefault="005E62D7" w:rsidP="00FA62CE">
            <w:pPr>
              <w:cnfStyle w:val="100000000000" w:firstRow="1" w:lastRow="0" w:firstColumn="0" w:lastColumn="0" w:oddVBand="0" w:evenVBand="0" w:oddHBand="0" w:evenHBand="0" w:firstRowFirstColumn="0" w:firstRowLastColumn="0" w:lastRowFirstColumn="0" w:lastRowLastColumn="0"/>
            </w:pPr>
            <w:r w:rsidRPr="00FA62CE">
              <w:t>Where to return?</w:t>
            </w:r>
          </w:p>
        </w:tc>
        <w:tc>
          <w:tcPr>
            <w:tcW w:w="1715" w:type="pct"/>
            <w:shd w:val="clear" w:color="auto" w:fill="D9E2F3" w:themeFill="accent1" w:themeFillTint="33"/>
            <w:vAlign w:val="center"/>
          </w:tcPr>
          <w:p w14:paraId="2E69E5A9" w14:textId="77777777" w:rsidR="005E62D7" w:rsidRPr="00FA62CE" w:rsidRDefault="005E62D7" w:rsidP="00FA62CE">
            <w:pPr>
              <w:cnfStyle w:val="100000000000" w:firstRow="1" w:lastRow="0" w:firstColumn="0" w:lastColumn="0" w:oddVBand="0" w:evenVBand="0" w:oddHBand="0" w:evenHBand="0" w:firstRowFirstColumn="0" w:firstRowLastColumn="0" w:lastRowFirstColumn="0" w:lastRowLastColumn="0"/>
            </w:pPr>
            <w:r w:rsidRPr="00FA62CE">
              <w:t>Timeframe to return</w:t>
            </w:r>
          </w:p>
        </w:tc>
      </w:tr>
      <w:tr w:rsidR="005E62D7" w:rsidRPr="009E6F63" w14:paraId="467E6086" w14:textId="77777777" w:rsidTr="00AD55C1">
        <w:trPr>
          <w:trHeight w:val="651"/>
        </w:trPr>
        <w:tc>
          <w:tcPr>
            <w:cnfStyle w:val="001000000000" w:firstRow="0" w:lastRow="0" w:firstColumn="1" w:lastColumn="0" w:oddVBand="0" w:evenVBand="0" w:oddHBand="0" w:evenHBand="0" w:firstRowFirstColumn="0" w:firstRowLastColumn="0" w:lastRowFirstColumn="0" w:lastRowLastColumn="0"/>
            <w:tcW w:w="1212" w:type="pct"/>
            <w:vAlign w:val="center"/>
          </w:tcPr>
          <w:p w14:paraId="194E7E36" w14:textId="77777777" w:rsidR="005E62D7" w:rsidRPr="00FA62CE" w:rsidRDefault="005E62D7" w:rsidP="00704AC1">
            <w:pPr>
              <w:pStyle w:val="Heading3"/>
              <w:keepNext w:val="0"/>
              <w:keepLines w:val="0"/>
              <w:outlineLvl w:val="2"/>
              <w:rPr>
                <w:rStyle w:val="IntenseEmphasis"/>
              </w:rPr>
            </w:pPr>
            <w:r w:rsidRPr="00FA62CE">
              <w:rPr>
                <w:rStyle w:val="IntenseEmphasis"/>
              </w:rPr>
              <w:t>Care recipient portion of unspent funds</w:t>
            </w:r>
          </w:p>
        </w:tc>
        <w:tc>
          <w:tcPr>
            <w:tcW w:w="2072" w:type="pct"/>
            <w:vAlign w:val="center"/>
          </w:tcPr>
          <w:p w14:paraId="734C8A6C" w14:textId="02E8754D" w:rsidR="005E62D7" w:rsidRPr="00B502E1" w:rsidRDefault="005E62D7" w:rsidP="00AD55C1">
            <w:pPr>
              <w:pStyle w:val="TableofAuthorities"/>
              <w:cnfStyle w:val="000000000000" w:firstRow="0" w:lastRow="0" w:firstColumn="0" w:lastColumn="0" w:oddVBand="0" w:evenVBand="0" w:oddHBand="0" w:evenHBand="0" w:firstRowFirstColumn="0" w:firstRowLastColumn="0" w:lastRowFirstColumn="0" w:lastRowLastColumn="0"/>
              <w:rPr>
                <w:highlight w:val="yellow"/>
              </w:rPr>
            </w:pPr>
            <w:r w:rsidRPr="00237B13">
              <w:t>The losing provider must transfer the care recipient portion to the gaining provider</w:t>
            </w:r>
            <w:r w:rsidR="006A01C6">
              <w:t>*</w:t>
            </w:r>
          </w:p>
        </w:tc>
        <w:tc>
          <w:tcPr>
            <w:tcW w:w="1715" w:type="pct"/>
            <w:vAlign w:val="center"/>
          </w:tcPr>
          <w:p w14:paraId="5A6742E6" w14:textId="77777777" w:rsidR="005E62D7" w:rsidRDefault="005E62D7" w:rsidP="00AD55C1">
            <w:pPr>
              <w:pStyle w:val="TableofAuthorities"/>
              <w:cnfStyle w:val="000000000000" w:firstRow="0" w:lastRow="0" w:firstColumn="0" w:lastColumn="0" w:oddVBand="0" w:evenVBand="0" w:oddHBand="0" w:evenHBand="0" w:firstRowFirstColumn="0" w:firstRowLastColumn="0" w:lastRowFirstColumn="0" w:lastRowLastColumn="0"/>
            </w:pPr>
            <w:r>
              <w:t xml:space="preserve">Up to </w:t>
            </w:r>
            <w:r w:rsidRPr="001E2F57">
              <w:t xml:space="preserve">70 </w:t>
            </w:r>
            <w:r>
              <w:t xml:space="preserve">calendar </w:t>
            </w:r>
            <w:r w:rsidRPr="001E2F57">
              <w:t xml:space="preserve">days after the </w:t>
            </w:r>
            <w:r>
              <w:t xml:space="preserve">departure from the losing provider </w:t>
            </w:r>
          </w:p>
        </w:tc>
      </w:tr>
      <w:tr w:rsidR="005E62D7" w:rsidRPr="009E6F63" w14:paraId="62159D15" w14:textId="77777777" w:rsidTr="00AD55C1">
        <w:trPr>
          <w:trHeight w:val="1002"/>
        </w:trPr>
        <w:tc>
          <w:tcPr>
            <w:cnfStyle w:val="001000000000" w:firstRow="0" w:lastRow="0" w:firstColumn="1" w:lastColumn="0" w:oddVBand="0" w:evenVBand="0" w:oddHBand="0" w:evenHBand="0" w:firstRowFirstColumn="0" w:firstRowLastColumn="0" w:lastRowFirstColumn="0" w:lastRowLastColumn="0"/>
            <w:tcW w:w="1212" w:type="pct"/>
            <w:vAlign w:val="center"/>
          </w:tcPr>
          <w:p w14:paraId="7949CEE4" w14:textId="77777777" w:rsidR="005E62D7" w:rsidRPr="00FA62CE" w:rsidRDefault="005E62D7" w:rsidP="00704AC1">
            <w:pPr>
              <w:pStyle w:val="Heading3"/>
              <w:keepNext w:val="0"/>
              <w:keepLines w:val="0"/>
              <w:outlineLvl w:val="2"/>
              <w:rPr>
                <w:rStyle w:val="IntenseEmphasis"/>
              </w:rPr>
            </w:pPr>
            <w:r w:rsidRPr="00FA62CE">
              <w:rPr>
                <w:rStyle w:val="IntenseEmphasis"/>
              </w:rPr>
              <w:t>Commonwealth portion of unspent funds</w:t>
            </w:r>
          </w:p>
        </w:tc>
        <w:tc>
          <w:tcPr>
            <w:tcW w:w="2072" w:type="pct"/>
            <w:vAlign w:val="center"/>
          </w:tcPr>
          <w:p w14:paraId="1F92F558" w14:textId="0582B864" w:rsidR="005E62D7" w:rsidRPr="00B502E1" w:rsidRDefault="005E62D7" w:rsidP="00AD55C1">
            <w:pPr>
              <w:pStyle w:val="TableofAuthorities"/>
              <w:cnfStyle w:val="000000000000" w:firstRow="0" w:lastRow="0" w:firstColumn="0" w:lastColumn="0" w:oddVBand="0" w:evenVBand="0" w:oddHBand="0" w:evenHBand="0" w:firstRowFirstColumn="0" w:firstRowLastColumn="0" w:lastRowFirstColumn="0" w:lastRowLastColumn="0"/>
              <w:rPr>
                <w:highlight w:val="yellow"/>
              </w:rPr>
            </w:pPr>
            <w:r>
              <w:t>The losing provider must transfer the Commonwealth portion to the gaining provider</w:t>
            </w:r>
            <w:r w:rsidR="006A01C6">
              <w:t>*</w:t>
            </w:r>
            <w:r>
              <w:t xml:space="preserve"> </w:t>
            </w:r>
          </w:p>
        </w:tc>
        <w:tc>
          <w:tcPr>
            <w:tcW w:w="1715" w:type="pct"/>
            <w:vAlign w:val="center"/>
          </w:tcPr>
          <w:p w14:paraId="63DAF5D3" w14:textId="76F9878A" w:rsidR="005E62D7" w:rsidRPr="009E6F63" w:rsidRDefault="006A01C6" w:rsidP="00AD55C1">
            <w:pPr>
              <w:pStyle w:val="TableofAuthorities"/>
              <w:cnfStyle w:val="000000000000" w:firstRow="0" w:lastRow="0" w:firstColumn="0" w:lastColumn="0" w:oddVBand="0" w:evenVBand="0" w:oddHBand="0" w:evenHBand="0" w:firstRowFirstColumn="0" w:firstRowLastColumn="0" w:lastRowFirstColumn="0" w:lastRowLastColumn="0"/>
            </w:pPr>
            <w:r>
              <w:t>U</w:t>
            </w:r>
            <w:r w:rsidR="005E62D7">
              <w:t xml:space="preserve">p to </w:t>
            </w:r>
            <w:r w:rsidR="005E62D7" w:rsidRPr="001E2F57">
              <w:t xml:space="preserve">70 </w:t>
            </w:r>
            <w:r w:rsidR="005E62D7">
              <w:t xml:space="preserve">calendar </w:t>
            </w:r>
            <w:r w:rsidR="005E62D7" w:rsidRPr="001E2F57">
              <w:t xml:space="preserve">days </w:t>
            </w:r>
            <w:r w:rsidR="005E62D7">
              <w:t xml:space="preserve">from </w:t>
            </w:r>
            <w:r w:rsidR="005E62D7" w:rsidRPr="001E2F57">
              <w:t xml:space="preserve">the </w:t>
            </w:r>
            <w:r w:rsidR="005E62D7">
              <w:t xml:space="preserve">date of departure </w:t>
            </w:r>
          </w:p>
        </w:tc>
      </w:tr>
    </w:tbl>
    <w:p w14:paraId="139677D5" w14:textId="5436F4D7" w:rsidR="00E0031B" w:rsidRPr="006A01C6" w:rsidRDefault="006A01C6" w:rsidP="00382317">
      <w:r w:rsidRPr="001673C6">
        <w:t>*Services Australia will process a negative manual adjustment for the gaining provider to recover the care recipient and Commonwealth portions of unspent funds. This will allow for the funds to be add to the care recipients home care account.</w:t>
      </w:r>
    </w:p>
    <w:p w14:paraId="72380B03" w14:textId="0B2E8AFB" w:rsidR="005E62D7" w:rsidRPr="001E2F57" w:rsidRDefault="005E62D7" w:rsidP="00202E8D">
      <w:pPr>
        <w:pStyle w:val="Heading2"/>
      </w:pPr>
      <w:r w:rsidRPr="001E2F57">
        <w:t xml:space="preserve">If the care recipient </w:t>
      </w:r>
      <w:r w:rsidRPr="009E5CBC">
        <w:rPr>
          <w:b/>
          <w:bCs/>
        </w:rPr>
        <w:t>exited</w:t>
      </w:r>
      <w:r w:rsidRPr="001E2F57">
        <w:t xml:space="preserve"> the HCP program</w:t>
      </w:r>
      <w:r w:rsidR="00114EBC">
        <w:t xml:space="preserve"> </w:t>
      </w:r>
      <w:r w:rsidR="00114EBC" w:rsidRPr="00110BFF">
        <w:rPr>
          <w:b/>
          <w:bCs/>
        </w:rPr>
        <w:t>before</w:t>
      </w:r>
      <w:r w:rsidR="00114EBC">
        <w:t xml:space="preserve"> 1 September 2021</w:t>
      </w:r>
    </w:p>
    <w:tbl>
      <w:tblPr>
        <w:tblStyle w:val="GridTable1Light-Accent1"/>
        <w:tblW w:w="5000" w:type="pct"/>
        <w:tblLook w:val="04A0" w:firstRow="1" w:lastRow="0" w:firstColumn="1" w:lastColumn="0" w:noHBand="0" w:noVBand="1"/>
        <w:tblCaption w:val="Returning unspent funds when a care reciepient exits the HCP Program"/>
        <w:tblDescription w:val="This table shows where the care recipient portion and Commonwealth portion of unspent funds should be returned when a care reciepient exits the HCP Program"/>
      </w:tblPr>
      <w:tblGrid>
        <w:gridCol w:w="2405"/>
        <w:gridCol w:w="4394"/>
        <w:gridCol w:w="3395"/>
      </w:tblGrid>
      <w:tr w:rsidR="005E62D7" w:rsidRPr="00FA62CE" w14:paraId="57DAFB15" w14:textId="77777777" w:rsidTr="0042023A">
        <w:trPr>
          <w:cnfStyle w:val="100000000000" w:firstRow="1" w:lastRow="0" w:firstColumn="0" w:lastColumn="0" w:oddVBand="0" w:evenVBand="0" w:oddHBand="0" w:evenHBand="0" w:firstRowFirstColumn="0" w:firstRowLastColumn="0" w:lastRowFirstColumn="0" w:lastRowLastColumn="0"/>
          <w:trHeight w:val="208"/>
          <w:tblHeader/>
        </w:trPr>
        <w:tc>
          <w:tcPr>
            <w:cnfStyle w:val="001000000000" w:firstRow="0" w:lastRow="0" w:firstColumn="1" w:lastColumn="0" w:oddVBand="0" w:evenVBand="0" w:oddHBand="0" w:evenHBand="0" w:firstRowFirstColumn="0" w:firstRowLastColumn="0" w:lastRowFirstColumn="0" w:lastRowLastColumn="0"/>
            <w:tcW w:w="1180" w:type="pct"/>
            <w:shd w:val="clear" w:color="auto" w:fill="D9E2F3" w:themeFill="accent1" w:themeFillTint="33"/>
            <w:vAlign w:val="center"/>
          </w:tcPr>
          <w:p w14:paraId="6B0B70DE" w14:textId="77777777" w:rsidR="005E62D7" w:rsidRPr="00FA62CE" w:rsidRDefault="005E62D7" w:rsidP="00FA62CE">
            <w:r w:rsidRPr="00FA62CE">
              <w:t>Portion</w:t>
            </w:r>
          </w:p>
        </w:tc>
        <w:tc>
          <w:tcPr>
            <w:tcW w:w="2155" w:type="pct"/>
            <w:shd w:val="clear" w:color="auto" w:fill="D9E2F3" w:themeFill="accent1" w:themeFillTint="33"/>
            <w:vAlign w:val="center"/>
          </w:tcPr>
          <w:p w14:paraId="30F5DB60" w14:textId="77777777" w:rsidR="005E62D7" w:rsidRPr="00FA62CE" w:rsidRDefault="005E62D7" w:rsidP="00FA62CE">
            <w:pPr>
              <w:cnfStyle w:val="100000000000" w:firstRow="1" w:lastRow="0" w:firstColumn="0" w:lastColumn="0" w:oddVBand="0" w:evenVBand="0" w:oddHBand="0" w:evenHBand="0" w:firstRowFirstColumn="0" w:firstRowLastColumn="0" w:lastRowFirstColumn="0" w:lastRowLastColumn="0"/>
            </w:pPr>
            <w:r w:rsidRPr="00FA62CE">
              <w:t>Where to return?</w:t>
            </w:r>
          </w:p>
        </w:tc>
        <w:tc>
          <w:tcPr>
            <w:tcW w:w="1665" w:type="pct"/>
            <w:shd w:val="clear" w:color="auto" w:fill="D9E2F3" w:themeFill="accent1" w:themeFillTint="33"/>
            <w:vAlign w:val="center"/>
          </w:tcPr>
          <w:p w14:paraId="62EDCCE9" w14:textId="77777777" w:rsidR="005E62D7" w:rsidRPr="00FA62CE" w:rsidRDefault="005E62D7" w:rsidP="00FA62CE">
            <w:pPr>
              <w:cnfStyle w:val="100000000000" w:firstRow="1" w:lastRow="0" w:firstColumn="0" w:lastColumn="0" w:oddVBand="0" w:evenVBand="0" w:oddHBand="0" w:evenHBand="0" w:firstRowFirstColumn="0" w:firstRowLastColumn="0" w:lastRowFirstColumn="0" w:lastRowLastColumn="0"/>
            </w:pPr>
            <w:r w:rsidRPr="00FA62CE">
              <w:t>Timeframe to return</w:t>
            </w:r>
          </w:p>
        </w:tc>
      </w:tr>
      <w:tr w:rsidR="005E62D7" w14:paraId="08E21FEE" w14:textId="77777777" w:rsidTr="0042023A">
        <w:trPr>
          <w:trHeight w:val="651"/>
        </w:trPr>
        <w:tc>
          <w:tcPr>
            <w:cnfStyle w:val="001000000000" w:firstRow="0" w:lastRow="0" w:firstColumn="1" w:lastColumn="0" w:oddVBand="0" w:evenVBand="0" w:oddHBand="0" w:evenHBand="0" w:firstRowFirstColumn="0" w:firstRowLastColumn="0" w:lastRowFirstColumn="0" w:lastRowLastColumn="0"/>
            <w:tcW w:w="1180" w:type="pct"/>
            <w:vMerge w:val="restart"/>
            <w:vAlign w:val="center"/>
          </w:tcPr>
          <w:p w14:paraId="06DF38D0" w14:textId="77777777" w:rsidR="005E62D7" w:rsidRPr="00FA62CE" w:rsidRDefault="005E62D7" w:rsidP="00704AC1">
            <w:pPr>
              <w:pStyle w:val="Heading3"/>
              <w:keepNext w:val="0"/>
              <w:keepLines w:val="0"/>
              <w:spacing w:before="0"/>
              <w:outlineLvl w:val="2"/>
              <w:rPr>
                <w:rStyle w:val="IntenseEmphasis"/>
              </w:rPr>
            </w:pPr>
            <w:r w:rsidRPr="00FA62CE">
              <w:rPr>
                <w:rStyle w:val="IntenseEmphasis"/>
              </w:rPr>
              <w:t>Care recipient portion of unspent funds</w:t>
            </w:r>
          </w:p>
        </w:tc>
        <w:tc>
          <w:tcPr>
            <w:tcW w:w="2155" w:type="pct"/>
            <w:vAlign w:val="center"/>
          </w:tcPr>
          <w:p w14:paraId="3C93316B" w14:textId="77777777" w:rsidR="005E62D7" w:rsidRPr="00325B8E" w:rsidRDefault="005E62D7" w:rsidP="00AD55C1">
            <w:pPr>
              <w:pStyle w:val="TableofAuthorities"/>
              <w:cnfStyle w:val="000000000000" w:firstRow="0" w:lastRow="0" w:firstColumn="0" w:lastColumn="0" w:oddVBand="0" w:evenVBand="0" w:oddHBand="0" w:evenHBand="0" w:firstRowFirstColumn="0" w:firstRowLastColumn="0" w:lastRowFirstColumn="0" w:lastRowLastColumn="0"/>
            </w:pPr>
            <w:r w:rsidRPr="00325B8E">
              <w:t>The provider must return the care recipient portion to the care recipient</w:t>
            </w:r>
          </w:p>
        </w:tc>
        <w:tc>
          <w:tcPr>
            <w:tcW w:w="1665" w:type="pct"/>
            <w:vAlign w:val="center"/>
          </w:tcPr>
          <w:p w14:paraId="75DBB600" w14:textId="77777777" w:rsidR="005E62D7" w:rsidRPr="009E6F63" w:rsidRDefault="005E62D7" w:rsidP="00AD55C1">
            <w:pPr>
              <w:pStyle w:val="TableofAuthorities"/>
              <w:cnfStyle w:val="000000000000" w:firstRow="0" w:lastRow="0" w:firstColumn="0" w:lastColumn="0" w:oddVBand="0" w:evenVBand="0" w:oddHBand="0" w:evenHBand="0" w:firstRowFirstColumn="0" w:firstRowLastColumn="0" w:lastRowFirstColumn="0" w:lastRowLastColumn="0"/>
            </w:pPr>
            <w:r w:rsidRPr="001E2F57">
              <w:t xml:space="preserve">70 </w:t>
            </w:r>
            <w:r>
              <w:t xml:space="preserve">calendar </w:t>
            </w:r>
            <w:r w:rsidRPr="001E2F57">
              <w:t xml:space="preserve">days </w:t>
            </w:r>
            <w:r>
              <w:t xml:space="preserve">from </w:t>
            </w:r>
            <w:r w:rsidRPr="001E2F57">
              <w:t xml:space="preserve">the </w:t>
            </w:r>
            <w:r>
              <w:t xml:space="preserve">date of departure </w:t>
            </w:r>
          </w:p>
        </w:tc>
      </w:tr>
      <w:tr w:rsidR="005E62D7" w14:paraId="3AA1DD0B" w14:textId="77777777" w:rsidTr="0042023A">
        <w:trPr>
          <w:trHeight w:val="651"/>
        </w:trPr>
        <w:tc>
          <w:tcPr>
            <w:cnfStyle w:val="001000000000" w:firstRow="0" w:lastRow="0" w:firstColumn="1" w:lastColumn="0" w:oddVBand="0" w:evenVBand="0" w:oddHBand="0" w:evenHBand="0" w:firstRowFirstColumn="0" w:firstRowLastColumn="0" w:lastRowFirstColumn="0" w:lastRowLastColumn="0"/>
            <w:tcW w:w="1180" w:type="pct"/>
            <w:vMerge/>
            <w:vAlign w:val="center"/>
          </w:tcPr>
          <w:p w14:paraId="65EF9FBC" w14:textId="77777777" w:rsidR="005E62D7" w:rsidRPr="00FA62CE" w:rsidRDefault="005E62D7" w:rsidP="00704AC1">
            <w:pPr>
              <w:pStyle w:val="Heading3"/>
              <w:keepNext w:val="0"/>
              <w:keepLines w:val="0"/>
              <w:spacing w:before="0"/>
              <w:outlineLvl w:val="2"/>
              <w:rPr>
                <w:rStyle w:val="IntenseEmphasis"/>
              </w:rPr>
            </w:pPr>
          </w:p>
        </w:tc>
        <w:tc>
          <w:tcPr>
            <w:tcW w:w="2155" w:type="pct"/>
            <w:vAlign w:val="center"/>
          </w:tcPr>
          <w:p w14:paraId="34CFEAEE" w14:textId="77777777" w:rsidR="005E62D7" w:rsidRPr="00325B8E" w:rsidRDefault="005E62D7" w:rsidP="00AD55C1">
            <w:pPr>
              <w:pStyle w:val="TableofAuthorities"/>
              <w:cnfStyle w:val="000000000000" w:firstRow="0" w:lastRow="0" w:firstColumn="0" w:lastColumn="0" w:oddVBand="0" w:evenVBand="0" w:oddHBand="0" w:evenHBand="0" w:firstRowFirstColumn="0" w:firstRowLastColumn="0" w:lastRowFirstColumn="0" w:lastRowLastColumn="0"/>
            </w:pPr>
            <w:r w:rsidRPr="00325B8E">
              <w:t>If the care recipient has passed away, the provider must return the care recipient portion to the care recipient’s estate</w:t>
            </w:r>
          </w:p>
        </w:tc>
        <w:tc>
          <w:tcPr>
            <w:tcW w:w="1665" w:type="pct"/>
            <w:vAlign w:val="center"/>
          </w:tcPr>
          <w:p w14:paraId="27747B10" w14:textId="77777777" w:rsidR="005E62D7" w:rsidRPr="00ED1EEE" w:rsidRDefault="005E62D7" w:rsidP="00AD55C1">
            <w:pPr>
              <w:pStyle w:val="TableofAuthorities"/>
              <w:cnfStyle w:val="000000000000" w:firstRow="0" w:lastRow="0" w:firstColumn="0" w:lastColumn="0" w:oddVBand="0" w:evenVBand="0" w:oddHBand="0" w:evenHBand="0" w:firstRowFirstColumn="0" w:firstRowLastColumn="0" w:lastRowFirstColumn="0" w:lastRowLastColumn="0"/>
            </w:pPr>
            <w:r w:rsidRPr="00ED1EEE">
              <w:t xml:space="preserve">14 </w:t>
            </w:r>
            <w:r w:rsidRPr="00325B8E">
              <w:t xml:space="preserve">calendar </w:t>
            </w:r>
            <w:r w:rsidRPr="00ED1EEE">
              <w:t>days after the home care provider is shown the probate of the will of the care recipient or letters of administration of the estate of the care recipient</w:t>
            </w:r>
          </w:p>
        </w:tc>
      </w:tr>
      <w:tr w:rsidR="005E62D7" w14:paraId="604D6211" w14:textId="77777777" w:rsidTr="0042023A">
        <w:trPr>
          <w:trHeight w:val="794"/>
        </w:trPr>
        <w:tc>
          <w:tcPr>
            <w:cnfStyle w:val="001000000000" w:firstRow="0" w:lastRow="0" w:firstColumn="1" w:lastColumn="0" w:oddVBand="0" w:evenVBand="0" w:oddHBand="0" w:evenHBand="0" w:firstRowFirstColumn="0" w:firstRowLastColumn="0" w:lastRowFirstColumn="0" w:lastRowLastColumn="0"/>
            <w:tcW w:w="1180" w:type="pct"/>
            <w:vAlign w:val="center"/>
          </w:tcPr>
          <w:p w14:paraId="6EA9CCBB" w14:textId="77777777" w:rsidR="005E62D7" w:rsidRPr="00FA62CE" w:rsidRDefault="005E62D7" w:rsidP="00704AC1">
            <w:pPr>
              <w:pStyle w:val="Heading3"/>
              <w:keepNext w:val="0"/>
              <w:keepLines w:val="0"/>
              <w:spacing w:before="0"/>
              <w:outlineLvl w:val="2"/>
              <w:rPr>
                <w:rStyle w:val="IntenseEmphasis"/>
              </w:rPr>
            </w:pPr>
            <w:r w:rsidRPr="00FA62CE">
              <w:rPr>
                <w:rStyle w:val="IntenseEmphasis"/>
              </w:rPr>
              <w:t>Commonwealth portion of unspent funds</w:t>
            </w:r>
          </w:p>
        </w:tc>
        <w:tc>
          <w:tcPr>
            <w:tcW w:w="2155" w:type="pct"/>
            <w:vAlign w:val="center"/>
          </w:tcPr>
          <w:p w14:paraId="032004B1" w14:textId="77777777" w:rsidR="005E62D7" w:rsidRPr="00B502E1" w:rsidRDefault="005E62D7" w:rsidP="00AD55C1">
            <w:pPr>
              <w:pStyle w:val="TableofAuthorities"/>
              <w:cnfStyle w:val="000000000000" w:firstRow="0" w:lastRow="0" w:firstColumn="0" w:lastColumn="0" w:oddVBand="0" w:evenVBand="0" w:oddHBand="0" w:evenHBand="0" w:firstRowFirstColumn="0" w:firstRowLastColumn="0" w:lastRowFirstColumn="0" w:lastRowLastColumn="0"/>
              <w:rPr>
                <w:highlight w:val="yellow"/>
              </w:rPr>
            </w:pPr>
            <w:r>
              <w:t xml:space="preserve">The provider must return the Commonwealth portion to Services Australia. </w:t>
            </w:r>
          </w:p>
        </w:tc>
        <w:tc>
          <w:tcPr>
            <w:tcW w:w="1665" w:type="pct"/>
            <w:vAlign w:val="center"/>
          </w:tcPr>
          <w:p w14:paraId="7E60BD5C" w14:textId="77777777" w:rsidR="005E62D7" w:rsidRPr="009E6F63" w:rsidRDefault="005E62D7" w:rsidP="00AD55C1">
            <w:pPr>
              <w:pStyle w:val="TableofAuthorities"/>
              <w:cnfStyle w:val="000000000000" w:firstRow="0" w:lastRow="0" w:firstColumn="0" w:lastColumn="0" w:oddVBand="0" w:evenVBand="0" w:oddHBand="0" w:evenHBand="0" w:firstRowFirstColumn="0" w:firstRowLastColumn="0" w:lastRowFirstColumn="0" w:lastRowLastColumn="0"/>
            </w:pPr>
            <w:r>
              <w:t xml:space="preserve">Up to </w:t>
            </w:r>
            <w:r w:rsidRPr="001E2F57">
              <w:t xml:space="preserve">70 </w:t>
            </w:r>
            <w:r>
              <w:t xml:space="preserve">calendar </w:t>
            </w:r>
            <w:r w:rsidRPr="001E2F57">
              <w:t xml:space="preserve">days </w:t>
            </w:r>
            <w:r>
              <w:t xml:space="preserve">from </w:t>
            </w:r>
            <w:r w:rsidRPr="001E2F57">
              <w:t xml:space="preserve">the </w:t>
            </w:r>
            <w:r>
              <w:t>date of departure</w:t>
            </w:r>
          </w:p>
        </w:tc>
      </w:tr>
    </w:tbl>
    <w:p w14:paraId="414C56E1" w14:textId="0E7FE625" w:rsidR="00110BFF" w:rsidRPr="00AD55C1" w:rsidRDefault="00110BFF" w:rsidP="00382317">
      <w:r>
        <w:t xml:space="preserve">For all transfers and exits that occur </w:t>
      </w:r>
      <w:r w:rsidRPr="00202E8D">
        <w:t>on or after 1 September 2021</w:t>
      </w:r>
      <w:r>
        <w:t xml:space="preserve"> providers must follow the Improved Payment Arrangements rules on </w:t>
      </w:r>
      <w:hyperlink w:anchor="_Returning_unspent_funds" w:history="1">
        <w:r w:rsidRPr="00202E8D">
          <w:rPr>
            <w:rStyle w:val="Hyperlink"/>
          </w:rPr>
          <w:t>Returning unspent funds post-1 September 2021</w:t>
        </w:r>
      </w:hyperlink>
    </w:p>
    <w:sectPr w:rsidR="00110BFF" w:rsidRPr="00AD55C1" w:rsidSect="00AD55C1">
      <w:footerReference w:type="default" r:id="rId8"/>
      <w:headerReference w:type="first" r:id="rId9"/>
      <w:footerReference w:type="first" r:id="rId10"/>
      <w:pgSz w:w="11906" w:h="16838"/>
      <w:pgMar w:top="709" w:right="851" w:bottom="426" w:left="851" w:header="709" w:footer="1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AAF56" w14:textId="77777777" w:rsidR="00320237" w:rsidRDefault="00320237" w:rsidP="00ED1EEE">
      <w:pPr>
        <w:spacing w:before="0" w:after="0"/>
      </w:pPr>
      <w:r>
        <w:separator/>
      </w:r>
    </w:p>
  </w:endnote>
  <w:endnote w:type="continuationSeparator" w:id="0">
    <w:p w14:paraId="323AD690" w14:textId="77777777" w:rsidR="00320237" w:rsidRDefault="00320237" w:rsidP="00ED1EE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4955507"/>
      <w:docPartObj>
        <w:docPartGallery w:val="Page Numbers (Bottom of Page)"/>
        <w:docPartUnique/>
      </w:docPartObj>
    </w:sdtPr>
    <w:sdtEndPr>
      <w:rPr>
        <w:noProof/>
      </w:rPr>
    </w:sdtEndPr>
    <w:sdtContent>
      <w:p w14:paraId="04FC33FC" w14:textId="07D2458C" w:rsidR="00B83EE5" w:rsidRDefault="00B83EE5" w:rsidP="00AD55C1">
        <w:pPr>
          <w:pStyle w:val="Footer"/>
          <w:jc w:val="right"/>
        </w:pPr>
        <w:r>
          <w:fldChar w:fldCharType="begin"/>
        </w:r>
        <w:r>
          <w:instrText xml:space="preserve"> PAGE   \* MERGEFORMAT </w:instrText>
        </w:r>
        <w:r>
          <w:fldChar w:fldCharType="separate"/>
        </w:r>
        <w:r>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8638466"/>
      <w:docPartObj>
        <w:docPartGallery w:val="Page Numbers (Bottom of Page)"/>
        <w:docPartUnique/>
      </w:docPartObj>
    </w:sdtPr>
    <w:sdtEndPr>
      <w:rPr>
        <w:noProof/>
      </w:rPr>
    </w:sdtEndPr>
    <w:sdtContent>
      <w:p w14:paraId="184E524B" w14:textId="571A53FF" w:rsidR="00B83EE5" w:rsidRDefault="00B83EE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FB7B568" w14:textId="77777777" w:rsidR="00B83EE5" w:rsidRDefault="00B83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B12BD" w14:textId="77777777" w:rsidR="00320237" w:rsidRDefault="00320237" w:rsidP="00ED1EEE">
      <w:pPr>
        <w:spacing w:before="0" w:after="0"/>
      </w:pPr>
      <w:r>
        <w:separator/>
      </w:r>
    </w:p>
  </w:footnote>
  <w:footnote w:type="continuationSeparator" w:id="0">
    <w:p w14:paraId="553A83DC" w14:textId="77777777" w:rsidR="00320237" w:rsidRDefault="00320237" w:rsidP="00ED1EE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A71E6" w14:textId="543E7353" w:rsidR="00B83EE5" w:rsidRDefault="00B83EE5" w:rsidP="00ED1EEE">
    <w:pPr>
      <w:pStyle w:val="Header"/>
      <w:tabs>
        <w:tab w:val="clear" w:pos="4513"/>
        <w:tab w:val="clear" w:pos="9026"/>
        <w:tab w:val="left" w:pos="12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392C3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A8E1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7C8A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92EC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7836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6404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4A53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2C2A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962C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84EC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D4FBB"/>
    <w:multiLevelType w:val="hybridMultilevel"/>
    <w:tmpl w:val="F0FA45F0"/>
    <w:lvl w:ilvl="0" w:tplc="5E0EB40C">
      <w:start w:val="1"/>
      <w:numFmt w:val="bullet"/>
      <w:lvlText w:val="•"/>
      <w:lvlJc w:val="left"/>
      <w:pPr>
        <w:tabs>
          <w:tab w:val="num" w:pos="720"/>
        </w:tabs>
        <w:ind w:left="720" w:hanging="360"/>
      </w:pPr>
      <w:rPr>
        <w:rFonts w:ascii="Arial" w:hAnsi="Arial" w:hint="default"/>
      </w:rPr>
    </w:lvl>
    <w:lvl w:ilvl="1" w:tplc="DD801CF8" w:tentative="1">
      <w:start w:val="1"/>
      <w:numFmt w:val="bullet"/>
      <w:lvlText w:val="•"/>
      <w:lvlJc w:val="left"/>
      <w:pPr>
        <w:tabs>
          <w:tab w:val="num" w:pos="1440"/>
        </w:tabs>
        <w:ind w:left="1440" w:hanging="360"/>
      </w:pPr>
      <w:rPr>
        <w:rFonts w:ascii="Arial" w:hAnsi="Arial" w:hint="default"/>
      </w:rPr>
    </w:lvl>
    <w:lvl w:ilvl="2" w:tplc="952AED08" w:tentative="1">
      <w:start w:val="1"/>
      <w:numFmt w:val="bullet"/>
      <w:lvlText w:val="•"/>
      <w:lvlJc w:val="left"/>
      <w:pPr>
        <w:tabs>
          <w:tab w:val="num" w:pos="2160"/>
        </w:tabs>
        <w:ind w:left="2160" w:hanging="360"/>
      </w:pPr>
      <w:rPr>
        <w:rFonts w:ascii="Arial" w:hAnsi="Arial" w:hint="default"/>
      </w:rPr>
    </w:lvl>
    <w:lvl w:ilvl="3" w:tplc="CDFCBCB6" w:tentative="1">
      <w:start w:val="1"/>
      <w:numFmt w:val="bullet"/>
      <w:lvlText w:val="•"/>
      <w:lvlJc w:val="left"/>
      <w:pPr>
        <w:tabs>
          <w:tab w:val="num" w:pos="2880"/>
        </w:tabs>
        <w:ind w:left="2880" w:hanging="360"/>
      </w:pPr>
      <w:rPr>
        <w:rFonts w:ascii="Arial" w:hAnsi="Arial" w:hint="default"/>
      </w:rPr>
    </w:lvl>
    <w:lvl w:ilvl="4" w:tplc="0CB25C70" w:tentative="1">
      <w:start w:val="1"/>
      <w:numFmt w:val="bullet"/>
      <w:lvlText w:val="•"/>
      <w:lvlJc w:val="left"/>
      <w:pPr>
        <w:tabs>
          <w:tab w:val="num" w:pos="3600"/>
        </w:tabs>
        <w:ind w:left="3600" w:hanging="360"/>
      </w:pPr>
      <w:rPr>
        <w:rFonts w:ascii="Arial" w:hAnsi="Arial" w:hint="default"/>
      </w:rPr>
    </w:lvl>
    <w:lvl w:ilvl="5" w:tplc="B54EFC4E" w:tentative="1">
      <w:start w:val="1"/>
      <w:numFmt w:val="bullet"/>
      <w:lvlText w:val="•"/>
      <w:lvlJc w:val="left"/>
      <w:pPr>
        <w:tabs>
          <w:tab w:val="num" w:pos="4320"/>
        </w:tabs>
        <w:ind w:left="4320" w:hanging="360"/>
      </w:pPr>
      <w:rPr>
        <w:rFonts w:ascii="Arial" w:hAnsi="Arial" w:hint="default"/>
      </w:rPr>
    </w:lvl>
    <w:lvl w:ilvl="6" w:tplc="D50A6F8A" w:tentative="1">
      <w:start w:val="1"/>
      <w:numFmt w:val="bullet"/>
      <w:lvlText w:val="•"/>
      <w:lvlJc w:val="left"/>
      <w:pPr>
        <w:tabs>
          <w:tab w:val="num" w:pos="5040"/>
        </w:tabs>
        <w:ind w:left="5040" w:hanging="360"/>
      </w:pPr>
      <w:rPr>
        <w:rFonts w:ascii="Arial" w:hAnsi="Arial" w:hint="default"/>
      </w:rPr>
    </w:lvl>
    <w:lvl w:ilvl="7" w:tplc="6D2E0156" w:tentative="1">
      <w:start w:val="1"/>
      <w:numFmt w:val="bullet"/>
      <w:lvlText w:val="•"/>
      <w:lvlJc w:val="left"/>
      <w:pPr>
        <w:tabs>
          <w:tab w:val="num" w:pos="5760"/>
        </w:tabs>
        <w:ind w:left="5760" w:hanging="360"/>
      </w:pPr>
      <w:rPr>
        <w:rFonts w:ascii="Arial" w:hAnsi="Arial" w:hint="default"/>
      </w:rPr>
    </w:lvl>
    <w:lvl w:ilvl="8" w:tplc="9C68E78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1E313C6"/>
    <w:multiLevelType w:val="hybridMultilevel"/>
    <w:tmpl w:val="8ECCC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2965053"/>
    <w:multiLevelType w:val="hybridMultilevel"/>
    <w:tmpl w:val="AA2E1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AD4AAC"/>
    <w:multiLevelType w:val="hybridMultilevel"/>
    <w:tmpl w:val="F4F2A97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0" w:hanging="360"/>
      </w:pPr>
      <w:rPr>
        <w:rFonts w:ascii="Wingdings" w:hAnsi="Wingdings" w:hint="default"/>
      </w:rPr>
    </w:lvl>
    <w:lvl w:ilvl="3" w:tplc="0C090001" w:tentative="1">
      <w:start w:val="1"/>
      <w:numFmt w:val="bullet"/>
      <w:lvlText w:val=""/>
      <w:lvlJc w:val="left"/>
      <w:pPr>
        <w:ind w:left="720" w:hanging="360"/>
      </w:pPr>
      <w:rPr>
        <w:rFonts w:ascii="Symbol" w:hAnsi="Symbol" w:hint="default"/>
      </w:rPr>
    </w:lvl>
    <w:lvl w:ilvl="4" w:tplc="0C090003" w:tentative="1">
      <w:start w:val="1"/>
      <w:numFmt w:val="bullet"/>
      <w:lvlText w:val="o"/>
      <w:lvlJc w:val="left"/>
      <w:pPr>
        <w:ind w:left="1440" w:hanging="360"/>
      </w:pPr>
      <w:rPr>
        <w:rFonts w:ascii="Courier New" w:hAnsi="Courier New" w:cs="Courier New" w:hint="default"/>
      </w:rPr>
    </w:lvl>
    <w:lvl w:ilvl="5" w:tplc="0C090005" w:tentative="1">
      <w:start w:val="1"/>
      <w:numFmt w:val="bullet"/>
      <w:lvlText w:val=""/>
      <w:lvlJc w:val="left"/>
      <w:pPr>
        <w:ind w:left="2160" w:hanging="360"/>
      </w:pPr>
      <w:rPr>
        <w:rFonts w:ascii="Wingdings" w:hAnsi="Wingdings" w:hint="default"/>
      </w:rPr>
    </w:lvl>
    <w:lvl w:ilvl="6" w:tplc="0C090001" w:tentative="1">
      <w:start w:val="1"/>
      <w:numFmt w:val="bullet"/>
      <w:lvlText w:val=""/>
      <w:lvlJc w:val="left"/>
      <w:pPr>
        <w:ind w:left="2880" w:hanging="360"/>
      </w:pPr>
      <w:rPr>
        <w:rFonts w:ascii="Symbol" w:hAnsi="Symbol" w:hint="default"/>
      </w:rPr>
    </w:lvl>
    <w:lvl w:ilvl="7" w:tplc="0C090003" w:tentative="1">
      <w:start w:val="1"/>
      <w:numFmt w:val="bullet"/>
      <w:lvlText w:val="o"/>
      <w:lvlJc w:val="left"/>
      <w:pPr>
        <w:ind w:left="3600" w:hanging="360"/>
      </w:pPr>
      <w:rPr>
        <w:rFonts w:ascii="Courier New" w:hAnsi="Courier New" w:cs="Courier New" w:hint="default"/>
      </w:rPr>
    </w:lvl>
    <w:lvl w:ilvl="8" w:tplc="0C090005" w:tentative="1">
      <w:start w:val="1"/>
      <w:numFmt w:val="bullet"/>
      <w:lvlText w:val=""/>
      <w:lvlJc w:val="left"/>
      <w:pPr>
        <w:ind w:left="4320" w:hanging="360"/>
      </w:pPr>
      <w:rPr>
        <w:rFonts w:ascii="Wingdings" w:hAnsi="Wingdings" w:hint="default"/>
      </w:rPr>
    </w:lvl>
  </w:abstractNum>
  <w:abstractNum w:abstractNumId="14" w15:restartNumberingAfterBreak="0">
    <w:nsid w:val="2CCB1384"/>
    <w:multiLevelType w:val="hybridMultilevel"/>
    <w:tmpl w:val="B268E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0F4753"/>
    <w:multiLevelType w:val="hybridMultilevel"/>
    <w:tmpl w:val="FC04B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E044E5"/>
    <w:multiLevelType w:val="hybridMultilevel"/>
    <w:tmpl w:val="9A44A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15178F"/>
    <w:multiLevelType w:val="hybridMultilevel"/>
    <w:tmpl w:val="022C9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402760"/>
    <w:multiLevelType w:val="hybridMultilevel"/>
    <w:tmpl w:val="10E80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AF16E5"/>
    <w:multiLevelType w:val="hybridMultilevel"/>
    <w:tmpl w:val="1EBC76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81C483E"/>
    <w:multiLevelType w:val="hybridMultilevel"/>
    <w:tmpl w:val="F2624D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B82B50"/>
    <w:multiLevelType w:val="hybridMultilevel"/>
    <w:tmpl w:val="914C7D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CDA4722"/>
    <w:multiLevelType w:val="hybridMultilevel"/>
    <w:tmpl w:val="88AEE79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3" w15:restartNumberingAfterBreak="0">
    <w:nsid w:val="748D12AC"/>
    <w:multiLevelType w:val="hybridMultilevel"/>
    <w:tmpl w:val="3F503D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15"/>
  </w:num>
  <w:num w:numId="3">
    <w:abstractNumId w:val="13"/>
  </w:num>
  <w:num w:numId="4">
    <w:abstractNumId w:val="14"/>
  </w:num>
  <w:num w:numId="5">
    <w:abstractNumId w:val="16"/>
  </w:num>
  <w:num w:numId="6">
    <w:abstractNumId w:val="17"/>
  </w:num>
  <w:num w:numId="7">
    <w:abstractNumId w:val="21"/>
  </w:num>
  <w:num w:numId="8">
    <w:abstractNumId w:val="23"/>
  </w:num>
  <w:num w:numId="9">
    <w:abstractNumId w:val="12"/>
  </w:num>
  <w:num w:numId="10">
    <w:abstractNumId w:val="20"/>
  </w:num>
  <w:num w:numId="11">
    <w:abstractNumId w:val="19"/>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EA0"/>
    <w:rsid w:val="0001757D"/>
    <w:rsid w:val="00020F12"/>
    <w:rsid w:val="00032326"/>
    <w:rsid w:val="000620E1"/>
    <w:rsid w:val="000A54F6"/>
    <w:rsid w:val="000C45EB"/>
    <w:rsid w:val="00110012"/>
    <w:rsid w:val="00110BFF"/>
    <w:rsid w:val="00114EBC"/>
    <w:rsid w:val="00130853"/>
    <w:rsid w:val="00141ECA"/>
    <w:rsid w:val="00146352"/>
    <w:rsid w:val="001673C6"/>
    <w:rsid w:val="001812A7"/>
    <w:rsid w:val="001E6860"/>
    <w:rsid w:val="00202E8D"/>
    <w:rsid w:val="002244B5"/>
    <w:rsid w:val="00224F2E"/>
    <w:rsid w:val="002469EC"/>
    <w:rsid w:val="00251301"/>
    <w:rsid w:val="00252634"/>
    <w:rsid w:val="0026254E"/>
    <w:rsid w:val="00280050"/>
    <w:rsid w:val="002915EF"/>
    <w:rsid w:val="002957BF"/>
    <w:rsid w:val="003201B5"/>
    <w:rsid w:val="00320237"/>
    <w:rsid w:val="00382317"/>
    <w:rsid w:val="0042023A"/>
    <w:rsid w:val="00467D0E"/>
    <w:rsid w:val="0047696E"/>
    <w:rsid w:val="00482D0F"/>
    <w:rsid w:val="0049529E"/>
    <w:rsid w:val="00501083"/>
    <w:rsid w:val="0051751F"/>
    <w:rsid w:val="005617A1"/>
    <w:rsid w:val="005871B8"/>
    <w:rsid w:val="005C32FE"/>
    <w:rsid w:val="005E62D7"/>
    <w:rsid w:val="005E6345"/>
    <w:rsid w:val="005F6E5C"/>
    <w:rsid w:val="00604E32"/>
    <w:rsid w:val="00616415"/>
    <w:rsid w:val="00626117"/>
    <w:rsid w:val="00643311"/>
    <w:rsid w:val="00647967"/>
    <w:rsid w:val="00664035"/>
    <w:rsid w:val="00684207"/>
    <w:rsid w:val="006A01C6"/>
    <w:rsid w:val="006A3134"/>
    <w:rsid w:val="006B5A0E"/>
    <w:rsid w:val="006F1203"/>
    <w:rsid w:val="00703235"/>
    <w:rsid w:val="00704AC1"/>
    <w:rsid w:val="00720426"/>
    <w:rsid w:val="00721A41"/>
    <w:rsid w:val="007476D3"/>
    <w:rsid w:val="00764125"/>
    <w:rsid w:val="0077407D"/>
    <w:rsid w:val="007B7E64"/>
    <w:rsid w:val="007D770D"/>
    <w:rsid w:val="007E0DA8"/>
    <w:rsid w:val="007E4D62"/>
    <w:rsid w:val="00810CEA"/>
    <w:rsid w:val="00813167"/>
    <w:rsid w:val="00813898"/>
    <w:rsid w:val="008639B0"/>
    <w:rsid w:val="00867EA0"/>
    <w:rsid w:val="00884785"/>
    <w:rsid w:val="008953A0"/>
    <w:rsid w:val="008A04F5"/>
    <w:rsid w:val="008A3FD9"/>
    <w:rsid w:val="008E5300"/>
    <w:rsid w:val="008F1DE8"/>
    <w:rsid w:val="00901B26"/>
    <w:rsid w:val="00905320"/>
    <w:rsid w:val="0093252D"/>
    <w:rsid w:val="009A0458"/>
    <w:rsid w:val="009E5CBC"/>
    <w:rsid w:val="009F734A"/>
    <w:rsid w:val="00A215FA"/>
    <w:rsid w:val="00A2202A"/>
    <w:rsid w:val="00A267B9"/>
    <w:rsid w:val="00A51FEB"/>
    <w:rsid w:val="00A62ED7"/>
    <w:rsid w:val="00AA1FC8"/>
    <w:rsid w:val="00AD55C1"/>
    <w:rsid w:val="00B003B9"/>
    <w:rsid w:val="00B46904"/>
    <w:rsid w:val="00B4702E"/>
    <w:rsid w:val="00B72C1B"/>
    <w:rsid w:val="00B83EE5"/>
    <w:rsid w:val="00BE0DC5"/>
    <w:rsid w:val="00C069AF"/>
    <w:rsid w:val="00C41684"/>
    <w:rsid w:val="00C419A0"/>
    <w:rsid w:val="00C55DED"/>
    <w:rsid w:val="00C6341B"/>
    <w:rsid w:val="00D477AA"/>
    <w:rsid w:val="00D52011"/>
    <w:rsid w:val="00D54FFE"/>
    <w:rsid w:val="00D609EE"/>
    <w:rsid w:val="00D918A6"/>
    <w:rsid w:val="00DC2B0D"/>
    <w:rsid w:val="00DD1E2E"/>
    <w:rsid w:val="00E0031B"/>
    <w:rsid w:val="00E120E4"/>
    <w:rsid w:val="00E22770"/>
    <w:rsid w:val="00E4675B"/>
    <w:rsid w:val="00E91463"/>
    <w:rsid w:val="00EB190C"/>
    <w:rsid w:val="00ED1EEE"/>
    <w:rsid w:val="00EF0F59"/>
    <w:rsid w:val="00EF3DCA"/>
    <w:rsid w:val="00F14D6C"/>
    <w:rsid w:val="00F176B4"/>
    <w:rsid w:val="00F21E42"/>
    <w:rsid w:val="00F22CB1"/>
    <w:rsid w:val="00F231B0"/>
    <w:rsid w:val="00F24CF7"/>
    <w:rsid w:val="00F314F5"/>
    <w:rsid w:val="00F848AB"/>
    <w:rsid w:val="00FA62CE"/>
    <w:rsid w:val="00FB7839"/>
    <w:rsid w:val="00FC4B3E"/>
    <w:rsid w:val="00FD3C8D"/>
    <w:rsid w:val="00FE32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B08F20"/>
  <w15:chartTrackingRefBased/>
  <w15:docId w15:val="{52C6AD8E-CC01-4529-8698-104E7C92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5C1"/>
    <w:pPr>
      <w:spacing w:before="120" w:after="120" w:line="240" w:lineRule="auto"/>
    </w:pPr>
    <w:rPr>
      <w:rFonts w:ascii="Calibri" w:hAnsi="Calibri" w:cstheme="minorBidi"/>
      <w:sz w:val="22"/>
      <w:szCs w:val="22"/>
    </w:rPr>
  </w:style>
  <w:style w:type="paragraph" w:styleId="Heading1">
    <w:name w:val="heading 1"/>
    <w:basedOn w:val="Normal"/>
    <w:next w:val="Normal"/>
    <w:link w:val="Heading1Char"/>
    <w:uiPriority w:val="9"/>
    <w:qFormat/>
    <w:rsid w:val="00AD55C1"/>
    <w:pPr>
      <w:keepNext/>
      <w:keepLines/>
      <w:spacing w:after="6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202E8D"/>
    <w:pPr>
      <w:keepNext/>
      <w:keepLines/>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C4B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D1EE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867EA0"/>
  </w:style>
  <w:style w:type="character" w:customStyle="1" w:styleId="BodyTextChar">
    <w:name w:val="Body Text Char"/>
    <w:basedOn w:val="DefaultParagraphFont"/>
    <w:link w:val="BodyText"/>
    <w:uiPriority w:val="99"/>
    <w:rsid w:val="00867EA0"/>
    <w:rPr>
      <w:rFonts w:ascii="Calibri" w:hAnsi="Calibri" w:cstheme="minorBidi"/>
      <w:sz w:val="22"/>
      <w:szCs w:val="22"/>
    </w:rPr>
  </w:style>
  <w:style w:type="table" w:styleId="TableGrid">
    <w:name w:val="Table Grid"/>
    <w:basedOn w:val="TableNormal"/>
    <w:uiPriority w:val="39"/>
    <w:rsid w:val="00867EA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Recommendation,List Paragraph1,SAP Subpara,List Paragraph11,L,Bullet point,Bullets,Dot pt,F5 List Paragraph,FooterText,List Paragraph111,List Paragraph2,Medium Grid 1 - Accent 21,NAST Quote,NFP GP Bulleted List,列"/>
    <w:basedOn w:val="Normal"/>
    <w:link w:val="ListParagraphChar"/>
    <w:uiPriority w:val="34"/>
    <w:qFormat/>
    <w:rsid w:val="00867EA0"/>
    <w:pPr>
      <w:ind w:left="720"/>
      <w:contextualSpacing/>
    </w:pPr>
  </w:style>
  <w:style w:type="character" w:customStyle="1" w:styleId="ListParagraphChar">
    <w:name w:val="List Paragraph Char"/>
    <w:aliases w:val="#List Paragraph Char,Recommendation Char,List Paragraph1 Char,SAP Subpara Char,List Paragraph11 Char,L Char,Bullet point Char,Bullets Char,Dot pt Char,F5 List Paragraph Char,FooterText Char,List Paragraph111 Char,List Paragraph2 Char"/>
    <w:link w:val="ListParagraph"/>
    <w:uiPriority w:val="34"/>
    <w:qFormat/>
    <w:locked/>
    <w:rsid w:val="00867EA0"/>
    <w:rPr>
      <w:rFonts w:ascii="Calibri" w:hAnsi="Calibri" w:cstheme="minorBidi"/>
      <w:sz w:val="22"/>
      <w:szCs w:val="22"/>
    </w:rPr>
  </w:style>
  <w:style w:type="table" w:styleId="GridTable1Light-Accent1">
    <w:name w:val="Grid Table 1 Light Accent 1"/>
    <w:basedOn w:val="TableNormal"/>
    <w:uiPriority w:val="46"/>
    <w:rsid w:val="00867EA0"/>
    <w:pPr>
      <w:spacing w:after="0" w:line="240" w:lineRule="auto"/>
    </w:pPr>
    <w:rPr>
      <w:rFonts w:eastAsia="Times New Roman"/>
      <w:sz w:val="20"/>
      <w:szCs w:val="20"/>
      <w:lang w:eastAsia="en-AU"/>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202E8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C4B3E"/>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9A045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458"/>
    <w:rPr>
      <w:rFonts w:ascii="Segoe UI" w:hAnsi="Segoe UI" w:cs="Segoe UI"/>
      <w:sz w:val="18"/>
      <w:szCs w:val="18"/>
    </w:rPr>
  </w:style>
  <w:style w:type="character" w:customStyle="1" w:styleId="Heading1Char">
    <w:name w:val="Heading 1 Char"/>
    <w:basedOn w:val="DefaultParagraphFont"/>
    <w:link w:val="Heading1"/>
    <w:uiPriority w:val="9"/>
    <w:rsid w:val="00AD55C1"/>
    <w:rPr>
      <w:rFonts w:ascii="Calibri" w:eastAsiaTheme="majorEastAsia" w:hAnsi="Calibri" w:cstheme="majorBidi"/>
      <w:b/>
      <w:color w:val="2F5496" w:themeColor="accent1" w:themeShade="BF"/>
      <w:sz w:val="32"/>
      <w:szCs w:val="32"/>
    </w:rPr>
  </w:style>
  <w:style w:type="paragraph" w:styleId="Header">
    <w:name w:val="header"/>
    <w:basedOn w:val="Normal"/>
    <w:link w:val="HeaderChar"/>
    <w:uiPriority w:val="99"/>
    <w:unhideWhenUsed/>
    <w:rsid w:val="00ED1EEE"/>
    <w:pPr>
      <w:tabs>
        <w:tab w:val="center" w:pos="4513"/>
        <w:tab w:val="right" w:pos="9026"/>
      </w:tabs>
      <w:spacing w:before="0" w:after="0"/>
    </w:pPr>
  </w:style>
  <w:style w:type="character" w:customStyle="1" w:styleId="HeaderChar">
    <w:name w:val="Header Char"/>
    <w:basedOn w:val="DefaultParagraphFont"/>
    <w:link w:val="Header"/>
    <w:uiPriority w:val="99"/>
    <w:rsid w:val="00ED1EEE"/>
    <w:rPr>
      <w:rFonts w:ascii="Calibri" w:hAnsi="Calibri" w:cstheme="minorBidi"/>
      <w:sz w:val="22"/>
      <w:szCs w:val="22"/>
    </w:rPr>
  </w:style>
  <w:style w:type="paragraph" w:styleId="Footer">
    <w:name w:val="footer"/>
    <w:basedOn w:val="Normal"/>
    <w:link w:val="FooterChar"/>
    <w:uiPriority w:val="99"/>
    <w:unhideWhenUsed/>
    <w:rsid w:val="00ED1EEE"/>
    <w:pPr>
      <w:tabs>
        <w:tab w:val="center" w:pos="4513"/>
        <w:tab w:val="right" w:pos="9026"/>
      </w:tabs>
      <w:spacing w:before="0" w:after="0"/>
    </w:pPr>
  </w:style>
  <w:style w:type="character" w:customStyle="1" w:styleId="FooterChar">
    <w:name w:val="Footer Char"/>
    <w:basedOn w:val="DefaultParagraphFont"/>
    <w:link w:val="Footer"/>
    <w:uiPriority w:val="99"/>
    <w:rsid w:val="00ED1EEE"/>
    <w:rPr>
      <w:rFonts w:ascii="Calibri" w:hAnsi="Calibri" w:cstheme="minorBidi"/>
      <w:sz w:val="22"/>
      <w:szCs w:val="22"/>
    </w:rPr>
  </w:style>
  <w:style w:type="character" w:customStyle="1" w:styleId="Heading4Char">
    <w:name w:val="Heading 4 Char"/>
    <w:basedOn w:val="DefaultParagraphFont"/>
    <w:link w:val="Heading4"/>
    <w:uiPriority w:val="9"/>
    <w:rsid w:val="00ED1EEE"/>
    <w:rPr>
      <w:rFonts w:asciiTheme="majorHAnsi" w:eastAsiaTheme="majorEastAsia" w:hAnsiTheme="majorHAnsi" w:cstheme="majorBidi"/>
      <w:i/>
      <w:iCs/>
      <w:color w:val="2F5496" w:themeColor="accent1" w:themeShade="BF"/>
      <w:sz w:val="22"/>
      <w:szCs w:val="22"/>
    </w:rPr>
  </w:style>
  <w:style w:type="character" w:styleId="CommentReference">
    <w:name w:val="annotation reference"/>
    <w:basedOn w:val="DefaultParagraphFont"/>
    <w:uiPriority w:val="99"/>
    <w:semiHidden/>
    <w:unhideWhenUsed/>
    <w:rsid w:val="00BE0DC5"/>
    <w:rPr>
      <w:sz w:val="16"/>
      <w:szCs w:val="16"/>
    </w:rPr>
  </w:style>
  <w:style w:type="paragraph" w:styleId="CommentText">
    <w:name w:val="annotation text"/>
    <w:basedOn w:val="Normal"/>
    <w:link w:val="CommentTextChar"/>
    <w:uiPriority w:val="99"/>
    <w:semiHidden/>
    <w:unhideWhenUsed/>
    <w:rsid w:val="00BE0DC5"/>
    <w:rPr>
      <w:sz w:val="20"/>
      <w:szCs w:val="20"/>
    </w:rPr>
  </w:style>
  <w:style w:type="character" w:customStyle="1" w:styleId="CommentTextChar">
    <w:name w:val="Comment Text Char"/>
    <w:basedOn w:val="DefaultParagraphFont"/>
    <w:link w:val="CommentText"/>
    <w:uiPriority w:val="99"/>
    <w:semiHidden/>
    <w:rsid w:val="00BE0DC5"/>
    <w:rPr>
      <w:rFonts w:ascii="Calibri" w:hAnsi="Calibri" w:cstheme="minorBidi"/>
      <w:sz w:val="20"/>
      <w:szCs w:val="20"/>
    </w:rPr>
  </w:style>
  <w:style w:type="paragraph" w:styleId="CommentSubject">
    <w:name w:val="annotation subject"/>
    <w:basedOn w:val="CommentText"/>
    <w:next w:val="CommentText"/>
    <w:link w:val="CommentSubjectChar"/>
    <w:uiPriority w:val="99"/>
    <w:semiHidden/>
    <w:unhideWhenUsed/>
    <w:rsid w:val="00BE0DC5"/>
    <w:rPr>
      <w:b/>
      <w:bCs/>
    </w:rPr>
  </w:style>
  <w:style w:type="character" w:customStyle="1" w:styleId="CommentSubjectChar">
    <w:name w:val="Comment Subject Char"/>
    <w:basedOn w:val="CommentTextChar"/>
    <w:link w:val="CommentSubject"/>
    <w:uiPriority w:val="99"/>
    <w:semiHidden/>
    <w:rsid w:val="00BE0DC5"/>
    <w:rPr>
      <w:rFonts w:ascii="Calibri" w:hAnsi="Calibri" w:cstheme="minorBidi"/>
      <w:b/>
      <w:bCs/>
      <w:sz w:val="20"/>
      <w:szCs w:val="20"/>
    </w:rPr>
  </w:style>
  <w:style w:type="character" w:styleId="Hyperlink">
    <w:name w:val="Hyperlink"/>
    <w:basedOn w:val="DefaultParagraphFont"/>
    <w:uiPriority w:val="99"/>
    <w:unhideWhenUsed/>
    <w:rsid w:val="00110BFF"/>
    <w:rPr>
      <w:color w:val="0563C1" w:themeColor="hyperlink"/>
      <w:u w:val="single"/>
    </w:rPr>
  </w:style>
  <w:style w:type="character" w:styleId="UnresolvedMention">
    <w:name w:val="Unresolved Mention"/>
    <w:basedOn w:val="DefaultParagraphFont"/>
    <w:uiPriority w:val="99"/>
    <w:semiHidden/>
    <w:unhideWhenUsed/>
    <w:rsid w:val="00110BFF"/>
    <w:rPr>
      <w:color w:val="605E5C"/>
      <w:shd w:val="clear" w:color="auto" w:fill="E1DFDD"/>
    </w:rPr>
  </w:style>
  <w:style w:type="paragraph" w:styleId="Revision">
    <w:name w:val="Revision"/>
    <w:hidden/>
    <w:uiPriority w:val="99"/>
    <w:semiHidden/>
    <w:rsid w:val="009E5CBC"/>
    <w:pPr>
      <w:spacing w:after="0" w:line="240" w:lineRule="auto"/>
    </w:pPr>
    <w:rPr>
      <w:rFonts w:ascii="Calibri" w:hAnsi="Calibri" w:cstheme="minorBidi"/>
      <w:sz w:val="22"/>
      <w:szCs w:val="22"/>
    </w:rPr>
  </w:style>
  <w:style w:type="character" w:styleId="Strong">
    <w:name w:val="Strong"/>
    <w:basedOn w:val="DefaultParagraphFont"/>
    <w:uiPriority w:val="22"/>
    <w:qFormat/>
    <w:rsid w:val="00202E8D"/>
    <w:rPr>
      <w:b/>
      <w:bCs/>
    </w:rPr>
  </w:style>
  <w:style w:type="paragraph" w:customStyle="1" w:styleId="Boxtext">
    <w:name w:val="Box text"/>
    <w:basedOn w:val="Normal"/>
    <w:link w:val="BoxtextChar"/>
    <w:qFormat/>
    <w:rsid w:val="00AD55C1"/>
    <w:pPr>
      <w:pBdr>
        <w:top w:val="single" w:sz="4" w:space="1" w:color="auto"/>
        <w:left w:val="single" w:sz="4" w:space="4" w:color="auto"/>
        <w:bottom w:val="single" w:sz="4" w:space="1" w:color="auto"/>
        <w:right w:val="single" w:sz="4" w:space="4" w:color="auto"/>
      </w:pBdr>
    </w:pPr>
  </w:style>
  <w:style w:type="character" w:styleId="IntenseEmphasis">
    <w:name w:val="Intense Emphasis"/>
    <w:basedOn w:val="DefaultParagraphFont"/>
    <w:uiPriority w:val="21"/>
    <w:qFormat/>
    <w:rsid w:val="00FA62CE"/>
    <w:rPr>
      <w:rFonts w:ascii="Calibri" w:hAnsi="Calibri"/>
      <w:i w:val="0"/>
      <w:iCs/>
      <w:color w:val="1F3864" w:themeColor="accent1" w:themeShade="80"/>
      <w:sz w:val="24"/>
    </w:rPr>
  </w:style>
  <w:style w:type="character" w:customStyle="1" w:styleId="BoxtextChar">
    <w:name w:val="Box text Char"/>
    <w:basedOn w:val="DefaultParagraphFont"/>
    <w:link w:val="Boxtext"/>
    <w:rsid w:val="00AD55C1"/>
    <w:rPr>
      <w:rFonts w:ascii="Calibri" w:hAnsi="Calibri" w:cstheme="minorBidi"/>
      <w:sz w:val="22"/>
      <w:szCs w:val="22"/>
    </w:rPr>
  </w:style>
  <w:style w:type="paragraph" w:styleId="TOAHeading">
    <w:name w:val="toa heading"/>
    <w:basedOn w:val="Normal"/>
    <w:next w:val="Normal"/>
    <w:uiPriority w:val="99"/>
    <w:unhideWhenUsed/>
    <w:rsid w:val="00AD55C1"/>
    <w:rPr>
      <w:rFonts w:eastAsiaTheme="majorEastAsia" w:cstheme="majorBidi"/>
      <w:b/>
      <w:bCs/>
      <w:szCs w:val="24"/>
    </w:rPr>
  </w:style>
  <w:style w:type="paragraph" w:styleId="Caption">
    <w:name w:val="caption"/>
    <w:basedOn w:val="Normal"/>
    <w:next w:val="Normal"/>
    <w:uiPriority w:val="35"/>
    <w:unhideWhenUsed/>
    <w:qFormat/>
    <w:rsid w:val="00AD55C1"/>
    <w:pPr>
      <w:spacing w:after="0"/>
    </w:pPr>
    <w:rPr>
      <w:iCs/>
      <w:color w:val="44546A" w:themeColor="text2"/>
      <w:szCs w:val="18"/>
    </w:rPr>
  </w:style>
  <w:style w:type="paragraph" w:styleId="TableofAuthorities">
    <w:name w:val="table of authorities"/>
    <w:basedOn w:val="Normal"/>
    <w:next w:val="Normal"/>
    <w:uiPriority w:val="99"/>
    <w:unhideWhenUsed/>
    <w:rsid w:val="00AD55C1"/>
    <w:rPr>
      <w:sz w:val="20"/>
    </w:rPr>
  </w:style>
  <w:style w:type="paragraph" w:styleId="ListBullet">
    <w:name w:val="List Bullet"/>
    <w:basedOn w:val="Normal"/>
    <w:uiPriority w:val="99"/>
    <w:unhideWhenUsed/>
    <w:rsid w:val="00AD55C1"/>
    <w:pPr>
      <w:numPr>
        <w:numId w:val="13"/>
      </w:numPr>
      <w:contextualSpacing/>
    </w:pPr>
  </w:style>
  <w:style w:type="paragraph" w:styleId="NoSpacing">
    <w:name w:val="No Spacing"/>
    <w:uiPriority w:val="1"/>
    <w:qFormat/>
    <w:rsid w:val="00AD55C1"/>
    <w:pPr>
      <w:spacing w:after="0" w:line="240" w:lineRule="auto"/>
    </w:pPr>
    <w:rPr>
      <w:rFonts w:ascii="Calibri" w:hAnsi="Calibri" w:cstheme="minorBidi"/>
      <w:sz w:val="22"/>
      <w:szCs w:val="22"/>
    </w:rPr>
  </w:style>
  <w:style w:type="character" w:styleId="SubtleReference">
    <w:name w:val="Subtle Reference"/>
    <w:basedOn w:val="DefaultParagraphFont"/>
    <w:uiPriority w:val="31"/>
    <w:qFormat/>
    <w:rsid w:val="00382317"/>
    <w:rPr>
      <w:rFonts w:ascii="Calibri" w:hAnsi="Calibri"/>
      <w:caps w:val="0"/>
      <w:smallCaps w:val="0"/>
      <w:color w:val="5A5A5A" w:themeColor="text1" w:themeTint="A5"/>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677890">
      <w:bodyDiv w:val="1"/>
      <w:marLeft w:val="0"/>
      <w:marRight w:val="0"/>
      <w:marTop w:val="0"/>
      <w:marBottom w:val="0"/>
      <w:divBdr>
        <w:top w:val="none" w:sz="0" w:space="0" w:color="auto"/>
        <w:left w:val="none" w:sz="0" w:space="0" w:color="auto"/>
        <w:bottom w:val="none" w:sz="0" w:space="0" w:color="auto"/>
        <w:right w:val="none" w:sz="0" w:space="0" w:color="auto"/>
      </w:divBdr>
      <w:divsChild>
        <w:div w:id="346100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EE826-A5D5-4405-90C1-5FFFDFAC4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2965</Words>
  <Characters>14622</Characters>
  <Application>Microsoft Office Word</Application>
  <DocSecurity>4</DocSecurity>
  <Lines>235</Lines>
  <Paragraphs>109</Paragraphs>
  <ScaleCrop>false</ScaleCrop>
  <HeadingPairs>
    <vt:vector size="2" baseType="variant">
      <vt:variant>
        <vt:lpstr>Title</vt:lpstr>
      </vt:variant>
      <vt:variant>
        <vt:i4>1</vt:i4>
      </vt:variant>
    </vt:vector>
  </HeadingPairs>
  <TitlesOfParts>
    <vt:vector size="1" baseType="lpstr">
      <vt:lpstr>Unspent funds post-1 September 2021</vt:lpstr>
    </vt:vector>
  </TitlesOfParts>
  <Company/>
  <LinksUpToDate>false</LinksUpToDate>
  <CharactersWithSpaces>17478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Unspent funds post-1 September 2021</dc:title>
  <dc:subject>Aged care</dc:subject>
  <dc:creator>Australian Government Department of Health</dc:creator>
  <cp:keywords>Aged care; Home care packages; My Aged care</cp:keywords>
  <dc:description/>
  <cp:lastModifiedBy>MASCHKE, Elvia</cp:lastModifiedBy>
  <cp:revision>2</cp:revision>
  <dcterms:created xsi:type="dcterms:W3CDTF">2022-02-16T01:05:00Z</dcterms:created>
  <dcterms:modified xsi:type="dcterms:W3CDTF">2022-02-16T01:05:00Z</dcterms:modified>
</cp:coreProperties>
</file>