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7D398" w14:textId="4488DF66" w:rsidR="0091658B" w:rsidRPr="00657221" w:rsidRDefault="000723FE" w:rsidP="00657221">
      <w:pPr>
        <w:pStyle w:val="Title"/>
      </w:pPr>
      <w:r w:rsidRPr="00657221">
        <w:t xml:space="preserve">Improvements to how your home care </w:t>
      </w:r>
      <w:r w:rsidR="00A61786" w:rsidRPr="00657221">
        <w:t xml:space="preserve">package </w:t>
      </w:r>
      <w:r w:rsidRPr="00657221">
        <w:t>funds</w:t>
      </w:r>
      <w:r w:rsidR="00012E66" w:rsidRPr="00657221">
        <w:t xml:space="preserve"> </w:t>
      </w:r>
      <w:r w:rsidRPr="00657221">
        <w:t xml:space="preserve">are paid to </w:t>
      </w:r>
      <w:r w:rsidR="004E60A5" w:rsidRPr="00657221">
        <w:t xml:space="preserve">your </w:t>
      </w:r>
      <w:r w:rsidRPr="00657221">
        <w:t>provider</w:t>
      </w:r>
    </w:p>
    <w:p w14:paraId="06BD5001" w14:textId="3CB19ECF" w:rsidR="00332C97" w:rsidRPr="004F7BAD" w:rsidRDefault="00840A01" w:rsidP="00657221">
      <w:pPr>
        <w:pStyle w:val="Subtitle"/>
      </w:pPr>
      <w:bookmarkStart w:id="0" w:name="_Hlk77836309"/>
      <w:r w:rsidRPr="004F7BAD">
        <w:t xml:space="preserve">Self-managed </w:t>
      </w:r>
      <w:r w:rsidR="000921CE" w:rsidRPr="004F7BAD">
        <w:t>Care Recipient</w:t>
      </w:r>
      <w:r w:rsidR="00680A4B" w:rsidRPr="004F7BAD">
        <w:t xml:space="preserve"> Fact Sheet</w:t>
      </w:r>
      <w:r w:rsidR="002F6974" w:rsidRPr="004F7BAD">
        <w:t xml:space="preserve"> –</w:t>
      </w:r>
      <w:r w:rsidR="001F0B09" w:rsidRPr="004F7BAD">
        <w:t xml:space="preserve"> </w:t>
      </w:r>
      <w:bookmarkStart w:id="1" w:name="_Hlk77836406"/>
      <w:r w:rsidR="00F979A2">
        <w:rPr>
          <w:szCs w:val="32"/>
        </w:rPr>
        <w:t xml:space="preserve">February </w:t>
      </w:r>
      <w:r w:rsidR="004A6D47">
        <w:rPr>
          <w:szCs w:val="32"/>
        </w:rPr>
        <w:t>2022</w:t>
      </w:r>
      <w:bookmarkEnd w:id="1"/>
    </w:p>
    <w:bookmarkEnd w:id="0"/>
    <w:p w14:paraId="27B2EB6A" w14:textId="1A3F45DD" w:rsidR="00A578B5" w:rsidRPr="00657221" w:rsidRDefault="00A578B5" w:rsidP="00657221">
      <w:pPr>
        <w:pStyle w:val="Heading2"/>
      </w:pPr>
      <w:r w:rsidRPr="004F7BAD">
        <w:t>What is changing?</w:t>
      </w:r>
    </w:p>
    <w:p w14:paraId="421FF006" w14:textId="2431E814" w:rsidR="00557365" w:rsidRDefault="00A578B5" w:rsidP="00657221">
      <w:pPr>
        <w:rPr>
          <w:b/>
          <w:bCs/>
          <w:lang w:eastAsia="en-AU"/>
        </w:rPr>
      </w:pPr>
      <w:r w:rsidRPr="004F7BAD">
        <w:rPr>
          <w:lang w:eastAsia="en-AU"/>
        </w:rPr>
        <w:t xml:space="preserve">From </w:t>
      </w:r>
      <w:r w:rsidRPr="00C45072">
        <w:rPr>
          <w:lang w:eastAsia="en-AU"/>
        </w:rPr>
        <w:t xml:space="preserve">1 September 2021 </w:t>
      </w:r>
      <w:r w:rsidR="00557365" w:rsidRPr="004F7BAD">
        <w:rPr>
          <w:lang w:eastAsia="en-AU"/>
        </w:rPr>
        <w:t>Australian Government (Government)</w:t>
      </w:r>
      <w:r w:rsidRPr="00C45072">
        <w:rPr>
          <w:lang w:eastAsia="en-AU"/>
        </w:rPr>
        <w:t xml:space="preserve"> </w:t>
      </w:r>
      <w:r w:rsidR="006874D6">
        <w:rPr>
          <w:lang w:eastAsia="en-AU"/>
        </w:rPr>
        <w:t>changed</w:t>
      </w:r>
      <w:r w:rsidR="00F45FC3" w:rsidRPr="00C45072">
        <w:rPr>
          <w:lang w:eastAsia="en-AU"/>
        </w:rPr>
        <w:t xml:space="preserve"> </w:t>
      </w:r>
      <w:r w:rsidRPr="00C45072">
        <w:rPr>
          <w:lang w:eastAsia="en-AU"/>
        </w:rPr>
        <w:t>the way</w:t>
      </w:r>
      <w:r w:rsidR="003868FB" w:rsidRPr="00C45072">
        <w:rPr>
          <w:lang w:eastAsia="en-AU"/>
        </w:rPr>
        <w:t xml:space="preserve"> the provider of </w:t>
      </w:r>
      <w:r w:rsidRPr="00C45072">
        <w:rPr>
          <w:lang w:eastAsia="en-AU"/>
        </w:rPr>
        <w:t xml:space="preserve">your Home Care Package </w:t>
      </w:r>
      <w:r w:rsidR="003868FB" w:rsidRPr="00C45072">
        <w:rPr>
          <w:lang w:eastAsia="en-AU"/>
        </w:rPr>
        <w:t>(your provider)</w:t>
      </w:r>
      <w:r w:rsidR="0084456A" w:rsidRPr="00C45072">
        <w:rPr>
          <w:lang w:eastAsia="en-AU"/>
        </w:rPr>
        <w:t xml:space="preserve"> </w:t>
      </w:r>
      <w:r w:rsidRPr="00C45072">
        <w:rPr>
          <w:lang w:eastAsia="en-AU"/>
        </w:rPr>
        <w:t>is paid.</w:t>
      </w:r>
    </w:p>
    <w:p w14:paraId="638007F6" w14:textId="09274797" w:rsidR="00A61786" w:rsidRPr="00C45072" w:rsidRDefault="00646D1B" w:rsidP="00657221">
      <w:pPr>
        <w:rPr>
          <w:b/>
          <w:bCs/>
          <w:lang w:eastAsia="en-AU"/>
        </w:rPr>
      </w:pPr>
      <w:r w:rsidRPr="00C45072">
        <w:rPr>
          <w:lang w:eastAsia="en-AU"/>
        </w:rPr>
        <w:t xml:space="preserve">The Government only pay your provider for the services they actually delivered to you, after they were delivered. </w:t>
      </w:r>
      <w:r w:rsidR="00915FF2" w:rsidRPr="00C45072">
        <w:rPr>
          <w:lang w:eastAsia="en-AU"/>
        </w:rPr>
        <w:t>These changes introduced through the Improved Payment Arrangements (IPA) for the Home Care Packages Program allow for greater transparency of unspent funds</w:t>
      </w:r>
      <w:r w:rsidR="003E48BC">
        <w:rPr>
          <w:lang w:eastAsia="en-AU"/>
        </w:rPr>
        <w:t xml:space="preserve"> and</w:t>
      </w:r>
      <w:r w:rsidR="00915FF2" w:rsidRPr="00C45072">
        <w:rPr>
          <w:lang w:eastAsia="en-AU"/>
        </w:rPr>
        <w:t xml:space="preserve"> </w:t>
      </w:r>
      <w:r w:rsidR="003E48BC" w:rsidRPr="003E48BC">
        <w:rPr>
          <w:lang w:eastAsia="en-AU"/>
        </w:rPr>
        <w:t>move</w:t>
      </w:r>
      <w:r w:rsidR="003E48BC">
        <w:rPr>
          <w:lang w:eastAsia="en-AU"/>
        </w:rPr>
        <w:t>s</w:t>
      </w:r>
      <w:r w:rsidR="003E48BC" w:rsidRPr="003E48BC">
        <w:rPr>
          <w:lang w:eastAsia="en-AU"/>
        </w:rPr>
        <w:t xml:space="preserve"> the responsibility for holding the Commonwealth portion of care recipient unspent funds from the provider to the Australian Government (Services Australia). This will enhance the financial security of the home care program over time and improve protections for your home care funds.</w:t>
      </w:r>
    </w:p>
    <w:p w14:paraId="409D2574" w14:textId="251869A4" w:rsidR="00710283" w:rsidRDefault="00A61786" w:rsidP="00657221">
      <w:pPr>
        <w:rPr>
          <w:b/>
          <w:bCs/>
          <w:lang w:eastAsia="en-AU"/>
        </w:rPr>
      </w:pPr>
      <w:r w:rsidRPr="00C45072">
        <w:rPr>
          <w:lang w:eastAsia="en-AU"/>
        </w:rPr>
        <w:t>There are currently $1.4 billion of Commonwealth unspent funds held by Home Care Package Program</w:t>
      </w:r>
      <w:r w:rsidRPr="00A61786">
        <w:rPr>
          <w:lang w:eastAsia="en-AU"/>
        </w:rPr>
        <w:t xml:space="preserve"> providers and this is growing. Over time, providers will no longer be responsible for the </w:t>
      </w:r>
      <w:r>
        <w:rPr>
          <w:lang w:eastAsia="en-AU"/>
        </w:rPr>
        <w:t>financial impacts to their organisation</w:t>
      </w:r>
      <w:r w:rsidRPr="00A61786">
        <w:rPr>
          <w:lang w:eastAsia="en-AU"/>
        </w:rPr>
        <w:t xml:space="preserve"> of managing substantial sums of unspent funds.</w:t>
      </w:r>
    </w:p>
    <w:p w14:paraId="4985AC69" w14:textId="351367FB" w:rsidR="00A61786" w:rsidRDefault="00A61786" w:rsidP="00657221">
      <w:r w:rsidRPr="004F7BAD">
        <w:rPr>
          <w:lang w:eastAsia="en-AU"/>
        </w:rPr>
        <w:t>These changes implement a key recommendation of the Royal Commission into Aged Care Quality and Safety.</w:t>
      </w:r>
    </w:p>
    <w:p w14:paraId="5DE201FB" w14:textId="7F4BAFF9" w:rsidR="00DC44C9" w:rsidRPr="004F7BAD" w:rsidRDefault="00DC44C9" w:rsidP="00657221">
      <w:pPr>
        <w:pStyle w:val="Heading2"/>
      </w:pPr>
      <w:r w:rsidRPr="004F7BAD">
        <w:t>Key Questions</w:t>
      </w:r>
    </w:p>
    <w:p w14:paraId="700A29C7" w14:textId="259D4D22" w:rsidR="005E6B4A" w:rsidRPr="004F7BAD" w:rsidRDefault="005E6B4A" w:rsidP="00657221">
      <w:pPr>
        <w:pStyle w:val="Heading3"/>
        <w:rPr>
          <w:bCs/>
          <w:lang w:eastAsia="en-AU"/>
        </w:rPr>
      </w:pPr>
      <w:r w:rsidRPr="004F7BAD">
        <w:rPr>
          <w:bCs/>
          <w:lang w:eastAsia="en-AU"/>
        </w:rPr>
        <w:t>What does IPA mean for me as a self-managed care recipient?</w:t>
      </w:r>
    </w:p>
    <w:p w14:paraId="06CA5B79" w14:textId="77777777" w:rsidR="00557365" w:rsidRDefault="005E6B4A" w:rsidP="00657221">
      <w:pPr>
        <w:rPr>
          <w:lang w:eastAsia="en-AU"/>
        </w:rPr>
      </w:pPr>
      <w:r w:rsidRPr="004F7BAD">
        <w:rPr>
          <w:lang w:eastAsia="en-AU"/>
        </w:rPr>
        <w:t>Y</w:t>
      </w:r>
      <w:r w:rsidR="00152408" w:rsidRPr="004F7BAD">
        <w:rPr>
          <w:lang w:eastAsia="en-AU"/>
        </w:rPr>
        <w:t>ou can continue to self-manage your package if you have reached an agreement with your provider to do so.</w:t>
      </w:r>
      <w:r w:rsidR="00557365">
        <w:rPr>
          <w:lang w:eastAsia="en-AU"/>
        </w:rPr>
        <w:t xml:space="preserve"> </w:t>
      </w:r>
    </w:p>
    <w:p w14:paraId="173F0FD2" w14:textId="566DA777" w:rsidR="00152408" w:rsidRPr="004F7BAD" w:rsidRDefault="00152408" w:rsidP="00657221">
      <w:pPr>
        <w:rPr>
          <w:lang w:eastAsia="en-AU"/>
        </w:rPr>
      </w:pPr>
      <w:r w:rsidRPr="004F7BAD">
        <w:rPr>
          <w:lang w:eastAsia="en-AU"/>
        </w:rPr>
        <w:t xml:space="preserve">The IPA measure </w:t>
      </w:r>
      <w:r w:rsidR="003E48BC">
        <w:rPr>
          <w:lang w:eastAsia="en-AU"/>
        </w:rPr>
        <w:t>did not make</w:t>
      </w:r>
      <w:r w:rsidRPr="004F7BAD">
        <w:rPr>
          <w:lang w:eastAsia="en-AU"/>
        </w:rPr>
        <w:t xml:space="preserve"> any direct changes to self-management, however there are </w:t>
      </w:r>
      <w:r w:rsidR="001C01EA" w:rsidRPr="004F7BAD">
        <w:rPr>
          <w:lang w:eastAsia="en-AU"/>
        </w:rPr>
        <w:t>areas</w:t>
      </w:r>
      <w:r w:rsidRPr="004F7BAD">
        <w:rPr>
          <w:lang w:eastAsia="en-AU"/>
        </w:rPr>
        <w:t xml:space="preserve"> you should discuss with your provider such as:</w:t>
      </w:r>
    </w:p>
    <w:p w14:paraId="2DF0D84A" w14:textId="1E3236EC" w:rsidR="00AF2441" w:rsidRDefault="001C01EA" w:rsidP="00657221">
      <w:pPr>
        <w:pStyle w:val="ListBullet"/>
        <w:rPr>
          <w:lang w:eastAsia="en-AU"/>
        </w:rPr>
      </w:pPr>
      <w:r w:rsidRPr="004F7BAD">
        <w:rPr>
          <w:lang w:eastAsia="en-AU"/>
        </w:rPr>
        <w:t>Ensuring claims can be submitted in a timely manner to align with the updated Services Australia payment system</w:t>
      </w:r>
      <w:r w:rsidR="004C3685" w:rsidRPr="004F7BAD">
        <w:rPr>
          <w:lang w:eastAsia="en-AU"/>
        </w:rPr>
        <w:t xml:space="preserve">. </w:t>
      </w:r>
      <w:r w:rsidR="00836217">
        <w:rPr>
          <w:lang w:eastAsia="en-AU"/>
        </w:rPr>
        <w:t>D</w:t>
      </w:r>
      <w:r w:rsidR="004C3685" w:rsidRPr="004F7BAD">
        <w:rPr>
          <w:lang w:eastAsia="en-AU"/>
        </w:rPr>
        <w:t xml:space="preserve">iscuss with your provider how you </w:t>
      </w:r>
      <w:r w:rsidR="00C45072">
        <w:rPr>
          <w:lang w:eastAsia="en-AU"/>
        </w:rPr>
        <w:t>can best</w:t>
      </w:r>
      <w:r w:rsidR="004C3685" w:rsidRPr="004F7BAD">
        <w:rPr>
          <w:lang w:eastAsia="en-AU"/>
        </w:rPr>
        <w:t xml:space="preserve"> handle your</w:t>
      </w:r>
      <w:r w:rsidR="00C45072">
        <w:rPr>
          <w:lang w:eastAsia="en-AU"/>
        </w:rPr>
        <w:t xml:space="preserve"> home care</w:t>
      </w:r>
      <w:r w:rsidR="004C3685" w:rsidRPr="004F7BAD">
        <w:rPr>
          <w:lang w:eastAsia="en-AU"/>
        </w:rPr>
        <w:t xml:space="preserve"> invoicing arrangements</w:t>
      </w:r>
      <w:r w:rsidR="00C45072">
        <w:rPr>
          <w:lang w:eastAsia="en-AU"/>
        </w:rPr>
        <w:t>.</w:t>
      </w:r>
    </w:p>
    <w:p w14:paraId="58C9F5D0" w14:textId="50FC492C" w:rsidR="00836217" w:rsidRPr="004F7BAD" w:rsidRDefault="00836217" w:rsidP="00657221">
      <w:pPr>
        <w:pStyle w:val="ListBullet2"/>
      </w:pPr>
      <w:r>
        <w:t>For example, your provider may need to adjust their payment terms with suppliers (such as moving from paying within 14 days of the invoice being received, to paying within 14 days of the end of the month).</w:t>
      </w:r>
    </w:p>
    <w:p w14:paraId="1506AC81" w14:textId="539FDB6A" w:rsidR="004C3685" w:rsidRPr="004F7BAD" w:rsidRDefault="004C3685" w:rsidP="00657221">
      <w:pPr>
        <w:pStyle w:val="ListBullet"/>
      </w:pPr>
      <w:r w:rsidRPr="004F7BAD">
        <w:rPr>
          <w:lang w:eastAsia="en-AU"/>
        </w:rPr>
        <w:t>Plan</w:t>
      </w:r>
      <w:r w:rsidR="00C45072">
        <w:rPr>
          <w:lang w:eastAsia="en-AU"/>
        </w:rPr>
        <w:t>ning</w:t>
      </w:r>
      <w:r w:rsidRPr="004F7BAD">
        <w:rPr>
          <w:lang w:eastAsia="en-AU"/>
        </w:rPr>
        <w:t xml:space="preserve"> ahead for large purchases. </w:t>
      </w:r>
      <w:r w:rsidR="00C45072">
        <w:rPr>
          <w:lang w:eastAsia="en-AU"/>
        </w:rPr>
        <w:t>On your behalf, p</w:t>
      </w:r>
      <w:r w:rsidRPr="004F7BAD">
        <w:t xml:space="preserve">roviders can access your unspent funds to pay for large purchases. Where the cost exceeds your available funds, </w:t>
      </w:r>
      <w:r w:rsidR="00C45072">
        <w:t>discuss</w:t>
      </w:r>
      <w:r w:rsidRPr="004F7BAD">
        <w:t xml:space="preserve"> with your provider </w:t>
      </w:r>
      <w:r w:rsidR="00C45072">
        <w:t>an effective option. This could include</w:t>
      </w:r>
      <w:r w:rsidRPr="004F7BAD">
        <w:t>:</w:t>
      </w:r>
    </w:p>
    <w:p w14:paraId="6587B847" w14:textId="6B717136" w:rsidR="004C3685" w:rsidRPr="004F7BAD" w:rsidRDefault="004C3685" w:rsidP="00657221">
      <w:pPr>
        <w:pStyle w:val="ListBullet2"/>
      </w:pPr>
      <w:r w:rsidRPr="004F7BAD">
        <w:t>postpon</w:t>
      </w:r>
      <w:r w:rsidR="00C45072">
        <w:t>ing</w:t>
      </w:r>
      <w:r w:rsidRPr="004F7BAD">
        <w:t xml:space="preserve"> the purchase until there are sufficient funds to cover the costs, or</w:t>
      </w:r>
    </w:p>
    <w:p w14:paraId="0546037E" w14:textId="183A026E" w:rsidR="00557365" w:rsidRPr="00557365" w:rsidRDefault="004C3685" w:rsidP="00657221">
      <w:pPr>
        <w:pStyle w:val="ListBullet2"/>
      </w:pPr>
      <w:r w:rsidRPr="004F7BAD">
        <w:t>enter</w:t>
      </w:r>
      <w:r w:rsidR="00C45072">
        <w:t>ing</w:t>
      </w:r>
      <w:r w:rsidRPr="004F7BAD">
        <w:t xml:space="preserve"> leasing arrangements where appropriate.</w:t>
      </w:r>
    </w:p>
    <w:p w14:paraId="355341A7" w14:textId="22A09377" w:rsidR="00557365" w:rsidRPr="00A61786" w:rsidRDefault="00557365" w:rsidP="00657221">
      <w:pPr>
        <w:pStyle w:val="Heading3"/>
        <w:rPr>
          <w:lang w:eastAsia="en-AU"/>
        </w:rPr>
      </w:pPr>
      <w:r w:rsidRPr="004F7BAD">
        <w:rPr>
          <w:lang w:eastAsia="en-AU"/>
        </w:rPr>
        <w:t>How will my provider be paid?</w:t>
      </w:r>
    </w:p>
    <w:p w14:paraId="560A612F" w14:textId="1F70B82E" w:rsidR="00557365" w:rsidRPr="004F7BAD" w:rsidRDefault="00557365" w:rsidP="00657221">
      <w:pPr>
        <w:rPr>
          <w:lang w:eastAsia="en-AU"/>
        </w:rPr>
      </w:pPr>
      <w:bookmarkStart w:id="2" w:name="_Hlk80254205"/>
      <w:r w:rsidRPr="004F7BAD">
        <w:rPr>
          <w:lang w:eastAsia="en-AU"/>
        </w:rPr>
        <w:t xml:space="preserve">Under IPA the </w:t>
      </w:r>
      <w:r w:rsidRPr="004F7BAD">
        <w:rPr>
          <w:b/>
          <w:bCs/>
        </w:rPr>
        <w:t xml:space="preserve">price </w:t>
      </w:r>
      <w:r w:rsidR="00C13D97">
        <w:t xml:space="preserve">(also referred to as the invoice amount) </w:t>
      </w:r>
      <w:r w:rsidRPr="004F7BAD">
        <w:t xml:space="preserve">is the amount that your provider will report to Services Australia in their claim. </w:t>
      </w:r>
      <w:r w:rsidRPr="004F7BAD">
        <w:rPr>
          <w:lang w:eastAsia="en-AU"/>
        </w:rPr>
        <w:t xml:space="preserve">Your provider will report a </w:t>
      </w:r>
      <w:r w:rsidRPr="004F7BAD">
        <w:rPr>
          <w:b/>
          <w:bCs/>
          <w:lang w:eastAsia="en-AU"/>
        </w:rPr>
        <w:t>price</w:t>
      </w:r>
      <w:r w:rsidRPr="004F7BAD">
        <w:rPr>
          <w:lang w:eastAsia="en-AU"/>
        </w:rPr>
        <w:t xml:space="preserve"> for each care recipient, each month. The definition of </w:t>
      </w:r>
      <w:r w:rsidRPr="004F7BAD">
        <w:rPr>
          <w:b/>
          <w:bCs/>
          <w:lang w:eastAsia="en-AU"/>
        </w:rPr>
        <w:t>price</w:t>
      </w:r>
      <w:r w:rsidRPr="004F7BAD">
        <w:rPr>
          <w:lang w:eastAsia="en-AU"/>
        </w:rPr>
        <w:t xml:space="preserve"> is the cost of care and services provided to the care recipient in </w:t>
      </w:r>
      <w:r w:rsidRPr="004F7BAD">
        <w:rPr>
          <w:lang w:eastAsia="en-AU"/>
        </w:rPr>
        <w:lastRenderedPageBreak/>
        <w:t>the claim period, minus any Basic Daily Fee or other care fees charged (not including the income tested care fee).</w:t>
      </w:r>
    </w:p>
    <w:p w14:paraId="673F26C8" w14:textId="139F5FAD" w:rsidR="00557365" w:rsidRPr="004F7BAD" w:rsidRDefault="00557365" w:rsidP="00657221">
      <w:pPr>
        <w:rPr>
          <w:lang w:eastAsia="en-AU"/>
        </w:rPr>
      </w:pPr>
      <w:r w:rsidRPr="004F7BAD">
        <w:rPr>
          <w:lang w:eastAsia="en-AU"/>
        </w:rPr>
        <w:t xml:space="preserve">If you have been assessed as needing to pay the income tested care fee, this will be </w:t>
      </w:r>
      <w:r>
        <w:rPr>
          <w:lang w:eastAsia="en-AU"/>
        </w:rPr>
        <w:t xml:space="preserve">automatically </w:t>
      </w:r>
      <w:r w:rsidRPr="004F7BAD">
        <w:rPr>
          <w:lang w:eastAsia="en-AU"/>
        </w:rPr>
        <w:t xml:space="preserve">deducted from the Government subsidy paid to the provider by Services Australia. If your assessed income tested care fee is equal to or more than the </w:t>
      </w:r>
      <w:r w:rsidRPr="004F7BAD">
        <w:rPr>
          <w:b/>
          <w:bCs/>
          <w:lang w:eastAsia="en-AU"/>
        </w:rPr>
        <w:t>price</w:t>
      </w:r>
      <w:r w:rsidRPr="004F7BAD">
        <w:rPr>
          <w:lang w:eastAsia="en-AU"/>
        </w:rPr>
        <w:t xml:space="preserve"> reported to Services Australia, no Government subsidy entitlement will be paid to your provider. Any unspent </w:t>
      </w:r>
      <w:r>
        <w:rPr>
          <w:lang w:eastAsia="en-AU"/>
        </w:rPr>
        <w:t>G</w:t>
      </w:r>
      <w:r w:rsidRPr="004F7BAD">
        <w:rPr>
          <w:lang w:eastAsia="en-AU"/>
        </w:rPr>
        <w:t xml:space="preserve">overnment subsidy will accrue in </w:t>
      </w:r>
      <w:r>
        <w:rPr>
          <w:lang w:eastAsia="en-AU"/>
        </w:rPr>
        <w:t>your individual</w:t>
      </w:r>
      <w:r w:rsidRPr="004F7BAD">
        <w:rPr>
          <w:lang w:eastAsia="en-AU"/>
        </w:rPr>
        <w:t xml:space="preserve"> </w:t>
      </w:r>
      <w:r w:rsidRPr="00557365">
        <w:rPr>
          <w:b/>
          <w:bCs/>
          <w:lang w:eastAsia="en-AU"/>
        </w:rPr>
        <w:t>home care account</w:t>
      </w:r>
      <w:r w:rsidRPr="004F7BAD">
        <w:rPr>
          <w:lang w:eastAsia="en-AU"/>
        </w:rPr>
        <w:t xml:space="preserve"> for future care and services.</w:t>
      </w:r>
    </w:p>
    <w:p w14:paraId="7CBFB745" w14:textId="5CD57A12" w:rsidR="00557365" w:rsidRPr="004F7BAD" w:rsidRDefault="00557365" w:rsidP="00657221">
      <w:pPr>
        <w:rPr>
          <w:lang w:eastAsia="en-AU"/>
        </w:rPr>
      </w:pPr>
      <w:r w:rsidRPr="004F7BAD">
        <w:rPr>
          <w:lang w:eastAsia="en-AU"/>
        </w:rPr>
        <w:t>Your provider will be unable to adjust the </w:t>
      </w:r>
      <w:r w:rsidRPr="004F7BAD">
        <w:rPr>
          <w:b/>
          <w:bCs/>
          <w:lang w:eastAsia="en-AU"/>
        </w:rPr>
        <w:t>price</w:t>
      </w:r>
      <w:r w:rsidRPr="004F7BAD">
        <w:rPr>
          <w:lang w:eastAsia="en-AU"/>
        </w:rPr>
        <w:t> submitted to Services Australia once claimed for that month. If your provider needs to make an adjustment to a claimed amount (a positive or negative adjustment) or to claim a late payment, they will need to add this to a claim in a subsequent month. You should advise your provider as soon as possible if you receive any late invoices or need to adjust your claim.</w:t>
      </w:r>
    </w:p>
    <w:bookmarkEnd w:id="2"/>
    <w:p w14:paraId="5D737815" w14:textId="47BE726C" w:rsidR="00557365" w:rsidRPr="004F7BAD" w:rsidRDefault="00557365" w:rsidP="00657221">
      <w:pPr>
        <w:pStyle w:val="Heading3"/>
        <w:rPr>
          <w:b w:val="0"/>
          <w:lang w:eastAsia="en-AU"/>
        </w:rPr>
      </w:pPr>
      <w:r w:rsidRPr="004F7BAD">
        <w:rPr>
          <w:lang w:eastAsia="en-AU"/>
        </w:rPr>
        <w:t xml:space="preserve">How </w:t>
      </w:r>
      <w:r w:rsidR="003E48BC">
        <w:rPr>
          <w:lang w:eastAsia="en-AU"/>
        </w:rPr>
        <w:t>have</w:t>
      </w:r>
      <w:r w:rsidR="003E48BC" w:rsidRPr="004F7BAD">
        <w:rPr>
          <w:lang w:eastAsia="en-AU"/>
        </w:rPr>
        <w:t xml:space="preserve"> </w:t>
      </w:r>
      <w:r w:rsidRPr="004F7BAD">
        <w:rPr>
          <w:lang w:eastAsia="en-AU"/>
        </w:rPr>
        <w:t>my invoicing and payment arrangements as a self-managed care recipient change</w:t>
      </w:r>
      <w:r w:rsidR="003E48BC">
        <w:rPr>
          <w:lang w:eastAsia="en-AU"/>
        </w:rPr>
        <w:t>d</w:t>
      </w:r>
      <w:r w:rsidRPr="004F7BAD">
        <w:rPr>
          <w:lang w:eastAsia="en-AU"/>
        </w:rPr>
        <w:t>?</w:t>
      </w:r>
    </w:p>
    <w:p w14:paraId="31D2B1FE" w14:textId="77777777" w:rsidR="00557365" w:rsidRPr="004F7BAD" w:rsidRDefault="00557365" w:rsidP="00657221">
      <w:pPr>
        <w:rPr>
          <w:lang w:eastAsia="en-AU"/>
        </w:rPr>
      </w:pPr>
      <w:r w:rsidRPr="004F7BAD">
        <w:rPr>
          <w:lang w:eastAsia="en-AU"/>
        </w:rPr>
        <w:t xml:space="preserve">As self-managed packages are an agreement between you and your provider, the Government does not have oversight of your specific arrangements. We recommend you speak to your provider to </w:t>
      </w:r>
      <w:r>
        <w:rPr>
          <w:lang w:eastAsia="en-AU"/>
        </w:rPr>
        <w:t>confirm if</w:t>
      </w:r>
      <w:r w:rsidRPr="004F7BAD">
        <w:rPr>
          <w:lang w:eastAsia="en-AU"/>
        </w:rPr>
        <w:t xml:space="preserve"> your</w:t>
      </w:r>
      <w:r>
        <w:rPr>
          <w:lang w:eastAsia="en-AU"/>
        </w:rPr>
        <w:t xml:space="preserve"> current</w:t>
      </w:r>
      <w:r w:rsidRPr="004F7BAD">
        <w:rPr>
          <w:lang w:eastAsia="en-AU"/>
        </w:rPr>
        <w:t xml:space="preserve"> invoicing and payment arrangements with them are in line with the</w:t>
      </w:r>
      <w:r>
        <w:rPr>
          <w:lang w:eastAsia="en-AU"/>
        </w:rPr>
        <w:t>ir</w:t>
      </w:r>
      <w:r w:rsidRPr="004F7BAD">
        <w:rPr>
          <w:lang w:eastAsia="en-AU"/>
        </w:rPr>
        <w:t xml:space="preserve"> new claiming process. </w:t>
      </w:r>
    </w:p>
    <w:p w14:paraId="7B033A7B" w14:textId="179C8075" w:rsidR="00557365" w:rsidRPr="004F7BAD" w:rsidRDefault="00557365" w:rsidP="00657221">
      <w:pPr>
        <w:rPr>
          <w:lang w:eastAsia="en-AU"/>
        </w:rPr>
      </w:pPr>
      <w:r w:rsidRPr="004F7BAD">
        <w:rPr>
          <w:lang w:eastAsia="en-AU"/>
        </w:rPr>
        <w:t>You should consider the following in your discussion:</w:t>
      </w:r>
    </w:p>
    <w:p w14:paraId="45E77F63" w14:textId="6D523989" w:rsidR="00557365" w:rsidRPr="004F7BAD" w:rsidRDefault="006874D6" w:rsidP="00657221">
      <w:pPr>
        <w:pStyle w:val="ListBullet"/>
      </w:pPr>
      <w:r>
        <w:t xml:space="preserve">Agree with </w:t>
      </w:r>
      <w:r w:rsidR="00557365" w:rsidRPr="004F7BAD">
        <w:t xml:space="preserve">your provider </w:t>
      </w:r>
      <w:r w:rsidR="00912AC0">
        <w:t>how</w:t>
      </w:r>
      <w:r>
        <w:t xml:space="preserve"> you will notify them of the total amount of care and services </w:t>
      </w:r>
      <w:r w:rsidR="00557365" w:rsidRPr="004F7BAD">
        <w:t>your provider will claim from Services Australia for that month.</w:t>
      </w:r>
    </w:p>
    <w:p w14:paraId="669323DE" w14:textId="2CC1C361" w:rsidR="007E10F7" w:rsidRDefault="007E10F7" w:rsidP="00657221">
      <w:pPr>
        <w:pStyle w:val="ListBullet"/>
      </w:pPr>
      <w:r>
        <w:t>C</w:t>
      </w:r>
      <w:r w:rsidR="00557365" w:rsidRPr="004F7BAD">
        <w:t>laim</w:t>
      </w:r>
      <w:r>
        <w:t>ing must be</w:t>
      </w:r>
      <w:r w:rsidR="00557365" w:rsidRPr="004F7BAD">
        <w:t xml:space="preserve"> for the care and services you received in the month they were delivered. If you have not received a final invoice</w:t>
      </w:r>
      <w:r>
        <w:t>,</w:t>
      </w:r>
      <w:r w:rsidR="00557365" w:rsidRPr="004F7BAD">
        <w:t xml:space="preserve"> </w:t>
      </w:r>
      <w:r w:rsidR="00557365">
        <w:t xml:space="preserve">but have </w:t>
      </w:r>
      <w:r w:rsidR="00557365" w:rsidRPr="004F7BAD">
        <w:t>accepted a quote for these services</w:t>
      </w:r>
      <w:r w:rsidR="00557365">
        <w:t>,</w:t>
      </w:r>
      <w:r w:rsidR="00557365" w:rsidRPr="004F7BAD">
        <w:t xml:space="preserve"> you can </w:t>
      </w:r>
      <w:r>
        <w:t xml:space="preserve">include these in your </w:t>
      </w:r>
      <w:r w:rsidR="00557365" w:rsidRPr="004F7BAD">
        <w:t>claim for the month they were delivered.</w:t>
      </w:r>
      <w:r>
        <w:t xml:space="preserve"> </w:t>
      </w:r>
    </w:p>
    <w:p w14:paraId="1D9FF02A" w14:textId="2C01DC03" w:rsidR="00557365" w:rsidRPr="004F7BAD" w:rsidRDefault="00557365" w:rsidP="00657221">
      <w:pPr>
        <w:pStyle w:val="ListBullet2"/>
      </w:pPr>
      <w:r w:rsidRPr="004F7BAD">
        <w:t xml:space="preserve">If at a later point, you receive an invoice for a higher or lower amount, you should notify your provider who will be able to correct this by adjusting the </w:t>
      </w:r>
      <w:r w:rsidRPr="007E10F7">
        <w:rPr>
          <w:b/>
          <w:bCs/>
        </w:rPr>
        <w:t>price</w:t>
      </w:r>
      <w:r w:rsidRPr="004F7BAD">
        <w:t xml:space="preserve"> in a future month’s claim.</w:t>
      </w:r>
    </w:p>
    <w:p w14:paraId="1BCD3DDF" w14:textId="302FCB4B" w:rsidR="00557365" w:rsidRPr="004F7BAD" w:rsidRDefault="007E10F7" w:rsidP="00657221">
      <w:pPr>
        <w:pStyle w:val="ListBullet"/>
      </w:pPr>
      <w:r>
        <w:t>Talk</w:t>
      </w:r>
      <w:r w:rsidR="00557365" w:rsidRPr="004F7BAD">
        <w:t xml:space="preserve"> to your provider and agree to have </w:t>
      </w:r>
      <w:r w:rsidR="006874D6">
        <w:t>this information to them</w:t>
      </w:r>
      <w:r w:rsidR="00557365" w:rsidRPr="004F7BAD">
        <w:t xml:space="preserve"> by a certain date each month so that they can submit your claim in a timely manner.</w:t>
      </w:r>
    </w:p>
    <w:p w14:paraId="2A0B2D45" w14:textId="2A8EAB73" w:rsidR="007E10F7" w:rsidRDefault="007E10F7" w:rsidP="00657221">
      <w:pPr>
        <w:pStyle w:val="ListBullet"/>
      </w:pPr>
      <w:r>
        <w:t>D</w:t>
      </w:r>
      <w:r w:rsidR="00557365" w:rsidRPr="004F7BAD">
        <w:t>iscuss what you will do if there is a delay or you are unable to</w:t>
      </w:r>
      <w:r w:rsidR="006874D6">
        <w:t xml:space="preserve"> provide this information to your provider.</w:t>
      </w:r>
    </w:p>
    <w:p w14:paraId="39F5DD25" w14:textId="70386C2D" w:rsidR="00C45072" w:rsidRPr="00557365" w:rsidRDefault="003E48BC" w:rsidP="00657221">
      <w:pPr>
        <w:pStyle w:val="Heading3"/>
        <w:rPr>
          <w:b w:val="0"/>
          <w:lang w:eastAsia="en-AU"/>
        </w:rPr>
      </w:pPr>
      <w:r>
        <w:rPr>
          <w:lang w:eastAsia="en-AU"/>
        </w:rPr>
        <w:t>Are</w:t>
      </w:r>
      <w:r w:rsidRPr="00557365">
        <w:rPr>
          <w:lang w:eastAsia="en-AU"/>
        </w:rPr>
        <w:t xml:space="preserve"> </w:t>
      </w:r>
      <w:r w:rsidR="002931CF" w:rsidRPr="00557365">
        <w:rPr>
          <w:lang w:eastAsia="en-AU"/>
        </w:rPr>
        <w:t>my u</w:t>
      </w:r>
      <w:r w:rsidR="00C45072" w:rsidRPr="00557365">
        <w:rPr>
          <w:lang w:eastAsia="en-AU"/>
        </w:rPr>
        <w:t xml:space="preserve">nspent funds </w:t>
      </w:r>
      <w:r w:rsidR="002931CF" w:rsidRPr="00557365">
        <w:rPr>
          <w:lang w:eastAsia="en-AU"/>
        </w:rPr>
        <w:t xml:space="preserve">still </w:t>
      </w:r>
      <w:r w:rsidR="00C45072" w:rsidRPr="00557365">
        <w:rPr>
          <w:lang w:eastAsia="en-AU"/>
        </w:rPr>
        <w:t xml:space="preserve">be available </w:t>
      </w:r>
      <w:r w:rsidR="002931CF" w:rsidRPr="00557365">
        <w:rPr>
          <w:lang w:eastAsia="en-AU"/>
        </w:rPr>
        <w:t>for me to</w:t>
      </w:r>
      <w:r w:rsidR="00C45072" w:rsidRPr="00557365">
        <w:rPr>
          <w:lang w:eastAsia="en-AU"/>
        </w:rPr>
        <w:t xml:space="preserve"> use</w:t>
      </w:r>
      <w:r w:rsidR="002931CF" w:rsidRPr="00557365">
        <w:rPr>
          <w:lang w:eastAsia="en-AU"/>
        </w:rPr>
        <w:t>?</w:t>
      </w:r>
    </w:p>
    <w:p w14:paraId="116B7AB3" w14:textId="3F9AFD79" w:rsidR="00C45072" w:rsidRPr="00657221" w:rsidRDefault="00C45072" w:rsidP="00012E66">
      <w:pPr>
        <w:spacing w:after="120" w:line="240" w:lineRule="auto"/>
        <w:ind w:left="-142" w:right="-166"/>
      </w:pPr>
      <w:r w:rsidRPr="00557365">
        <w:t xml:space="preserve">If your monthly Government home care package funds are more than what was actually spent on delivering your services in a month, these unspent funds will be held in a Government </w:t>
      </w:r>
      <w:r w:rsidRPr="007E10F7">
        <w:rPr>
          <w:b/>
          <w:bCs/>
        </w:rPr>
        <w:t>home care account</w:t>
      </w:r>
      <w:r w:rsidRPr="00557365">
        <w:t xml:space="preserve"> for you until you need them. The Government </w:t>
      </w:r>
      <w:r w:rsidRPr="007E10F7">
        <w:rPr>
          <w:b/>
          <w:bCs/>
        </w:rPr>
        <w:t>home care account</w:t>
      </w:r>
      <w:r w:rsidRPr="00557365">
        <w:t xml:space="preserve"> </w:t>
      </w:r>
      <w:r w:rsidR="003E48BC">
        <w:t xml:space="preserve">was </w:t>
      </w:r>
      <w:r w:rsidRPr="00557365">
        <w:t>set up for you by Services Australia</w:t>
      </w:r>
      <w:r w:rsidR="007E10F7">
        <w:t xml:space="preserve"> and cannot </w:t>
      </w:r>
      <w:r w:rsidRPr="00557365">
        <w:t>go into negative. You will need to discuss options with your provider if you need care or services that exceed your available funds.</w:t>
      </w:r>
    </w:p>
    <w:p w14:paraId="4F0E3641" w14:textId="2831969B" w:rsidR="007F7968" w:rsidRPr="004F7BAD" w:rsidRDefault="007F7968" w:rsidP="00657221">
      <w:pPr>
        <w:pStyle w:val="Heading3"/>
        <w:rPr>
          <w:b w:val="0"/>
          <w:lang w:eastAsia="en-AU"/>
        </w:rPr>
      </w:pPr>
      <w:r w:rsidRPr="004F7BAD">
        <w:rPr>
          <w:lang w:eastAsia="en-AU"/>
        </w:rPr>
        <w:t>Will I be consulted if my provider opts-in to return my unspent funds?</w:t>
      </w:r>
    </w:p>
    <w:p w14:paraId="30046541" w14:textId="388056F3" w:rsidR="00C45072" w:rsidRDefault="00C45072" w:rsidP="007E10F7">
      <w:pPr>
        <w:spacing w:after="120" w:line="240" w:lineRule="auto"/>
        <w:ind w:left="-142" w:right="-166"/>
      </w:pPr>
      <w:r w:rsidRPr="00C45072">
        <w:t>Your provider may start using the unspent funds they already hold for you, before making a claim for additional Government home care package funds from Services Australia</w:t>
      </w:r>
      <w:r>
        <w:t>, this is call</w:t>
      </w:r>
      <w:r w:rsidR="007E10F7">
        <w:t>e</w:t>
      </w:r>
      <w:r>
        <w:t xml:space="preserve">d opting-in. </w:t>
      </w:r>
      <w:r w:rsidRPr="00C45072">
        <w:t xml:space="preserve">If your provider </w:t>
      </w:r>
      <w:r>
        <w:t>decides to opt-in</w:t>
      </w:r>
      <w:r w:rsidRPr="00C45072">
        <w:t xml:space="preserve">, your monthly Government home care package funds will be credited to your Government </w:t>
      </w:r>
      <w:r w:rsidRPr="007E10F7">
        <w:rPr>
          <w:b/>
          <w:bCs/>
        </w:rPr>
        <w:t>home care account</w:t>
      </w:r>
      <w:r w:rsidRPr="00C45072">
        <w:t xml:space="preserve"> to be held in that account until you need them.</w:t>
      </w:r>
    </w:p>
    <w:p w14:paraId="09D43D21" w14:textId="6628B124" w:rsidR="0049152B" w:rsidRPr="004F7BAD" w:rsidRDefault="007F7968" w:rsidP="007E10F7">
      <w:pPr>
        <w:spacing w:after="120" w:line="240" w:lineRule="auto"/>
        <w:ind w:left="-142" w:right="-166"/>
        <w:rPr>
          <w:lang w:eastAsia="en-AU"/>
        </w:rPr>
      </w:pPr>
      <w:r w:rsidRPr="004F7BAD">
        <w:rPr>
          <w:lang w:eastAsia="en-AU"/>
        </w:rPr>
        <w:lastRenderedPageBreak/>
        <w:t>Regardless of the opt-in status, care recipients will retain their full Government subsidy</w:t>
      </w:r>
      <w:r w:rsidR="00152408" w:rsidRPr="004F7BAD">
        <w:rPr>
          <w:lang w:eastAsia="en-AU"/>
        </w:rPr>
        <w:t>.</w:t>
      </w:r>
      <w:r w:rsidRPr="004F7BAD">
        <w:rPr>
          <w:lang w:eastAsia="en-AU"/>
        </w:rPr>
        <w:t xml:space="preserve"> </w:t>
      </w:r>
      <w:r w:rsidR="00152408" w:rsidRPr="004F7BAD">
        <w:rPr>
          <w:rFonts w:ascii="Calibri" w:hAnsi="Calibri" w:cs="Calibri"/>
          <w:color w:val="000000"/>
        </w:rPr>
        <w:t>Irrespective of who is holding your unspent funds, the</w:t>
      </w:r>
      <w:r w:rsidR="00152408" w:rsidRPr="004F7BAD">
        <w:rPr>
          <w:lang w:eastAsia="en-AU"/>
        </w:rPr>
        <w:t xml:space="preserve"> </w:t>
      </w:r>
      <w:r w:rsidR="00152408" w:rsidRPr="004F7BAD">
        <w:rPr>
          <w:rFonts w:ascii="Calibri" w:hAnsi="Calibri" w:cs="Calibri"/>
          <w:color w:val="000000"/>
        </w:rPr>
        <w:t xml:space="preserve">funds </w:t>
      </w:r>
      <w:r w:rsidR="00152408" w:rsidRPr="00C45072">
        <w:rPr>
          <w:rFonts w:ascii="Calibri" w:hAnsi="Calibri" w:cs="Calibri"/>
          <w:color w:val="000000"/>
        </w:rPr>
        <w:t>continue to be available for you</w:t>
      </w:r>
      <w:r w:rsidR="00152408" w:rsidRPr="004F7BAD">
        <w:rPr>
          <w:rFonts w:ascii="Calibri" w:hAnsi="Calibri" w:cs="Calibri"/>
          <w:color w:val="000000"/>
        </w:rPr>
        <w:t xml:space="preserve"> to use and to pay for your care and services</w:t>
      </w:r>
      <w:r w:rsidR="002931CF">
        <w:rPr>
          <w:rFonts w:ascii="Calibri" w:hAnsi="Calibri" w:cs="Calibri"/>
          <w:color w:val="000000"/>
        </w:rPr>
        <w:t xml:space="preserve"> as outlined in your care plan</w:t>
      </w:r>
      <w:r w:rsidR="00152408" w:rsidRPr="004F7BAD">
        <w:rPr>
          <w:rFonts w:ascii="Calibri" w:hAnsi="Calibri" w:cs="Calibri"/>
          <w:color w:val="000000"/>
        </w:rPr>
        <w:t xml:space="preserve">. </w:t>
      </w:r>
    </w:p>
    <w:p w14:paraId="59E86F9C" w14:textId="7D733A79" w:rsidR="00DC44C9" w:rsidRPr="004F7BAD" w:rsidRDefault="00DC44C9" w:rsidP="00657221">
      <w:pPr>
        <w:pStyle w:val="Heading3"/>
        <w:rPr>
          <w:b w:val="0"/>
          <w:lang w:eastAsia="en-AU"/>
        </w:rPr>
      </w:pPr>
      <w:r w:rsidRPr="004F7BAD">
        <w:rPr>
          <w:lang w:eastAsia="en-AU"/>
        </w:rPr>
        <w:t>Do I still have the same support from my provider in managing my package?</w:t>
      </w:r>
    </w:p>
    <w:p w14:paraId="3F01C0B6" w14:textId="7B9355A8" w:rsidR="002C7AF8" w:rsidRPr="004F7BAD" w:rsidRDefault="00192407" w:rsidP="00DC44C9">
      <w:pPr>
        <w:spacing w:after="120" w:line="240" w:lineRule="auto"/>
        <w:ind w:left="-142" w:right="-166"/>
        <w:rPr>
          <w:lang w:eastAsia="en-AU"/>
        </w:rPr>
      </w:pPr>
      <w:r w:rsidRPr="004F7BAD">
        <w:rPr>
          <w:lang w:eastAsia="en-AU"/>
        </w:rPr>
        <w:t xml:space="preserve">IPA </w:t>
      </w:r>
      <w:r w:rsidR="00AC4591">
        <w:rPr>
          <w:lang w:eastAsia="en-AU"/>
        </w:rPr>
        <w:t>should not have</w:t>
      </w:r>
      <w:r w:rsidRPr="004F7BAD">
        <w:rPr>
          <w:lang w:eastAsia="en-AU"/>
        </w:rPr>
        <w:t xml:space="preserve"> chang</w:t>
      </w:r>
      <w:r w:rsidR="00AC4591">
        <w:rPr>
          <w:lang w:eastAsia="en-AU"/>
        </w:rPr>
        <w:t>ed</w:t>
      </w:r>
      <w:r w:rsidRPr="004F7BAD">
        <w:rPr>
          <w:lang w:eastAsia="en-AU"/>
        </w:rPr>
        <w:t xml:space="preserve"> how your provider support</w:t>
      </w:r>
      <w:r w:rsidR="00AC4591">
        <w:rPr>
          <w:lang w:eastAsia="en-AU"/>
        </w:rPr>
        <w:t>s</w:t>
      </w:r>
      <w:r w:rsidRPr="004F7BAD">
        <w:rPr>
          <w:lang w:eastAsia="en-AU"/>
        </w:rPr>
        <w:t xml:space="preserve"> you </w:t>
      </w:r>
      <w:r w:rsidR="00912AC0">
        <w:rPr>
          <w:lang w:eastAsia="en-AU"/>
        </w:rPr>
        <w:t>to</w:t>
      </w:r>
      <w:r w:rsidR="00912AC0" w:rsidRPr="004F7BAD">
        <w:rPr>
          <w:lang w:eastAsia="en-AU"/>
        </w:rPr>
        <w:t xml:space="preserve"> manag</w:t>
      </w:r>
      <w:r w:rsidR="00912AC0">
        <w:rPr>
          <w:lang w:eastAsia="en-AU"/>
        </w:rPr>
        <w:t>e</w:t>
      </w:r>
      <w:r w:rsidR="00912AC0" w:rsidRPr="004F7BAD">
        <w:rPr>
          <w:lang w:eastAsia="en-AU"/>
        </w:rPr>
        <w:t xml:space="preserve"> </w:t>
      </w:r>
      <w:r w:rsidRPr="004F7BAD">
        <w:rPr>
          <w:lang w:eastAsia="en-AU"/>
        </w:rPr>
        <w:t xml:space="preserve">your package. </w:t>
      </w:r>
      <w:r w:rsidR="00940A84" w:rsidRPr="004F7BAD">
        <w:rPr>
          <w:lang w:eastAsia="en-AU"/>
        </w:rPr>
        <w:t xml:space="preserve">Different </w:t>
      </w:r>
      <w:r w:rsidRPr="004F7BAD">
        <w:rPr>
          <w:lang w:eastAsia="en-AU"/>
        </w:rPr>
        <w:t>care recipients</w:t>
      </w:r>
      <w:r w:rsidR="00940A84" w:rsidRPr="004F7BAD">
        <w:rPr>
          <w:lang w:eastAsia="en-AU"/>
        </w:rPr>
        <w:t xml:space="preserve">, and their support networks, will want different levels of involvement in planning and managing their package. At every level, providers need to work with </w:t>
      </w:r>
      <w:r w:rsidRPr="004F7BAD">
        <w:rPr>
          <w:lang w:eastAsia="en-AU"/>
        </w:rPr>
        <w:t xml:space="preserve">their </w:t>
      </w:r>
      <w:r w:rsidR="00940A84" w:rsidRPr="004F7BAD">
        <w:rPr>
          <w:lang w:eastAsia="en-AU"/>
        </w:rPr>
        <w:t>care recipients to balance their duty of care with an individual’s right to make choices</w:t>
      </w:r>
      <w:r w:rsidRPr="004F7BAD">
        <w:rPr>
          <w:lang w:eastAsia="en-AU"/>
        </w:rPr>
        <w:t xml:space="preserve">. </w:t>
      </w:r>
    </w:p>
    <w:p w14:paraId="54A4F56D" w14:textId="4A6A1709" w:rsidR="00830B7A" w:rsidRDefault="002C7AF8" w:rsidP="00830B7A">
      <w:pPr>
        <w:spacing w:after="120" w:line="240" w:lineRule="auto"/>
        <w:ind w:left="-142" w:right="-166"/>
        <w:rPr>
          <w:lang w:eastAsia="en-AU"/>
        </w:rPr>
      </w:pPr>
      <w:r w:rsidRPr="004F7BAD">
        <w:rPr>
          <w:lang w:eastAsia="en-AU"/>
        </w:rPr>
        <w:t>Your provider will always need to take on some care management</w:t>
      </w:r>
      <w:r w:rsidR="006874D6">
        <w:rPr>
          <w:lang w:eastAsia="en-AU"/>
        </w:rPr>
        <w:t xml:space="preserve"> and package management</w:t>
      </w:r>
      <w:r w:rsidRPr="004F7BAD">
        <w:rPr>
          <w:lang w:eastAsia="en-AU"/>
        </w:rPr>
        <w:t xml:space="preserve"> activities. For example, providing your monthly statement and doing an annual review of your Home Care Agreement and care plan. You will need to pay for these management activities from your package budget. </w:t>
      </w:r>
      <w:r w:rsidR="007E357B" w:rsidRPr="004F7BAD">
        <w:rPr>
          <w:lang w:eastAsia="en-AU"/>
        </w:rPr>
        <w:t>Your p</w:t>
      </w:r>
      <w:r w:rsidR="007E357B" w:rsidRPr="004F7BAD">
        <w:t xml:space="preserve">rovider will continue to charge </w:t>
      </w:r>
      <w:r w:rsidR="006874D6">
        <w:t xml:space="preserve">care and </w:t>
      </w:r>
      <w:r w:rsidR="007E357B" w:rsidRPr="004F7BAD">
        <w:t xml:space="preserve">package management fees, and this will be included in the </w:t>
      </w:r>
      <w:r w:rsidR="007E357B" w:rsidRPr="004F7BAD">
        <w:rPr>
          <w:b/>
          <w:bCs/>
        </w:rPr>
        <w:t>price</w:t>
      </w:r>
      <w:r w:rsidR="007E357B" w:rsidRPr="004F7BAD">
        <w:t xml:space="preserve"> they submit to Services Australia. </w:t>
      </w:r>
      <w:r w:rsidRPr="004F7BAD">
        <w:rPr>
          <w:lang w:eastAsia="en-AU"/>
        </w:rPr>
        <w:t>Fees for these services must be reasonable and agreed to by you and your provider in your Home Care Agreement.</w:t>
      </w:r>
      <w:r w:rsidR="007E357B" w:rsidRPr="004F7BAD">
        <w:rPr>
          <w:lang w:eastAsia="en-AU"/>
        </w:rPr>
        <w:t xml:space="preserve"> </w:t>
      </w:r>
    </w:p>
    <w:p w14:paraId="21F538D5" w14:textId="6AC589A3" w:rsidR="006A0EE6" w:rsidRPr="006A0EE6" w:rsidRDefault="00830B7A" w:rsidP="006A0EE6">
      <w:pPr>
        <w:spacing w:after="120" w:line="240" w:lineRule="auto"/>
        <w:ind w:left="-142" w:right="-166"/>
        <w:rPr>
          <w:lang w:eastAsia="en-AU"/>
        </w:rPr>
      </w:pPr>
      <w:r w:rsidRPr="004F7BAD">
        <w:rPr>
          <w:lang w:eastAsia="en-AU"/>
        </w:rPr>
        <w:t xml:space="preserve">Your approved provider is still responsible for the compliance and quality of all care and services provided under your package including what you package budget can be spent on. For details on inclusions and exclusions in your package, please refer to Section 5 of the Operational Manual for Home Care Package </w:t>
      </w:r>
      <w:r>
        <w:rPr>
          <w:lang w:eastAsia="en-AU"/>
        </w:rPr>
        <w:t>C</w:t>
      </w:r>
      <w:r w:rsidRPr="004F7BAD">
        <w:rPr>
          <w:lang w:eastAsia="en-AU"/>
        </w:rPr>
        <w:t>onsumers</w:t>
      </w:r>
      <w:r>
        <w:rPr>
          <w:lang w:eastAsia="en-AU"/>
        </w:rPr>
        <w:t>, a</w:t>
      </w:r>
      <w:r w:rsidRPr="004F7BAD">
        <w:rPr>
          <w:lang w:eastAsia="en-AU"/>
        </w:rPr>
        <w:t>vailable on the</w:t>
      </w:r>
      <w:r>
        <w:rPr>
          <w:lang w:eastAsia="en-AU"/>
        </w:rPr>
        <w:t xml:space="preserve"> My Aged Care</w:t>
      </w:r>
      <w:r w:rsidRPr="004F7BAD">
        <w:rPr>
          <w:lang w:eastAsia="en-AU"/>
        </w:rPr>
        <w:t xml:space="preserve"> </w:t>
      </w:r>
      <w:hyperlink r:id="rId8" w:history="1">
        <w:r>
          <w:rPr>
            <w:rStyle w:val="Hyperlink"/>
            <w:lang w:eastAsia="en-AU"/>
          </w:rPr>
          <w:t>website</w:t>
        </w:r>
      </w:hyperlink>
      <w:r>
        <w:rPr>
          <w:lang w:eastAsia="en-AU"/>
        </w:rPr>
        <w:t>.</w:t>
      </w:r>
    </w:p>
    <w:p w14:paraId="3B734474" w14:textId="16504F0C" w:rsidR="006874D6" w:rsidRPr="00830B7A" w:rsidRDefault="006874D6" w:rsidP="00657221">
      <w:pPr>
        <w:pStyle w:val="Heading4"/>
        <w:rPr>
          <w:b/>
        </w:rPr>
      </w:pPr>
      <w:r>
        <w:rPr>
          <w:b/>
        </w:rPr>
        <w:t>Home Care Fees:</w:t>
      </w:r>
    </w:p>
    <w:p w14:paraId="178C8C27" w14:textId="62DB714C" w:rsidR="006A0EE6" w:rsidRPr="006A0EE6" w:rsidRDefault="009346D3" w:rsidP="006A0EE6">
      <w:pPr>
        <w:spacing w:after="120" w:line="240" w:lineRule="auto"/>
        <w:ind w:left="-142" w:right="-166"/>
        <w:rPr>
          <w:rFonts w:ascii="Calibri" w:hAnsi="Calibri" w:cs="Calibri"/>
          <w:color w:val="000000"/>
        </w:rPr>
      </w:pPr>
      <w:r w:rsidRPr="004F7BAD">
        <w:rPr>
          <w:rFonts w:ascii="Calibri" w:hAnsi="Calibri" w:cs="Calibri"/>
          <w:color w:val="000000"/>
        </w:rPr>
        <w:t>Your home care fees,</w:t>
      </w:r>
      <w:r w:rsidRPr="004F7BAD">
        <w:rPr>
          <w:rFonts w:ascii="Calibri" w:hAnsi="Calibri" w:cs="Calibri"/>
          <w:b/>
          <w:bCs/>
          <w:color w:val="000000"/>
        </w:rPr>
        <w:t xml:space="preserve"> </w:t>
      </w:r>
      <w:r w:rsidRPr="004F7BAD">
        <w:rPr>
          <w:rFonts w:ascii="Calibri" w:hAnsi="Calibri" w:cs="Calibri"/>
          <w:color w:val="000000"/>
        </w:rPr>
        <w:t>as agreed and documented in your home care agreement, remain unchanged.</w:t>
      </w:r>
    </w:p>
    <w:p w14:paraId="74F35C8A" w14:textId="57920311" w:rsidR="006874D6" w:rsidRPr="00830B7A" w:rsidRDefault="006874D6" w:rsidP="00657221">
      <w:pPr>
        <w:pStyle w:val="Heading4"/>
        <w:rPr>
          <w:b/>
        </w:rPr>
      </w:pPr>
      <w:r w:rsidRPr="00830B7A">
        <w:rPr>
          <w:b/>
        </w:rPr>
        <w:t>Income Tested Care Fees:</w:t>
      </w:r>
    </w:p>
    <w:p w14:paraId="2E64128D" w14:textId="77777777" w:rsidR="00830B7A" w:rsidRDefault="00830B7A" w:rsidP="00657221">
      <w:r w:rsidRPr="006874D6">
        <w:t xml:space="preserve">Your assessed income tested care fee is automatically deducted from the payment your provider receives from Services Australia. </w:t>
      </w:r>
    </w:p>
    <w:p w14:paraId="755A3BE7" w14:textId="09CB3518" w:rsidR="006874D6" w:rsidRDefault="009346D3" w:rsidP="00657221">
      <w:r w:rsidRPr="006874D6">
        <w:t xml:space="preserve">If your provider has </w:t>
      </w:r>
      <w:r w:rsidR="00AC4591">
        <w:t xml:space="preserve">not </w:t>
      </w:r>
      <w:r w:rsidRPr="006874D6">
        <w:t xml:space="preserve">been </w:t>
      </w:r>
      <w:r w:rsidR="000C3970">
        <w:t>collecting</w:t>
      </w:r>
      <w:r w:rsidR="00AC4591" w:rsidRPr="006874D6">
        <w:t xml:space="preserve"> </w:t>
      </w:r>
      <w:r w:rsidRPr="006874D6">
        <w:t xml:space="preserve">all or part of your income tested care fees, because you are not using all of your package, this can continue as long as they hold unspent funds on your behalf. Once the unspent funds that your provider holds for you have been used, or if you do not have unspent funds, you will need to start paying your assessed income tested care fee. Your provider cannot seek to collect fees that they have </w:t>
      </w:r>
      <w:r w:rsidR="00AC4591">
        <w:t>not collected</w:t>
      </w:r>
      <w:r w:rsidR="00AC4591" w:rsidRPr="006874D6">
        <w:t xml:space="preserve"> </w:t>
      </w:r>
      <w:r w:rsidRPr="006874D6">
        <w:t xml:space="preserve">in the past. </w:t>
      </w:r>
    </w:p>
    <w:p w14:paraId="2AF43733" w14:textId="166992C3" w:rsidR="00830B7A" w:rsidRDefault="00830B7A" w:rsidP="00657221">
      <w:pPr>
        <w:rPr>
          <w:rFonts w:ascii="Calibri" w:hAnsi="Calibri" w:cs="Calibri"/>
          <w:color w:val="000000"/>
        </w:rPr>
      </w:pPr>
      <w:r>
        <w:t xml:space="preserve">Providers can </w:t>
      </w:r>
      <w:r>
        <w:rPr>
          <w:b/>
          <w:bCs/>
        </w:rPr>
        <w:t xml:space="preserve">only </w:t>
      </w:r>
      <w:r>
        <w:t xml:space="preserve">use package funds to cover the income tested care fee if they </w:t>
      </w:r>
      <w:r w:rsidR="00AC4591">
        <w:t xml:space="preserve">were </w:t>
      </w:r>
      <w:r>
        <w:t xml:space="preserve">already </w:t>
      </w:r>
      <w:r w:rsidR="00AC4591">
        <w:t>not collecting</w:t>
      </w:r>
      <w:r>
        <w:t xml:space="preserve"> the care recipient’s income tested care fee prior to 1 September 2021 </w:t>
      </w:r>
      <w:r>
        <w:rPr>
          <w:b/>
          <w:bCs/>
        </w:rPr>
        <w:t xml:space="preserve">and </w:t>
      </w:r>
      <w:r>
        <w:t>they hold unspent funds on the care recipient’s behalf.</w:t>
      </w:r>
    </w:p>
    <w:p w14:paraId="7BE07CB9" w14:textId="6E1DC1BC" w:rsidR="006A0EE6" w:rsidRPr="006A0EE6" w:rsidRDefault="009346D3" w:rsidP="00657221">
      <w:r w:rsidRPr="006874D6">
        <w:t xml:space="preserve">Paying your assessed income tested care fee means you are contributing to your care so that you can access the full value of your package. </w:t>
      </w:r>
    </w:p>
    <w:p w14:paraId="44AFE9E2" w14:textId="05E97A01" w:rsidR="00830B7A" w:rsidRDefault="00830B7A" w:rsidP="00657221">
      <w:pPr>
        <w:pStyle w:val="Heading4"/>
        <w:rPr>
          <w:b/>
        </w:rPr>
      </w:pPr>
      <w:r>
        <w:rPr>
          <w:b/>
        </w:rPr>
        <w:t>Exit Fees:</w:t>
      </w:r>
    </w:p>
    <w:p w14:paraId="681DE8FE" w14:textId="1B7B785F" w:rsidR="006A0EE6" w:rsidRDefault="009346D3" w:rsidP="00657221">
      <w:pPr>
        <w:rPr>
          <w:b/>
          <w:bCs/>
        </w:rPr>
      </w:pPr>
      <w:r w:rsidRPr="006874D6">
        <w:t>If you have agreed to pay an exit fee and your provider is holding unspent funds on your behalf, you must do so. If your provider does not hold unspent funds on your behalf, the provider will not be able to charge you an exit fee.</w:t>
      </w:r>
    </w:p>
    <w:p w14:paraId="10FD1E21" w14:textId="621A15A3" w:rsidR="00830B7A" w:rsidRPr="00830B7A" w:rsidRDefault="00830B7A" w:rsidP="00657221">
      <w:pPr>
        <w:pStyle w:val="Heading4"/>
        <w:rPr>
          <w:b/>
        </w:rPr>
      </w:pPr>
      <w:r w:rsidRPr="00830B7A">
        <w:rPr>
          <w:b/>
        </w:rPr>
        <w:t>Non-payment of Fees:</w:t>
      </w:r>
    </w:p>
    <w:p w14:paraId="4EBE5426" w14:textId="6B27B903" w:rsidR="009346D3" w:rsidRDefault="009346D3" w:rsidP="00657221">
      <w:r w:rsidRPr="004F7BAD">
        <w:t xml:space="preserve">Your provider can cease to provide home care to you if you are not paying home care fees as agreed in your home care agreement for a reason within your control, and you have not negotiated an alternative arrangement with </w:t>
      </w:r>
      <w:r w:rsidR="00CF10C0">
        <w:t>them</w:t>
      </w:r>
      <w:r w:rsidRPr="004F7BAD">
        <w:t>.</w:t>
      </w:r>
      <w:r w:rsidR="004F7BAD">
        <w:t xml:space="preserve"> </w:t>
      </w:r>
      <w:r w:rsidRPr="004F7BAD">
        <w:t xml:space="preserve">All providers must </w:t>
      </w:r>
      <w:r w:rsidR="00CF10C0">
        <w:t>ensure</w:t>
      </w:r>
      <w:r w:rsidR="00CF10C0" w:rsidRPr="004F7BAD">
        <w:t xml:space="preserve"> </w:t>
      </w:r>
      <w:r w:rsidRPr="004F7BAD">
        <w:t xml:space="preserve">security of tenure to all care recipients, however refusal to pay agreed fees without a valid reason is grounds for a provider to cease care. If </w:t>
      </w:r>
      <w:r w:rsidRPr="004F7BAD">
        <w:lastRenderedPageBreak/>
        <w:t xml:space="preserve">you are experiencing financial hardship you can apply for hardship assistance via Services Australia and you should speak to your service provider. </w:t>
      </w:r>
    </w:p>
    <w:p w14:paraId="405E66B9" w14:textId="5A0E262C" w:rsidR="00E20F03" w:rsidRPr="004F7BAD" w:rsidRDefault="00E20F03" w:rsidP="00657221">
      <w:pPr>
        <w:pStyle w:val="Heading2"/>
      </w:pPr>
      <w:r w:rsidRPr="004F7BAD">
        <w:t>Further information</w:t>
      </w:r>
    </w:p>
    <w:p w14:paraId="4E476FC9" w14:textId="35D59D32" w:rsidR="008F16AC" w:rsidRDefault="00E20F03" w:rsidP="00657221">
      <w:pPr>
        <w:rPr>
          <w:rFonts w:cs="Arial"/>
        </w:rPr>
      </w:pPr>
      <w:r w:rsidRPr="004F7BAD">
        <w:rPr>
          <w:rFonts w:cs="Arial"/>
        </w:rPr>
        <w:t xml:space="preserve">Further information </w:t>
      </w:r>
      <w:r w:rsidR="00D21934" w:rsidRPr="004F7BAD">
        <w:rPr>
          <w:rFonts w:cs="Arial"/>
        </w:rPr>
        <w:t xml:space="preserve">about these changes </w:t>
      </w:r>
      <w:r w:rsidRPr="004F7BAD">
        <w:rPr>
          <w:rFonts w:cs="Arial"/>
        </w:rPr>
        <w:t>can</w:t>
      </w:r>
      <w:r w:rsidR="008F53E2" w:rsidRPr="004F7BAD">
        <w:rPr>
          <w:rFonts w:cs="Arial"/>
        </w:rPr>
        <w:t xml:space="preserve"> </w:t>
      </w:r>
      <w:r w:rsidRPr="004F7BAD">
        <w:rPr>
          <w:rFonts w:cs="Arial"/>
        </w:rPr>
        <w:t xml:space="preserve">be found on the Department of Health’s </w:t>
      </w:r>
      <w:hyperlink r:id="rId9" w:history="1">
        <w:r w:rsidRPr="004F7BAD">
          <w:rPr>
            <w:rStyle w:val="Hyperlink"/>
            <w:rFonts w:cs="Arial"/>
          </w:rPr>
          <w:t>website</w:t>
        </w:r>
      </w:hyperlink>
      <w:r w:rsidR="000921CE" w:rsidRPr="004F7BAD">
        <w:rPr>
          <w:rFonts w:cs="Arial"/>
        </w:rPr>
        <w:t>.</w:t>
      </w:r>
      <w:r w:rsidR="000B3B97">
        <w:rPr>
          <w:rFonts w:cs="Arial"/>
        </w:rPr>
        <w:t xml:space="preserve"> A series of Fact Sheets for home care providers are included on this website.</w:t>
      </w:r>
    </w:p>
    <w:p w14:paraId="5EFC4B0C" w14:textId="6F3C49A9" w:rsidR="000B3B97" w:rsidRPr="004F7BAD" w:rsidRDefault="000B3B97" w:rsidP="00657221">
      <w:r>
        <w:t xml:space="preserve">If you have further questions about how these reforms impact you, please speak with your home care provider in the first instance. </w:t>
      </w:r>
    </w:p>
    <w:p w14:paraId="0097ABB1" w14:textId="05BE6AD7" w:rsidR="00E33358" w:rsidRPr="008F16AC" w:rsidRDefault="008A4613" w:rsidP="00657221">
      <w:r w:rsidRPr="004F7BAD">
        <w:t xml:space="preserve">You have the right to speak to an aged care advocate. You can access free, confidential and independent aged care advocacy through the </w:t>
      </w:r>
      <w:r w:rsidRPr="004F7BAD">
        <w:rPr>
          <w:b/>
          <w:bCs/>
        </w:rPr>
        <w:t>Older Persons advocacy Network</w:t>
      </w:r>
      <w:r w:rsidRPr="004F7BAD">
        <w:t xml:space="preserve"> (OPAN) on 1800 700 600 or visit </w:t>
      </w:r>
      <w:hyperlink r:id="rId10" w:history="1">
        <w:r w:rsidRPr="004F7BAD">
          <w:rPr>
            <w:rStyle w:val="Hyperlink"/>
            <w:rFonts w:cs="Arial"/>
          </w:rPr>
          <w:t>www.opan.org.au</w:t>
        </w:r>
      </w:hyperlink>
    </w:p>
    <w:sectPr w:rsidR="00E33358" w:rsidRPr="008F16AC" w:rsidSect="00830B7A">
      <w:headerReference w:type="default" r:id="rId11"/>
      <w:footerReference w:type="default" r:id="rId12"/>
      <w:pgSz w:w="11906" w:h="16838"/>
      <w:pgMar w:top="1531" w:right="1276"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14102" w14:textId="77777777" w:rsidR="00193691" w:rsidRDefault="00193691" w:rsidP="00451A4C">
      <w:pPr>
        <w:spacing w:after="0" w:line="240" w:lineRule="auto"/>
      </w:pPr>
      <w:r>
        <w:separator/>
      </w:r>
    </w:p>
  </w:endnote>
  <w:endnote w:type="continuationSeparator" w:id="0">
    <w:p w14:paraId="138AFA93" w14:textId="77777777" w:rsidR="00193691" w:rsidRDefault="00193691" w:rsidP="0045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89063" w14:textId="77777777" w:rsidR="00453F1C" w:rsidRDefault="00453F1C" w:rsidP="00B37597">
    <w:pPr>
      <w:pStyle w:val="Footer"/>
      <w:jc w:val="center"/>
    </w:pPr>
    <w:r>
      <w:t xml:space="preserve">Page </w:t>
    </w:r>
    <w:r>
      <w:rPr>
        <w:b/>
      </w:rPr>
      <w:fldChar w:fldCharType="begin"/>
    </w:r>
    <w:r>
      <w:rPr>
        <w:b/>
      </w:rPr>
      <w:instrText xml:space="preserve"> PAGE  \* Arabic  \* MERGEFORMAT </w:instrText>
    </w:r>
    <w:r>
      <w:rPr>
        <w:b/>
      </w:rPr>
      <w:fldChar w:fldCharType="separate"/>
    </w:r>
    <w:r w:rsidR="003B284F">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3B284F">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7CEC0" w14:textId="77777777" w:rsidR="00193691" w:rsidRDefault="00193691" w:rsidP="00451A4C">
      <w:pPr>
        <w:spacing w:after="0" w:line="240" w:lineRule="auto"/>
      </w:pPr>
      <w:r>
        <w:separator/>
      </w:r>
    </w:p>
  </w:footnote>
  <w:footnote w:type="continuationSeparator" w:id="0">
    <w:p w14:paraId="34AE2E72" w14:textId="77777777" w:rsidR="00193691" w:rsidRDefault="00193691" w:rsidP="0045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0969" w14:textId="30B7566C" w:rsidR="00453F1C" w:rsidRPr="00E14C3F" w:rsidRDefault="00453F1C" w:rsidP="00451A4C">
    <w:pPr>
      <w:pStyle w:val="Header"/>
      <w:tabs>
        <w:tab w:val="clear" w:pos="9026"/>
      </w:tabs>
      <w:jc w:val="right"/>
      <w:rPr>
        <w:sz w:val="20"/>
        <w:szCs w:val="20"/>
      </w:rPr>
    </w:pPr>
    <w:r>
      <w:rPr>
        <w:noProof/>
        <w:lang w:eastAsia="en-AU"/>
      </w:rPr>
      <w:drawing>
        <wp:anchor distT="0" distB="0" distL="114300" distR="114300" simplePos="0" relativeHeight="251657216" behindDoc="0" locked="0" layoutInCell="1" allowOverlap="1" wp14:anchorId="25B690A2" wp14:editId="0D40F6A0">
          <wp:simplePos x="0" y="0"/>
          <wp:positionH relativeFrom="margin">
            <wp:posOffset>1248833</wp:posOffset>
          </wp:positionH>
          <wp:positionV relativeFrom="margin">
            <wp:posOffset>-748030</wp:posOffset>
          </wp:positionV>
          <wp:extent cx="2931795" cy="706755"/>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1795" cy="706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71C11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4A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AB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2200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F46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A31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2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64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DE06D8"/>
    <w:lvl w:ilvl="0">
      <w:start w:val="1"/>
      <w:numFmt w:val="decimal"/>
      <w:lvlText w:val="%1."/>
      <w:lvlJc w:val="left"/>
      <w:pPr>
        <w:tabs>
          <w:tab w:val="num" w:pos="360"/>
        </w:tabs>
        <w:ind w:left="360" w:hanging="360"/>
      </w:pPr>
    </w:lvl>
  </w:abstractNum>
  <w:abstractNum w:abstractNumId="9" w15:restartNumberingAfterBreak="0">
    <w:nsid w:val="00707A0D"/>
    <w:multiLevelType w:val="hybridMultilevel"/>
    <w:tmpl w:val="4906C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3783EEA"/>
    <w:multiLevelType w:val="hybridMultilevel"/>
    <w:tmpl w:val="A3DA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10E9A"/>
    <w:multiLevelType w:val="multilevel"/>
    <w:tmpl w:val="8890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76931"/>
    <w:multiLevelType w:val="hybridMultilevel"/>
    <w:tmpl w:val="8CE82D7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23E36A47"/>
    <w:multiLevelType w:val="hybridMultilevel"/>
    <w:tmpl w:val="9B881FD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2BEA6EDB"/>
    <w:multiLevelType w:val="hybridMultilevel"/>
    <w:tmpl w:val="15860B4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35303C66"/>
    <w:multiLevelType w:val="multilevel"/>
    <w:tmpl w:val="8890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F6433"/>
    <w:multiLevelType w:val="hybridMultilevel"/>
    <w:tmpl w:val="A438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075F08"/>
    <w:multiLevelType w:val="hybridMultilevel"/>
    <w:tmpl w:val="E4F662E0"/>
    <w:lvl w:ilvl="0" w:tplc="0C09000F">
      <w:start w:val="1"/>
      <w:numFmt w:val="decimal"/>
      <w:lvlText w:val="%1."/>
      <w:lvlJc w:val="left"/>
      <w:pPr>
        <w:ind w:left="766" w:hanging="360"/>
      </w:pPr>
      <w:rPr>
        <w:rFonts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64597821"/>
    <w:multiLevelType w:val="hybridMultilevel"/>
    <w:tmpl w:val="B83A0844"/>
    <w:lvl w:ilvl="0" w:tplc="0C090001">
      <w:start w:val="1"/>
      <w:numFmt w:val="bullet"/>
      <w:lvlText w:val=""/>
      <w:lvlJc w:val="left"/>
      <w:pPr>
        <w:ind w:left="578" w:hanging="360"/>
      </w:pPr>
      <w:rPr>
        <w:rFonts w:ascii="Symbol" w:hAnsi="Symbol" w:hint="default"/>
      </w:rPr>
    </w:lvl>
    <w:lvl w:ilvl="1" w:tplc="899C9586">
      <w:start w:val="1"/>
      <w:numFmt w:val="bullet"/>
      <w:pStyle w:val="ListBullet2"/>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650B1B9B"/>
    <w:multiLevelType w:val="hybridMultilevel"/>
    <w:tmpl w:val="894A4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073407"/>
    <w:multiLevelType w:val="hybridMultilevel"/>
    <w:tmpl w:val="392E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2B691A"/>
    <w:multiLevelType w:val="hybridMultilevel"/>
    <w:tmpl w:val="940AD140"/>
    <w:lvl w:ilvl="0" w:tplc="1158A0F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0"/>
  </w:num>
  <w:num w:numId="4">
    <w:abstractNumId w:val="12"/>
  </w:num>
  <w:num w:numId="5">
    <w:abstractNumId w:val="17"/>
  </w:num>
  <w:num w:numId="6">
    <w:abstractNumId w:val="20"/>
  </w:num>
  <w:num w:numId="7">
    <w:abstractNumId w:val="19"/>
  </w:num>
  <w:num w:numId="8">
    <w:abstractNumId w:val="16"/>
  </w:num>
  <w:num w:numId="9">
    <w:abstractNumId w:val="11"/>
  </w:num>
  <w:num w:numId="10">
    <w:abstractNumId w:val="18"/>
  </w:num>
  <w:num w:numId="11">
    <w:abstractNumId w:val="9"/>
  </w:num>
  <w:num w:numId="12">
    <w:abstractNumId w:val="9"/>
  </w:num>
  <w:num w:numId="13">
    <w:abstractNumId w:val="14"/>
  </w:num>
  <w:num w:numId="14">
    <w:abstractNumId w:val="13"/>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AB"/>
    <w:rsid w:val="0000034C"/>
    <w:rsid w:val="00001972"/>
    <w:rsid w:val="00004E4C"/>
    <w:rsid w:val="00005EEC"/>
    <w:rsid w:val="00006203"/>
    <w:rsid w:val="00006DAA"/>
    <w:rsid w:val="000111EE"/>
    <w:rsid w:val="00012E66"/>
    <w:rsid w:val="000140BF"/>
    <w:rsid w:val="00015D8E"/>
    <w:rsid w:val="00020090"/>
    <w:rsid w:val="0002054E"/>
    <w:rsid w:val="000210FD"/>
    <w:rsid w:val="000217DD"/>
    <w:rsid w:val="00021AC2"/>
    <w:rsid w:val="00026137"/>
    <w:rsid w:val="00034F4E"/>
    <w:rsid w:val="00036434"/>
    <w:rsid w:val="00042A14"/>
    <w:rsid w:val="00044B73"/>
    <w:rsid w:val="00050CFD"/>
    <w:rsid w:val="00055503"/>
    <w:rsid w:val="0005588B"/>
    <w:rsid w:val="00057D28"/>
    <w:rsid w:val="00060F38"/>
    <w:rsid w:val="00063B88"/>
    <w:rsid w:val="00065CC3"/>
    <w:rsid w:val="0007112E"/>
    <w:rsid w:val="000723FE"/>
    <w:rsid w:val="00073D7B"/>
    <w:rsid w:val="00077E45"/>
    <w:rsid w:val="00080BD0"/>
    <w:rsid w:val="000869B3"/>
    <w:rsid w:val="00087E4B"/>
    <w:rsid w:val="0009082F"/>
    <w:rsid w:val="000921CE"/>
    <w:rsid w:val="00092DBB"/>
    <w:rsid w:val="000977BD"/>
    <w:rsid w:val="000A0CE3"/>
    <w:rsid w:val="000A2C03"/>
    <w:rsid w:val="000A3B7B"/>
    <w:rsid w:val="000A5459"/>
    <w:rsid w:val="000B13F6"/>
    <w:rsid w:val="000B1F3D"/>
    <w:rsid w:val="000B3B97"/>
    <w:rsid w:val="000B488A"/>
    <w:rsid w:val="000B5643"/>
    <w:rsid w:val="000B67C9"/>
    <w:rsid w:val="000C0866"/>
    <w:rsid w:val="000C31FE"/>
    <w:rsid w:val="000C3970"/>
    <w:rsid w:val="000C56C9"/>
    <w:rsid w:val="000C64A9"/>
    <w:rsid w:val="000D1360"/>
    <w:rsid w:val="000D16AF"/>
    <w:rsid w:val="000D1980"/>
    <w:rsid w:val="000D33EF"/>
    <w:rsid w:val="000D5087"/>
    <w:rsid w:val="000D6F59"/>
    <w:rsid w:val="000E326F"/>
    <w:rsid w:val="000E68C0"/>
    <w:rsid w:val="000F1762"/>
    <w:rsid w:val="000F1AD3"/>
    <w:rsid w:val="000F2ED3"/>
    <w:rsid w:val="000F3A2E"/>
    <w:rsid w:val="00104A7E"/>
    <w:rsid w:val="001118B0"/>
    <w:rsid w:val="001166BC"/>
    <w:rsid w:val="00123866"/>
    <w:rsid w:val="0012623A"/>
    <w:rsid w:val="001307D9"/>
    <w:rsid w:val="00132150"/>
    <w:rsid w:val="001454F4"/>
    <w:rsid w:val="00145CA0"/>
    <w:rsid w:val="00150FD9"/>
    <w:rsid w:val="00152408"/>
    <w:rsid w:val="00155901"/>
    <w:rsid w:val="00156909"/>
    <w:rsid w:val="0015710B"/>
    <w:rsid w:val="0016258C"/>
    <w:rsid w:val="001629F7"/>
    <w:rsid w:val="00162BD5"/>
    <w:rsid w:val="00163DFB"/>
    <w:rsid w:val="00163E7A"/>
    <w:rsid w:val="00165060"/>
    <w:rsid w:val="001656C6"/>
    <w:rsid w:val="00166D01"/>
    <w:rsid w:val="00174513"/>
    <w:rsid w:val="00174CBF"/>
    <w:rsid w:val="00174D91"/>
    <w:rsid w:val="0018304C"/>
    <w:rsid w:val="0018751F"/>
    <w:rsid w:val="00192407"/>
    <w:rsid w:val="00193691"/>
    <w:rsid w:val="00194044"/>
    <w:rsid w:val="001A300F"/>
    <w:rsid w:val="001A45D7"/>
    <w:rsid w:val="001A7BFD"/>
    <w:rsid w:val="001B1133"/>
    <w:rsid w:val="001B1D05"/>
    <w:rsid w:val="001B2B13"/>
    <w:rsid w:val="001B6872"/>
    <w:rsid w:val="001C01EA"/>
    <w:rsid w:val="001C0CA2"/>
    <w:rsid w:val="001C181E"/>
    <w:rsid w:val="001D07B2"/>
    <w:rsid w:val="001D281C"/>
    <w:rsid w:val="001D4513"/>
    <w:rsid w:val="001F0B09"/>
    <w:rsid w:val="001F1D16"/>
    <w:rsid w:val="001F38D6"/>
    <w:rsid w:val="001F49D3"/>
    <w:rsid w:val="001F61C0"/>
    <w:rsid w:val="001F61FD"/>
    <w:rsid w:val="001F6E58"/>
    <w:rsid w:val="001F7051"/>
    <w:rsid w:val="001F7ED6"/>
    <w:rsid w:val="00200EE4"/>
    <w:rsid w:val="0021529E"/>
    <w:rsid w:val="002211D6"/>
    <w:rsid w:val="0022201D"/>
    <w:rsid w:val="002237A6"/>
    <w:rsid w:val="0022727B"/>
    <w:rsid w:val="0023002B"/>
    <w:rsid w:val="00232C7E"/>
    <w:rsid w:val="00234FBC"/>
    <w:rsid w:val="002419D9"/>
    <w:rsid w:val="00246579"/>
    <w:rsid w:val="00257C99"/>
    <w:rsid w:val="0026262F"/>
    <w:rsid w:val="0026281F"/>
    <w:rsid w:val="0026774E"/>
    <w:rsid w:val="00274D5F"/>
    <w:rsid w:val="002758CB"/>
    <w:rsid w:val="0027774C"/>
    <w:rsid w:val="00277795"/>
    <w:rsid w:val="00280349"/>
    <w:rsid w:val="002872B8"/>
    <w:rsid w:val="002872BA"/>
    <w:rsid w:val="00291D41"/>
    <w:rsid w:val="002931CF"/>
    <w:rsid w:val="002A0DE6"/>
    <w:rsid w:val="002A2B97"/>
    <w:rsid w:val="002A407B"/>
    <w:rsid w:val="002C2861"/>
    <w:rsid w:val="002C7AF8"/>
    <w:rsid w:val="002D39B9"/>
    <w:rsid w:val="002D5E3E"/>
    <w:rsid w:val="002E3C7F"/>
    <w:rsid w:val="002E77A9"/>
    <w:rsid w:val="002E7F00"/>
    <w:rsid w:val="002F02E8"/>
    <w:rsid w:val="002F2B10"/>
    <w:rsid w:val="002F6974"/>
    <w:rsid w:val="003010F6"/>
    <w:rsid w:val="00301144"/>
    <w:rsid w:val="00302A26"/>
    <w:rsid w:val="00303127"/>
    <w:rsid w:val="0030411E"/>
    <w:rsid w:val="00305A46"/>
    <w:rsid w:val="00306948"/>
    <w:rsid w:val="00310DB1"/>
    <w:rsid w:val="00310FE1"/>
    <w:rsid w:val="00311404"/>
    <w:rsid w:val="00311536"/>
    <w:rsid w:val="00313569"/>
    <w:rsid w:val="003151D2"/>
    <w:rsid w:val="003160DD"/>
    <w:rsid w:val="00316EC4"/>
    <w:rsid w:val="00327D4F"/>
    <w:rsid w:val="00332223"/>
    <w:rsid w:val="00332C97"/>
    <w:rsid w:val="0033373E"/>
    <w:rsid w:val="00334534"/>
    <w:rsid w:val="00336002"/>
    <w:rsid w:val="0033604F"/>
    <w:rsid w:val="00340F90"/>
    <w:rsid w:val="0034158F"/>
    <w:rsid w:val="003444E7"/>
    <w:rsid w:val="003469A0"/>
    <w:rsid w:val="0034730B"/>
    <w:rsid w:val="00347730"/>
    <w:rsid w:val="00354F45"/>
    <w:rsid w:val="00354F57"/>
    <w:rsid w:val="00356238"/>
    <w:rsid w:val="00362DFF"/>
    <w:rsid w:val="00364E20"/>
    <w:rsid w:val="003725A4"/>
    <w:rsid w:val="00377875"/>
    <w:rsid w:val="003868FB"/>
    <w:rsid w:val="00390097"/>
    <w:rsid w:val="00390E3B"/>
    <w:rsid w:val="00391D75"/>
    <w:rsid w:val="00392D40"/>
    <w:rsid w:val="003934BC"/>
    <w:rsid w:val="0039366A"/>
    <w:rsid w:val="003938C1"/>
    <w:rsid w:val="0039432A"/>
    <w:rsid w:val="00396353"/>
    <w:rsid w:val="003A2B49"/>
    <w:rsid w:val="003B1A66"/>
    <w:rsid w:val="003B284F"/>
    <w:rsid w:val="003B5C9B"/>
    <w:rsid w:val="003C0FE3"/>
    <w:rsid w:val="003C3518"/>
    <w:rsid w:val="003D369D"/>
    <w:rsid w:val="003E20DC"/>
    <w:rsid w:val="003E32A5"/>
    <w:rsid w:val="003E40E2"/>
    <w:rsid w:val="003E48BC"/>
    <w:rsid w:val="003F0462"/>
    <w:rsid w:val="003F1E01"/>
    <w:rsid w:val="003F2C72"/>
    <w:rsid w:val="003F4760"/>
    <w:rsid w:val="003F61F4"/>
    <w:rsid w:val="0040178F"/>
    <w:rsid w:val="00401EC5"/>
    <w:rsid w:val="004041B8"/>
    <w:rsid w:val="004067F4"/>
    <w:rsid w:val="0041494A"/>
    <w:rsid w:val="00416AEC"/>
    <w:rsid w:val="00424964"/>
    <w:rsid w:val="0042581B"/>
    <w:rsid w:val="00426572"/>
    <w:rsid w:val="004302D9"/>
    <w:rsid w:val="00430A66"/>
    <w:rsid w:val="00443D53"/>
    <w:rsid w:val="0044631F"/>
    <w:rsid w:val="00451A4C"/>
    <w:rsid w:val="00453F1C"/>
    <w:rsid w:val="004542B0"/>
    <w:rsid w:val="0046330B"/>
    <w:rsid w:val="004707B8"/>
    <w:rsid w:val="00470A7E"/>
    <w:rsid w:val="00471AEC"/>
    <w:rsid w:val="00473EA9"/>
    <w:rsid w:val="00476B90"/>
    <w:rsid w:val="00477FDB"/>
    <w:rsid w:val="004901C7"/>
    <w:rsid w:val="0049049B"/>
    <w:rsid w:val="0049152B"/>
    <w:rsid w:val="00494927"/>
    <w:rsid w:val="004A113F"/>
    <w:rsid w:val="004A1654"/>
    <w:rsid w:val="004A1D78"/>
    <w:rsid w:val="004A31F2"/>
    <w:rsid w:val="004A4F72"/>
    <w:rsid w:val="004A6D47"/>
    <w:rsid w:val="004A7DA3"/>
    <w:rsid w:val="004B2F41"/>
    <w:rsid w:val="004B30EB"/>
    <w:rsid w:val="004B31A5"/>
    <w:rsid w:val="004B5B9A"/>
    <w:rsid w:val="004B5F78"/>
    <w:rsid w:val="004C0D39"/>
    <w:rsid w:val="004C3685"/>
    <w:rsid w:val="004D1F12"/>
    <w:rsid w:val="004E439F"/>
    <w:rsid w:val="004E60A5"/>
    <w:rsid w:val="004E7014"/>
    <w:rsid w:val="004F029C"/>
    <w:rsid w:val="004F02BF"/>
    <w:rsid w:val="004F21FF"/>
    <w:rsid w:val="004F25A8"/>
    <w:rsid w:val="004F3B3D"/>
    <w:rsid w:val="004F5373"/>
    <w:rsid w:val="004F720C"/>
    <w:rsid w:val="004F7BAD"/>
    <w:rsid w:val="005022C7"/>
    <w:rsid w:val="005059BC"/>
    <w:rsid w:val="00506629"/>
    <w:rsid w:val="00513F02"/>
    <w:rsid w:val="0051681B"/>
    <w:rsid w:val="0051692D"/>
    <w:rsid w:val="005243A1"/>
    <w:rsid w:val="00527507"/>
    <w:rsid w:val="005304BA"/>
    <w:rsid w:val="00540500"/>
    <w:rsid w:val="005405C7"/>
    <w:rsid w:val="00543B54"/>
    <w:rsid w:val="00543F77"/>
    <w:rsid w:val="00550BD2"/>
    <w:rsid w:val="00551924"/>
    <w:rsid w:val="0055199B"/>
    <w:rsid w:val="00554982"/>
    <w:rsid w:val="00555222"/>
    <w:rsid w:val="00557365"/>
    <w:rsid w:val="00562D6C"/>
    <w:rsid w:val="00567A26"/>
    <w:rsid w:val="005772AE"/>
    <w:rsid w:val="00580587"/>
    <w:rsid w:val="0058301E"/>
    <w:rsid w:val="00583611"/>
    <w:rsid w:val="00587E6A"/>
    <w:rsid w:val="005A5466"/>
    <w:rsid w:val="005B1665"/>
    <w:rsid w:val="005B2546"/>
    <w:rsid w:val="005B3A58"/>
    <w:rsid w:val="005C1CD8"/>
    <w:rsid w:val="005C4DCC"/>
    <w:rsid w:val="005C5406"/>
    <w:rsid w:val="005C7B73"/>
    <w:rsid w:val="005D3DF1"/>
    <w:rsid w:val="005D7F10"/>
    <w:rsid w:val="005E0537"/>
    <w:rsid w:val="005E347D"/>
    <w:rsid w:val="005E6B4A"/>
    <w:rsid w:val="005E787B"/>
    <w:rsid w:val="005F1A44"/>
    <w:rsid w:val="005F26AB"/>
    <w:rsid w:val="0060065C"/>
    <w:rsid w:val="00604968"/>
    <w:rsid w:val="00607B8A"/>
    <w:rsid w:val="00611754"/>
    <w:rsid w:val="00615FF4"/>
    <w:rsid w:val="00617203"/>
    <w:rsid w:val="00622284"/>
    <w:rsid w:val="00623A35"/>
    <w:rsid w:val="00630D84"/>
    <w:rsid w:val="00632DA7"/>
    <w:rsid w:val="00636E7A"/>
    <w:rsid w:val="006375D8"/>
    <w:rsid w:val="0064005C"/>
    <w:rsid w:val="006441D6"/>
    <w:rsid w:val="00646916"/>
    <w:rsid w:val="00646D1B"/>
    <w:rsid w:val="006505EA"/>
    <w:rsid w:val="00650B23"/>
    <w:rsid w:val="00654CF7"/>
    <w:rsid w:val="006552C2"/>
    <w:rsid w:val="00657221"/>
    <w:rsid w:val="006616C0"/>
    <w:rsid w:val="00662916"/>
    <w:rsid w:val="00664557"/>
    <w:rsid w:val="0066720E"/>
    <w:rsid w:val="00671A2B"/>
    <w:rsid w:val="00680A4B"/>
    <w:rsid w:val="00683032"/>
    <w:rsid w:val="00685817"/>
    <w:rsid w:val="006874D6"/>
    <w:rsid w:val="00687B6B"/>
    <w:rsid w:val="00691213"/>
    <w:rsid w:val="00694765"/>
    <w:rsid w:val="0069636D"/>
    <w:rsid w:val="006A0EE6"/>
    <w:rsid w:val="006A33B6"/>
    <w:rsid w:val="006A3F85"/>
    <w:rsid w:val="006A51B8"/>
    <w:rsid w:val="006A66AA"/>
    <w:rsid w:val="006A74E8"/>
    <w:rsid w:val="006B60A3"/>
    <w:rsid w:val="006C43F6"/>
    <w:rsid w:val="006C53F6"/>
    <w:rsid w:val="006C663E"/>
    <w:rsid w:val="006C6FAB"/>
    <w:rsid w:val="006D7299"/>
    <w:rsid w:val="006E09B4"/>
    <w:rsid w:val="006E1717"/>
    <w:rsid w:val="006E1CFD"/>
    <w:rsid w:val="006E41D0"/>
    <w:rsid w:val="006E740C"/>
    <w:rsid w:val="006F0EC1"/>
    <w:rsid w:val="006F44D6"/>
    <w:rsid w:val="006F4CAB"/>
    <w:rsid w:val="006F6B7C"/>
    <w:rsid w:val="00701CC5"/>
    <w:rsid w:val="00702445"/>
    <w:rsid w:val="007036D4"/>
    <w:rsid w:val="00710283"/>
    <w:rsid w:val="00711E71"/>
    <w:rsid w:val="00712ACE"/>
    <w:rsid w:val="00712B09"/>
    <w:rsid w:val="007156A8"/>
    <w:rsid w:val="00715C83"/>
    <w:rsid w:val="0072175F"/>
    <w:rsid w:val="007220C3"/>
    <w:rsid w:val="00730133"/>
    <w:rsid w:val="007316D1"/>
    <w:rsid w:val="00731FCA"/>
    <w:rsid w:val="0073238E"/>
    <w:rsid w:val="00732E05"/>
    <w:rsid w:val="0073547B"/>
    <w:rsid w:val="00742713"/>
    <w:rsid w:val="00750A82"/>
    <w:rsid w:val="00752FA0"/>
    <w:rsid w:val="0075345D"/>
    <w:rsid w:val="00757949"/>
    <w:rsid w:val="00757B4A"/>
    <w:rsid w:val="00762236"/>
    <w:rsid w:val="00762D8F"/>
    <w:rsid w:val="00764142"/>
    <w:rsid w:val="007738B6"/>
    <w:rsid w:val="00773A7C"/>
    <w:rsid w:val="00775FEC"/>
    <w:rsid w:val="00780518"/>
    <w:rsid w:val="00785677"/>
    <w:rsid w:val="0078633E"/>
    <w:rsid w:val="0078773B"/>
    <w:rsid w:val="007927B1"/>
    <w:rsid w:val="00792838"/>
    <w:rsid w:val="00793F20"/>
    <w:rsid w:val="0079610A"/>
    <w:rsid w:val="00796DD9"/>
    <w:rsid w:val="007A57E0"/>
    <w:rsid w:val="007A58D3"/>
    <w:rsid w:val="007A6267"/>
    <w:rsid w:val="007A711D"/>
    <w:rsid w:val="007B0005"/>
    <w:rsid w:val="007B1652"/>
    <w:rsid w:val="007B2378"/>
    <w:rsid w:val="007B2A06"/>
    <w:rsid w:val="007B6ACD"/>
    <w:rsid w:val="007B71F3"/>
    <w:rsid w:val="007C23BF"/>
    <w:rsid w:val="007C3200"/>
    <w:rsid w:val="007C582F"/>
    <w:rsid w:val="007C60E7"/>
    <w:rsid w:val="007C6FCB"/>
    <w:rsid w:val="007D24A3"/>
    <w:rsid w:val="007D3185"/>
    <w:rsid w:val="007D5462"/>
    <w:rsid w:val="007E03C4"/>
    <w:rsid w:val="007E10F7"/>
    <w:rsid w:val="007E357B"/>
    <w:rsid w:val="007F6EC7"/>
    <w:rsid w:val="007F7568"/>
    <w:rsid w:val="007F7968"/>
    <w:rsid w:val="007F7C34"/>
    <w:rsid w:val="007F7E60"/>
    <w:rsid w:val="0080261F"/>
    <w:rsid w:val="00805443"/>
    <w:rsid w:val="00805F7F"/>
    <w:rsid w:val="00806484"/>
    <w:rsid w:val="00806BF5"/>
    <w:rsid w:val="00817CA8"/>
    <w:rsid w:val="00817CCC"/>
    <w:rsid w:val="0082000B"/>
    <w:rsid w:val="00821580"/>
    <w:rsid w:val="00822157"/>
    <w:rsid w:val="0082386E"/>
    <w:rsid w:val="00825222"/>
    <w:rsid w:val="008308A7"/>
    <w:rsid w:val="00830B7A"/>
    <w:rsid w:val="00832A44"/>
    <w:rsid w:val="00835B29"/>
    <w:rsid w:val="00836217"/>
    <w:rsid w:val="00840A01"/>
    <w:rsid w:val="0084456A"/>
    <w:rsid w:val="00844F8A"/>
    <w:rsid w:val="008464BB"/>
    <w:rsid w:val="0085705F"/>
    <w:rsid w:val="008627E3"/>
    <w:rsid w:val="00865E8D"/>
    <w:rsid w:val="00866EAD"/>
    <w:rsid w:val="00872856"/>
    <w:rsid w:val="0087339E"/>
    <w:rsid w:val="00881EEE"/>
    <w:rsid w:val="008834F9"/>
    <w:rsid w:val="0088463A"/>
    <w:rsid w:val="008916A1"/>
    <w:rsid w:val="008A4613"/>
    <w:rsid w:val="008A5A50"/>
    <w:rsid w:val="008A7CA1"/>
    <w:rsid w:val="008B3C1E"/>
    <w:rsid w:val="008B45B0"/>
    <w:rsid w:val="008D4431"/>
    <w:rsid w:val="008D5B65"/>
    <w:rsid w:val="008D6EC6"/>
    <w:rsid w:val="008D7EB7"/>
    <w:rsid w:val="008E0F13"/>
    <w:rsid w:val="008F16AC"/>
    <w:rsid w:val="008F53E2"/>
    <w:rsid w:val="009032A1"/>
    <w:rsid w:val="0091107C"/>
    <w:rsid w:val="00911172"/>
    <w:rsid w:val="00912AC0"/>
    <w:rsid w:val="00914BBE"/>
    <w:rsid w:val="00915FF2"/>
    <w:rsid w:val="0091658B"/>
    <w:rsid w:val="00920F38"/>
    <w:rsid w:val="0093171A"/>
    <w:rsid w:val="00932B76"/>
    <w:rsid w:val="009346D3"/>
    <w:rsid w:val="00935FA6"/>
    <w:rsid w:val="00940A84"/>
    <w:rsid w:val="009440C4"/>
    <w:rsid w:val="00944C12"/>
    <w:rsid w:val="00946539"/>
    <w:rsid w:val="009469C3"/>
    <w:rsid w:val="00947CD3"/>
    <w:rsid w:val="00951FAB"/>
    <w:rsid w:val="009520D4"/>
    <w:rsid w:val="00954BD2"/>
    <w:rsid w:val="00956A87"/>
    <w:rsid w:val="009601D9"/>
    <w:rsid w:val="00964278"/>
    <w:rsid w:val="00970285"/>
    <w:rsid w:val="0098027A"/>
    <w:rsid w:val="00982914"/>
    <w:rsid w:val="0098301A"/>
    <w:rsid w:val="00984CF0"/>
    <w:rsid w:val="009865DA"/>
    <w:rsid w:val="009866BF"/>
    <w:rsid w:val="0099109F"/>
    <w:rsid w:val="009915DD"/>
    <w:rsid w:val="00993F78"/>
    <w:rsid w:val="009940DC"/>
    <w:rsid w:val="00995F85"/>
    <w:rsid w:val="009978D4"/>
    <w:rsid w:val="009B286A"/>
    <w:rsid w:val="009B486A"/>
    <w:rsid w:val="009C7C50"/>
    <w:rsid w:val="009D2144"/>
    <w:rsid w:val="009D4A8C"/>
    <w:rsid w:val="009E3AE3"/>
    <w:rsid w:val="009F0A66"/>
    <w:rsid w:val="009F0EE4"/>
    <w:rsid w:val="009F1482"/>
    <w:rsid w:val="009F7A42"/>
    <w:rsid w:val="00A01DF6"/>
    <w:rsid w:val="00A03CF1"/>
    <w:rsid w:val="00A04DE9"/>
    <w:rsid w:val="00A107A8"/>
    <w:rsid w:val="00A179C2"/>
    <w:rsid w:val="00A24E1A"/>
    <w:rsid w:val="00A306EC"/>
    <w:rsid w:val="00A30A70"/>
    <w:rsid w:val="00A31C80"/>
    <w:rsid w:val="00A456B1"/>
    <w:rsid w:val="00A46000"/>
    <w:rsid w:val="00A472FF"/>
    <w:rsid w:val="00A527B4"/>
    <w:rsid w:val="00A55024"/>
    <w:rsid w:val="00A578B5"/>
    <w:rsid w:val="00A602A3"/>
    <w:rsid w:val="00A61786"/>
    <w:rsid w:val="00A622DC"/>
    <w:rsid w:val="00A62731"/>
    <w:rsid w:val="00A63D1A"/>
    <w:rsid w:val="00A65CB3"/>
    <w:rsid w:val="00A73777"/>
    <w:rsid w:val="00A751C9"/>
    <w:rsid w:val="00A765B7"/>
    <w:rsid w:val="00A8223B"/>
    <w:rsid w:val="00A860DD"/>
    <w:rsid w:val="00A9767A"/>
    <w:rsid w:val="00AA6032"/>
    <w:rsid w:val="00AB02C8"/>
    <w:rsid w:val="00AB1569"/>
    <w:rsid w:val="00AB2C86"/>
    <w:rsid w:val="00AB2D07"/>
    <w:rsid w:val="00AB5450"/>
    <w:rsid w:val="00AB5BFC"/>
    <w:rsid w:val="00AB7E0F"/>
    <w:rsid w:val="00AC0BDF"/>
    <w:rsid w:val="00AC1838"/>
    <w:rsid w:val="00AC28B0"/>
    <w:rsid w:val="00AC2EAA"/>
    <w:rsid w:val="00AC3DEA"/>
    <w:rsid w:val="00AC4139"/>
    <w:rsid w:val="00AC4591"/>
    <w:rsid w:val="00AC4790"/>
    <w:rsid w:val="00AC770A"/>
    <w:rsid w:val="00AC7FA9"/>
    <w:rsid w:val="00AD0A79"/>
    <w:rsid w:val="00AD0FC4"/>
    <w:rsid w:val="00AD3935"/>
    <w:rsid w:val="00AD50AB"/>
    <w:rsid w:val="00AD7FB3"/>
    <w:rsid w:val="00AE1EFA"/>
    <w:rsid w:val="00AE3231"/>
    <w:rsid w:val="00AE774F"/>
    <w:rsid w:val="00AF2441"/>
    <w:rsid w:val="00B000C4"/>
    <w:rsid w:val="00B15339"/>
    <w:rsid w:val="00B15C3D"/>
    <w:rsid w:val="00B2023C"/>
    <w:rsid w:val="00B2149F"/>
    <w:rsid w:val="00B221CA"/>
    <w:rsid w:val="00B249E0"/>
    <w:rsid w:val="00B30620"/>
    <w:rsid w:val="00B336C2"/>
    <w:rsid w:val="00B359E9"/>
    <w:rsid w:val="00B36903"/>
    <w:rsid w:val="00B37597"/>
    <w:rsid w:val="00B40652"/>
    <w:rsid w:val="00B42516"/>
    <w:rsid w:val="00B47A57"/>
    <w:rsid w:val="00B51891"/>
    <w:rsid w:val="00B51D31"/>
    <w:rsid w:val="00B56ACD"/>
    <w:rsid w:val="00B644D4"/>
    <w:rsid w:val="00B65A3D"/>
    <w:rsid w:val="00B66CEB"/>
    <w:rsid w:val="00B67347"/>
    <w:rsid w:val="00B67C1A"/>
    <w:rsid w:val="00B70053"/>
    <w:rsid w:val="00B72AA2"/>
    <w:rsid w:val="00B74BF7"/>
    <w:rsid w:val="00B8466A"/>
    <w:rsid w:val="00B8578C"/>
    <w:rsid w:val="00B86E0B"/>
    <w:rsid w:val="00B87712"/>
    <w:rsid w:val="00B9115B"/>
    <w:rsid w:val="00B935B9"/>
    <w:rsid w:val="00B95685"/>
    <w:rsid w:val="00BA51C0"/>
    <w:rsid w:val="00BA535D"/>
    <w:rsid w:val="00BB1084"/>
    <w:rsid w:val="00BB2900"/>
    <w:rsid w:val="00BB2CFC"/>
    <w:rsid w:val="00BB3C1C"/>
    <w:rsid w:val="00BB3E62"/>
    <w:rsid w:val="00BB71C3"/>
    <w:rsid w:val="00BC0771"/>
    <w:rsid w:val="00BC1FF7"/>
    <w:rsid w:val="00BC6668"/>
    <w:rsid w:val="00BD0ED8"/>
    <w:rsid w:val="00BD156B"/>
    <w:rsid w:val="00BD72ED"/>
    <w:rsid w:val="00BE0CEC"/>
    <w:rsid w:val="00BE4947"/>
    <w:rsid w:val="00BF1535"/>
    <w:rsid w:val="00BF2CA1"/>
    <w:rsid w:val="00BF2F34"/>
    <w:rsid w:val="00BF37B0"/>
    <w:rsid w:val="00BF4D4E"/>
    <w:rsid w:val="00BF5122"/>
    <w:rsid w:val="00BF54A1"/>
    <w:rsid w:val="00BF7A74"/>
    <w:rsid w:val="00C10096"/>
    <w:rsid w:val="00C13D97"/>
    <w:rsid w:val="00C25BF1"/>
    <w:rsid w:val="00C31B02"/>
    <w:rsid w:val="00C33ECD"/>
    <w:rsid w:val="00C34195"/>
    <w:rsid w:val="00C346C5"/>
    <w:rsid w:val="00C36A07"/>
    <w:rsid w:val="00C40026"/>
    <w:rsid w:val="00C44ADD"/>
    <w:rsid w:val="00C45072"/>
    <w:rsid w:val="00C507AD"/>
    <w:rsid w:val="00C5261D"/>
    <w:rsid w:val="00C56D81"/>
    <w:rsid w:val="00C71E34"/>
    <w:rsid w:val="00C71EC0"/>
    <w:rsid w:val="00C74492"/>
    <w:rsid w:val="00C75AD1"/>
    <w:rsid w:val="00C768EE"/>
    <w:rsid w:val="00C814B2"/>
    <w:rsid w:val="00C81F7D"/>
    <w:rsid w:val="00C927AD"/>
    <w:rsid w:val="00C94FE6"/>
    <w:rsid w:val="00C96CAC"/>
    <w:rsid w:val="00C971F2"/>
    <w:rsid w:val="00CA0BF6"/>
    <w:rsid w:val="00CA341F"/>
    <w:rsid w:val="00CA3573"/>
    <w:rsid w:val="00CA4CD4"/>
    <w:rsid w:val="00CA54B9"/>
    <w:rsid w:val="00CA57C6"/>
    <w:rsid w:val="00CB2D9E"/>
    <w:rsid w:val="00CC0BD5"/>
    <w:rsid w:val="00CC3DC2"/>
    <w:rsid w:val="00CC7DAB"/>
    <w:rsid w:val="00CD27F8"/>
    <w:rsid w:val="00CD3255"/>
    <w:rsid w:val="00CE1FEA"/>
    <w:rsid w:val="00CE29C9"/>
    <w:rsid w:val="00CE59A2"/>
    <w:rsid w:val="00CE5F2F"/>
    <w:rsid w:val="00CE6049"/>
    <w:rsid w:val="00CE7B36"/>
    <w:rsid w:val="00CE7DBB"/>
    <w:rsid w:val="00CF0A78"/>
    <w:rsid w:val="00CF10C0"/>
    <w:rsid w:val="00CF6218"/>
    <w:rsid w:val="00D076EB"/>
    <w:rsid w:val="00D07BB5"/>
    <w:rsid w:val="00D10F22"/>
    <w:rsid w:val="00D11B7B"/>
    <w:rsid w:val="00D13BB2"/>
    <w:rsid w:val="00D21934"/>
    <w:rsid w:val="00D35C1E"/>
    <w:rsid w:val="00D42FF1"/>
    <w:rsid w:val="00D44753"/>
    <w:rsid w:val="00D46F21"/>
    <w:rsid w:val="00D47024"/>
    <w:rsid w:val="00D57E38"/>
    <w:rsid w:val="00D602F6"/>
    <w:rsid w:val="00D61640"/>
    <w:rsid w:val="00D63A78"/>
    <w:rsid w:val="00D6414D"/>
    <w:rsid w:val="00D643E6"/>
    <w:rsid w:val="00D65597"/>
    <w:rsid w:val="00D66B57"/>
    <w:rsid w:val="00D672E6"/>
    <w:rsid w:val="00D7060F"/>
    <w:rsid w:val="00D7595A"/>
    <w:rsid w:val="00D775A6"/>
    <w:rsid w:val="00D8077A"/>
    <w:rsid w:val="00D81C8B"/>
    <w:rsid w:val="00D9201C"/>
    <w:rsid w:val="00D9358C"/>
    <w:rsid w:val="00DA2672"/>
    <w:rsid w:val="00DA7DE8"/>
    <w:rsid w:val="00DB1E36"/>
    <w:rsid w:val="00DB272D"/>
    <w:rsid w:val="00DB4461"/>
    <w:rsid w:val="00DC0EB3"/>
    <w:rsid w:val="00DC1F75"/>
    <w:rsid w:val="00DC438F"/>
    <w:rsid w:val="00DC44C9"/>
    <w:rsid w:val="00DC607C"/>
    <w:rsid w:val="00DD2148"/>
    <w:rsid w:val="00DE007C"/>
    <w:rsid w:val="00DE0BC0"/>
    <w:rsid w:val="00DE7706"/>
    <w:rsid w:val="00DF00CC"/>
    <w:rsid w:val="00DF0A6B"/>
    <w:rsid w:val="00DF0DF6"/>
    <w:rsid w:val="00DF1A1A"/>
    <w:rsid w:val="00DF1F38"/>
    <w:rsid w:val="00DF4C49"/>
    <w:rsid w:val="00DF6F33"/>
    <w:rsid w:val="00E00027"/>
    <w:rsid w:val="00E025C2"/>
    <w:rsid w:val="00E03A65"/>
    <w:rsid w:val="00E048F9"/>
    <w:rsid w:val="00E0614A"/>
    <w:rsid w:val="00E14C3F"/>
    <w:rsid w:val="00E20F03"/>
    <w:rsid w:val="00E222A1"/>
    <w:rsid w:val="00E260A1"/>
    <w:rsid w:val="00E33358"/>
    <w:rsid w:val="00E364E5"/>
    <w:rsid w:val="00E41DDE"/>
    <w:rsid w:val="00E41F6A"/>
    <w:rsid w:val="00E43B08"/>
    <w:rsid w:val="00E548E8"/>
    <w:rsid w:val="00E56EC1"/>
    <w:rsid w:val="00E5763B"/>
    <w:rsid w:val="00E65B2D"/>
    <w:rsid w:val="00E6711D"/>
    <w:rsid w:val="00E70FEC"/>
    <w:rsid w:val="00E73798"/>
    <w:rsid w:val="00E80989"/>
    <w:rsid w:val="00E83D9E"/>
    <w:rsid w:val="00E84893"/>
    <w:rsid w:val="00E84952"/>
    <w:rsid w:val="00E8521C"/>
    <w:rsid w:val="00E97939"/>
    <w:rsid w:val="00EA0D6D"/>
    <w:rsid w:val="00EA771A"/>
    <w:rsid w:val="00EB3188"/>
    <w:rsid w:val="00EB74A5"/>
    <w:rsid w:val="00EC23E8"/>
    <w:rsid w:val="00EC7C2B"/>
    <w:rsid w:val="00ED1BDD"/>
    <w:rsid w:val="00ED3552"/>
    <w:rsid w:val="00F03E9E"/>
    <w:rsid w:val="00F04406"/>
    <w:rsid w:val="00F12CC3"/>
    <w:rsid w:val="00F16343"/>
    <w:rsid w:val="00F20B1B"/>
    <w:rsid w:val="00F26337"/>
    <w:rsid w:val="00F27EDA"/>
    <w:rsid w:val="00F316A7"/>
    <w:rsid w:val="00F33A6C"/>
    <w:rsid w:val="00F33CEB"/>
    <w:rsid w:val="00F34371"/>
    <w:rsid w:val="00F40CB6"/>
    <w:rsid w:val="00F43C55"/>
    <w:rsid w:val="00F45FC3"/>
    <w:rsid w:val="00F46D82"/>
    <w:rsid w:val="00F5496E"/>
    <w:rsid w:val="00F55399"/>
    <w:rsid w:val="00F6356D"/>
    <w:rsid w:val="00F65C95"/>
    <w:rsid w:val="00F667FC"/>
    <w:rsid w:val="00F66D7A"/>
    <w:rsid w:val="00F72E91"/>
    <w:rsid w:val="00F87359"/>
    <w:rsid w:val="00F87E92"/>
    <w:rsid w:val="00F9180D"/>
    <w:rsid w:val="00F92C80"/>
    <w:rsid w:val="00F93350"/>
    <w:rsid w:val="00F93ED8"/>
    <w:rsid w:val="00F947D1"/>
    <w:rsid w:val="00F95387"/>
    <w:rsid w:val="00F979A2"/>
    <w:rsid w:val="00FA7838"/>
    <w:rsid w:val="00FB7DA8"/>
    <w:rsid w:val="00FC4987"/>
    <w:rsid w:val="00FC659E"/>
    <w:rsid w:val="00FE4CCE"/>
    <w:rsid w:val="00FE6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9B72F"/>
  <w15:docId w15:val="{634DD739-2784-4DF8-BD68-16CC49C9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21"/>
  </w:style>
  <w:style w:type="paragraph" w:styleId="Heading2">
    <w:name w:val="heading 2"/>
    <w:basedOn w:val="Normal"/>
    <w:next w:val="Normal"/>
    <w:link w:val="Heading2Char"/>
    <w:uiPriority w:val="9"/>
    <w:unhideWhenUsed/>
    <w:qFormat/>
    <w:rsid w:val="00657221"/>
    <w:pPr>
      <w:autoSpaceDE w:val="0"/>
      <w:autoSpaceDN w:val="0"/>
      <w:adjustRightInd w:val="0"/>
      <w:spacing w:after="120" w:line="240" w:lineRule="auto"/>
      <w:outlineLvl w:val="1"/>
    </w:pPr>
    <w:rPr>
      <w:rFonts w:cs="Arial"/>
      <w:b/>
      <w:bCs/>
      <w:color w:val="3374B8"/>
      <w:sz w:val="28"/>
      <w:szCs w:val="28"/>
    </w:rPr>
  </w:style>
  <w:style w:type="paragraph" w:styleId="Heading3">
    <w:name w:val="heading 3"/>
    <w:basedOn w:val="Heading2"/>
    <w:next w:val="Normal"/>
    <w:link w:val="Heading3Char"/>
    <w:uiPriority w:val="9"/>
    <w:unhideWhenUsed/>
    <w:qFormat/>
    <w:rsid w:val="00657221"/>
    <w:pPr>
      <w:keepNext/>
      <w:keepLines/>
      <w:spacing w:before="200"/>
      <w:outlineLvl w:val="2"/>
    </w:pPr>
    <w:rPr>
      <w:rFonts w:ascii="Calibri" w:eastAsiaTheme="majorEastAsia" w:hAnsi="Calibri" w:cstheme="majorBidi"/>
      <w:bCs w:val="0"/>
      <w:color w:val="4F81BD" w:themeColor="accent1"/>
      <w:sz w:val="24"/>
    </w:rPr>
  </w:style>
  <w:style w:type="paragraph" w:styleId="Heading4">
    <w:name w:val="heading 4"/>
    <w:basedOn w:val="Heading3"/>
    <w:next w:val="Normal"/>
    <w:link w:val="Heading4Char"/>
    <w:uiPriority w:val="9"/>
    <w:unhideWhenUsed/>
    <w:qFormat/>
    <w:rsid w:val="00657221"/>
    <w:pPr>
      <w:spacing w:after="0"/>
      <w:outlineLvl w:val="3"/>
    </w:pPr>
    <w:rPr>
      <w:b w:val="0"/>
      <w:bCs/>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0AB"/>
    <w:rPr>
      <w:rFonts w:ascii="Tahoma" w:hAnsi="Tahoma" w:cs="Tahoma"/>
      <w:sz w:val="16"/>
      <w:szCs w:val="16"/>
    </w:rPr>
  </w:style>
  <w:style w:type="table" w:styleId="TableGrid">
    <w:name w:val="Table Grid"/>
    <w:basedOn w:val="TableNormal"/>
    <w:uiPriority w:val="59"/>
    <w:rsid w:val="006A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DA7DE8"/>
    <w:pPr>
      <w:ind w:left="720"/>
      <w:contextualSpacing/>
    </w:pPr>
  </w:style>
  <w:style w:type="character" w:styleId="CommentReference">
    <w:name w:val="annotation reference"/>
    <w:basedOn w:val="DefaultParagraphFont"/>
    <w:uiPriority w:val="99"/>
    <w:semiHidden/>
    <w:unhideWhenUsed/>
    <w:rsid w:val="004901C7"/>
    <w:rPr>
      <w:sz w:val="16"/>
      <w:szCs w:val="16"/>
    </w:rPr>
  </w:style>
  <w:style w:type="paragraph" w:styleId="CommentText">
    <w:name w:val="annotation text"/>
    <w:basedOn w:val="Normal"/>
    <w:link w:val="CommentTextChar"/>
    <w:uiPriority w:val="99"/>
    <w:semiHidden/>
    <w:unhideWhenUsed/>
    <w:rsid w:val="004901C7"/>
    <w:pPr>
      <w:spacing w:line="240" w:lineRule="auto"/>
    </w:pPr>
    <w:rPr>
      <w:sz w:val="20"/>
      <w:szCs w:val="20"/>
    </w:rPr>
  </w:style>
  <w:style w:type="character" w:customStyle="1" w:styleId="CommentTextChar">
    <w:name w:val="Comment Text Char"/>
    <w:basedOn w:val="DefaultParagraphFont"/>
    <w:link w:val="CommentText"/>
    <w:uiPriority w:val="99"/>
    <w:semiHidden/>
    <w:rsid w:val="004901C7"/>
    <w:rPr>
      <w:sz w:val="20"/>
      <w:szCs w:val="20"/>
    </w:rPr>
  </w:style>
  <w:style w:type="paragraph" w:styleId="CommentSubject">
    <w:name w:val="annotation subject"/>
    <w:basedOn w:val="CommentText"/>
    <w:next w:val="CommentText"/>
    <w:link w:val="CommentSubjectChar"/>
    <w:uiPriority w:val="99"/>
    <w:semiHidden/>
    <w:unhideWhenUsed/>
    <w:rsid w:val="004901C7"/>
    <w:rPr>
      <w:b/>
      <w:bCs/>
    </w:rPr>
  </w:style>
  <w:style w:type="character" w:customStyle="1" w:styleId="CommentSubjectChar">
    <w:name w:val="Comment Subject Char"/>
    <w:basedOn w:val="CommentTextChar"/>
    <w:link w:val="CommentSubject"/>
    <w:uiPriority w:val="99"/>
    <w:semiHidden/>
    <w:rsid w:val="004901C7"/>
    <w:rPr>
      <w:b/>
      <w:bCs/>
      <w:sz w:val="20"/>
      <w:szCs w:val="20"/>
    </w:rPr>
  </w:style>
  <w:style w:type="character" w:customStyle="1" w:styleId="Heading2Char">
    <w:name w:val="Heading 2 Char"/>
    <w:basedOn w:val="DefaultParagraphFont"/>
    <w:link w:val="Heading2"/>
    <w:uiPriority w:val="9"/>
    <w:rsid w:val="00657221"/>
    <w:rPr>
      <w:rFonts w:cs="Arial"/>
      <w:b/>
      <w:bCs/>
      <w:color w:val="3374B8"/>
      <w:sz w:val="28"/>
      <w:szCs w:val="28"/>
    </w:rPr>
  </w:style>
  <w:style w:type="character" w:styleId="BookTitle">
    <w:name w:val="Book Title"/>
    <w:uiPriority w:val="99"/>
    <w:qFormat/>
    <w:rsid w:val="001F61C0"/>
    <w:rPr>
      <w:i/>
      <w:iCs/>
      <w:smallCaps/>
      <w:spacing w:val="5"/>
    </w:rPr>
  </w:style>
  <w:style w:type="paragraph" w:styleId="Signature">
    <w:name w:val="Signature"/>
    <w:basedOn w:val="Normal"/>
    <w:link w:val="SignatureChar"/>
    <w:uiPriority w:val="99"/>
    <w:rsid w:val="001F61C0"/>
    <w:pPr>
      <w:spacing w:before="240" w:after="480" w:line="240" w:lineRule="auto"/>
    </w:pPr>
    <w:rPr>
      <w:rFonts w:ascii="Arial" w:hAnsi="Arial"/>
      <w:color w:val="3374B7"/>
      <w:sz w:val="16"/>
    </w:rPr>
  </w:style>
  <w:style w:type="character" w:customStyle="1" w:styleId="SignatureChar">
    <w:name w:val="Signature Char"/>
    <w:basedOn w:val="DefaultParagraphFont"/>
    <w:link w:val="Signature"/>
    <w:uiPriority w:val="99"/>
    <w:rsid w:val="001F61C0"/>
    <w:rPr>
      <w:rFonts w:ascii="Arial" w:hAnsi="Arial"/>
      <w:color w:val="3374B7"/>
      <w:sz w:val="16"/>
    </w:rPr>
  </w:style>
  <w:style w:type="paragraph" w:styleId="Header">
    <w:name w:val="header"/>
    <w:basedOn w:val="Normal"/>
    <w:link w:val="HeaderChar"/>
    <w:uiPriority w:val="99"/>
    <w:unhideWhenUsed/>
    <w:rsid w:val="0045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A4C"/>
  </w:style>
  <w:style w:type="paragraph" w:styleId="Footer">
    <w:name w:val="footer"/>
    <w:basedOn w:val="Normal"/>
    <w:link w:val="FooterChar"/>
    <w:uiPriority w:val="99"/>
    <w:unhideWhenUsed/>
    <w:rsid w:val="0045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A4C"/>
  </w:style>
  <w:style w:type="character" w:styleId="Hyperlink">
    <w:name w:val="Hyperlink"/>
    <w:basedOn w:val="DefaultParagraphFont"/>
    <w:uiPriority w:val="99"/>
    <w:unhideWhenUsed/>
    <w:rsid w:val="00316EC4"/>
    <w:rPr>
      <w:color w:val="0000FF" w:themeColor="hyperlink"/>
      <w:u w:val="single"/>
    </w:rPr>
  </w:style>
  <w:style w:type="character" w:styleId="FollowedHyperlink">
    <w:name w:val="FollowedHyperlink"/>
    <w:basedOn w:val="DefaultParagraphFont"/>
    <w:uiPriority w:val="99"/>
    <w:semiHidden/>
    <w:unhideWhenUsed/>
    <w:rsid w:val="00316EC4"/>
    <w:rPr>
      <w:color w:val="800080" w:themeColor="followedHyperlink"/>
      <w:u w:val="single"/>
    </w:rPr>
  </w:style>
  <w:style w:type="character" w:customStyle="1" w:styleId="Heading4Char">
    <w:name w:val="Heading 4 Char"/>
    <w:basedOn w:val="DefaultParagraphFont"/>
    <w:link w:val="Heading4"/>
    <w:uiPriority w:val="9"/>
    <w:rsid w:val="00657221"/>
    <w:rPr>
      <w:rFonts w:ascii="Calibri" w:eastAsiaTheme="majorEastAsia" w:hAnsi="Calibri" w:cstheme="majorBidi"/>
      <w:b/>
      <w:bCs/>
      <w:iCs/>
      <w:szCs w:val="28"/>
    </w:rPr>
  </w:style>
  <w:style w:type="character" w:customStyle="1" w:styleId="Heading3Char">
    <w:name w:val="Heading 3 Char"/>
    <w:basedOn w:val="DefaultParagraphFont"/>
    <w:link w:val="Heading3"/>
    <w:uiPriority w:val="9"/>
    <w:rsid w:val="00657221"/>
    <w:rPr>
      <w:rFonts w:ascii="Calibri" w:eastAsiaTheme="majorEastAsia" w:hAnsi="Calibri" w:cstheme="majorBidi"/>
      <w:b/>
      <w:color w:val="4F81BD" w:themeColor="accent1"/>
      <w:sz w:val="24"/>
      <w:szCs w:val="28"/>
    </w:rPr>
  </w:style>
  <w:style w:type="paragraph" w:styleId="ListBullet">
    <w:name w:val="List Bullet"/>
    <w:basedOn w:val="Normal"/>
    <w:link w:val="ListBulletChar"/>
    <w:uiPriority w:val="99"/>
    <w:qFormat/>
    <w:rsid w:val="00657221"/>
    <w:pPr>
      <w:numPr>
        <w:numId w:val="1"/>
      </w:numPr>
      <w:tabs>
        <w:tab w:val="left" w:pos="170"/>
      </w:tabs>
      <w:spacing w:after="0" w:line="240" w:lineRule="auto"/>
      <w:ind w:left="641" w:hanging="357"/>
    </w:pPr>
    <w:rPr>
      <w:rFonts w:ascii="Calibri" w:eastAsia="Times New Roman" w:hAnsi="Calibri" w:cs="Times New Roman"/>
      <w:szCs w:val="24"/>
    </w:rPr>
  </w:style>
  <w:style w:type="character" w:customStyle="1" w:styleId="ListBulletChar">
    <w:name w:val="List Bullet Char"/>
    <w:link w:val="ListBullet"/>
    <w:uiPriority w:val="99"/>
    <w:locked/>
    <w:rsid w:val="00657221"/>
    <w:rPr>
      <w:rFonts w:ascii="Calibri" w:eastAsia="Times New Roman" w:hAnsi="Calibri" w:cs="Times New Roman"/>
      <w:szCs w:val="24"/>
    </w:rPr>
  </w:style>
  <w:style w:type="paragraph" w:customStyle="1" w:styleId="Default">
    <w:name w:val="Default"/>
    <w:rsid w:val="00711E7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43F77"/>
    <w:rPr>
      <w:b/>
      <w:bCs/>
    </w:rPr>
  </w:style>
  <w:style w:type="paragraph" w:styleId="NormalWeb">
    <w:name w:val="Normal (Web)"/>
    <w:basedOn w:val="Normal"/>
    <w:uiPriority w:val="99"/>
    <w:unhideWhenUsed/>
    <w:rsid w:val="00543F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link w:val="ListParagraph"/>
    <w:uiPriority w:val="34"/>
    <w:qFormat/>
    <w:locked/>
    <w:rsid w:val="00A46000"/>
  </w:style>
  <w:style w:type="paragraph" w:styleId="FootnoteText">
    <w:name w:val="footnote text"/>
    <w:basedOn w:val="Normal"/>
    <w:link w:val="FootnoteTextChar"/>
    <w:semiHidden/>
    <w:unhideWhenUsed/>
    <w:rsid w:val="00A46000"/>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46000"/>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A46000"/>
    <w:rPr>
      <w:vertAlign w:val="superscript"/>
    </w:rPr>
  </w:style>
  <w:style w:type="character" w:customStyle="1" w:styleId="UnresolvedMention1">
    <w:name w:val="Unresolved Mention1"/>
    <w:basedOn w:val="DefaultParagraphFont"/>
    <w:uiPriority w:val="99"/>
    <w:semiHidden/>
    <w:unhideWhenUsed/>
    <w:rsid w:val="00622284"/>
    <w:rPr>
      <w:color w:val="605E5C"/>
      <w:shd w:val="clear" w:color="auto" w:fill="E1DFDD"/>
    </w:rPr>
  </w:style>
  <w:style w:type="character" w:customStyle="1" w:styleId="UnresolvedMention2">
    <w:name w:val="Unresolved Mention2"/>
    <w:basedOn w:val="DefaultParagraphFont"/>
    <w:uiPriority w:val="99"/>
    <w:semiHidden/>
    <w:unhideWhenUsed/>
    <w:rsid w:val="005772AE"/>
    <w:rPr>
      <w:color w:val="605E5C"/>
      <w:shd w:val="clear" w:color="auto" w:fill="E1DFDD"/>
    </w:rPr>
  </w:style>
  <w:style w:type="character" w:styleId="UnresolvedMention">
    <w:name w:val="Unresolved Mention"/>
    <w:basedOn w:val="DefaultParagraphFont"/>
    <w:uiPriority w:val="99"/>
    <w:semiHidden/>
    <w:unhideWhenUsed/>
    <w:rsid w:val="008A4613"/>
    <w:rPr>
      <w:color w:val="605E5C"/>
      <w:shd w:val="clear" w:color="auto" w:fill="E1DFDD"/>
    </w:rPr>
  </w:style>
  <w:style w:type="paragraph" w:styleId="Title">
    <w:name w:val="Title"/>
    <w:next w:val="Normal"/>
    <w:link w:val="TitleChar"/>
    <w:uiPriority w:val="10"/>
    <w:qFormat/>
    <w:rsid w:val="00657221"/>
    <w:pPr>
      <w:spacing w:after="0" w:line="240" w:lineRule="auto"/>
      <w:contextualSpacing/>
      <w:jc w:val="center"/>
    </w:pPr>
    <w:rPr>
      <w:rFonts w:ascii="Calibri" w:eastAsiaTheme="majorEastAsia" w:hAnsi="Calibri" w:cstheme="majorBidi"/>
      <w:b/>
      <w:color w:val="3374B8"/>
      <w:spacing w:val="-10"/>
      <w:kern w:val="28"/>
      <w:sz w:val="36"/>
      <w:szCs w:val="56"/>
    </w:rPr>
  </w:style>
  <w:style w:type="character" w:customStyle="1" w:styleId="TitleChar">
    <w:name w:val="Title Char"/>
    <w:basedOn w:val="DefaultParagraphFont"/>
    <w:link w:val="Title"/>
    <w:uiPriority w:val="10"/>
    <w:rsid w:val="00657221"/>
    <w:rPr>
      <w:rFonts w:ascii="Calibri" w:eastAsiaTheme="majorEastAsia" w:hAnsi="Calibri" w:cstheme="majorBidi"/>
      <w:b/>
      <w:color w:val="3374B8"/>
      <w:spacing w:val="-10"/>
      <w:kern w:val="28"/>
      <w:sz w:val="36"/>
      <w:szCs w:val="56"/>
    </w:rPr>
  </w:style>
  <w:style w:type="paragraph" w:styleId="Subtitle">
    <w:name w:val="Subtitle"/>
    <w:basedOn w:val="Normal"/>
    <w:next w:val="Normal"/>
    <w:link w:val="SubtitleChar"/>
    <w:uiPriority w:val="11"/>
    <w:qFormat/>
    <w:rsid w:val="00657221"/>
    <w:pPr>
      <w:pBdr>
        <w:bottom w:val="single" w:sz="12" w:space="1" w:color="auto"/>
      </w:pBdr>
      <w:autoSpaceDE w:val="0"/>
      <w:autoSpaceDN w:val="0"/>
      <w:adjustRightInd w:val="0"/>
      <w:spacing w:before="120" w:after="120" w:line="240" w:lineRule="auto"/>
      <w:ind w:left="-142" w:right="-166"/>
      <w:jc w:val="center"/>
    </w:pPr>
    <w:rPr>
      <w:rFonts w:cstheme="minorHAnsi"/>
      <w:b/>
      <w:bCs/>
      <w:color w:val="31849B" w:themeColor="accent5" w:themeShade="BF"/>
      <w:sz w:val="32"/>
      <w:szCs w:val="36"/>
    </w:rPr>
  </w:style>
  <w:style w:type="character" w:customStyle="1" w:styleId="SubtitleChar">
    <w:name w:val="Subtitle Char"/>
    <w:basedOn w:val="DefaultParagraphFont"/>
    <w:link w:val="Subtitle"/>
    <w:uiPriority w:val="11"/>
    <w:rsid w:val="00657221"/>
    <w:rPr>
      <w:rFonts w:cstheme="minorHAnsi"/>
      <w:b/>
      <w:bCs/>
      <w:color w:val="31849B" w:themeColor="accent5" w:themeShade="BF"/>
      <w:sz w:val="32"/>
      <w:szCs w:val="36"/>
    </w:rPr>
  </w:style>
  <w:style w:type="paragraph" w:styleId="ListBullet2">
    <w:name w:val="List Bullet 2"/>
    <w:basedOn w:val="ListParagraph"/>
    <w:uiPriority w:val="99"/>
    <w:unhideWhenUsed/>
    <w:rsid w:val="00657221"/>
    <w:pPr>
      <w:numPr>
        <w:ilvl w:val="1"/>
        <w:numId w:val="10"/>
      </w:numPr>
      <w:spacing w:after="0" w:line="240" w:lineRule="auto"/>
      <w:ind w:left="1293" w:right="-164" w:hanging="357"/>
      <w:contextualSpacing w:val="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2626">
      <w:bodyDiv w:val="1"/>
      <w:marLeft w:val="0"/>
      <w:marRight w:val="0"/>
      <w:marTop w:val="0"/>
      <w:marBottom w:val="0"/>
      <w:divBdr>
        <w:top w:val="none" w:sz="0" w:space="0" w:color="auto"/>
        <w:left w:val="none" w:sz="0" w:space="0" w:color="auto"/>
        <w:bottom w:val="none" w:sz="0" w:space="0" w:color="auto"/>
        <w:right w:val="none" w:sz="0" w:space="0" w:color="auto"/>
      </w:divBdr>
      <w:divsChild>
        <w:div w:id="1785923157">
          <w:marLeft w:val="0"/>
          <w:marRight w:val="0"/>
          <w:marTop w:val="0"/>
          <w:marBottom w:val="0"/>
          <w:divBdr>
            <w:top w:val="none" w:sz="0" w:space="0" w:color="auto"/>
            <w:left w:val="none" w:sz="0" w:space="0" w:color="auto"/>
            <w:bottom w:val="none" w:sz="0" w:space="0" w:color="auto"/>
            <w:right w:val="none" w:sz="0" w:space="0" w:color="auto"/>
          </w:divBdr>
          <w:divsChild>
            <w:div w:id="77336266">
              <w:marLeft w:val="0"/>
              <w:marRight w:val="0"/>
              <w:marTop w:val="0"/>
              <w:marBottom w:val="0"/>
              <w:divBdr>
                <w:top w:val="none" w:sz="0" w:space="0" w:color="auto"/>
                <w:left w:val="none" w:sz="0" w:space="0" w:color="auto"/>
                <w:bottom w:val="none" w:sz="0" w:space="0" w:color="auto"/>
                <w:right w:val="none" w:sz="0" w:space="0" w:color="auto"/>
              </w:divBdr>
              <w:divsChild>
                <w:div w:id="1881018229">
                  <w:marLeft w:val="0"/>
                  <w:marRight w:val="0"/>
                  <w:marTop w:val="0"/>
                  <w:marBottom w:val="0"/>
                  <w:divBdr>
                    <w:top w:val="none" w:sz="0" w:space="0" w:color="auto"/>
                    <w:left w:val="none" w:sz="0" w:space="0" w:color="auto"/>
                    <w:bottom w:val="none" w:sz="0" w:space="0" w:color="auto"/>
                    <w:right w:val="none" w:sz="0" w:space="0" w:color="auto"/>
                  </w:divBdr>
                  <w:divsChild>
                    <w:div w:id="1712682669">
                      <w:marLeft w:val="0"/>
                      <w:marRight w:val="0"/>
                      <w:marTop w:val="0"/>
                      <w:marBottom w:val="0"/>
                      <w:divBdr>
                        <w:top w:val="none" w:sz="0" w:space="0" w:color="auto"/>
                        <w:left w:val="none" w:sz="0" w:space="0" w:color="auto"/>
                        <w:bottom w:val="none" w:sz="0" w:space="0" w:color="auto"/>
                        <w:right w:val="none" w:sz="0" w:space="0" w:color="auto"/>
                      </w:divBdr>
                      <w:divsChild>
                        <w:div w:id="1920166135">
                          <w:marLeft w:val="0"/>
                          <w:marRight w:val="0"/>
                          <w:marTop w:val="0"/>
                          <w:marBottom w:val="0"/>
                          <w:divBdr>
                            <w:top w:val="none" w:sz="0" w:space="0" w:color="auto"/>
                            <w:left w:val="none" w:sz="0" w:space="0" w:color="auto"/>
                            <w:bottom w:val="none" w:sz="0" w:space="0" w:color="auto"/>
                            <w:right w:val="none" w:sz="0" w:space="0" w:color="auto"/>
                          </w:divBdr>
                          <w:divsChild>
                            <w:div w:id="1813214319">
                              <w:marLeft w:val="0"/>
                              <w:marRight w:val="0"/>
                              <w:marTop w:val="0"/>
                              <w:marBottom w:val="0"/>
                              <w:divBdr>
                                <w:top w:val="none" w:sz="0" w:space="0" w:color="auto"/>
                                <w:left w:val="none" w:sz="0" w:space="0" w:color="auto"/>
                                <w:bottom w:val="none" w:sz="0" w:space="0" w:color="auto"/>
                                <w:right w:val="none" w:sz="0" w:space="0" w:color="auto"/>
                              </w:divBdr>
                              <w:divsChild>
                                <w:div w:id="2394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63847">
      <w:bodyDiv w:val="1"/>
      <w:marLeft w:val="0"/>
      <w:marRight w:val="0"/>
      <w:marTop w:val="0"/>
      <w:marBottom w:val="0"/>
      <w:divBdr>
        <w:top w:val="none" w:sz="0" w:space="0" w:color="auto"/>
        <w:left w:val="none" w:sz="0" w:space="0" w:color="auto"/>
        <w:bottom w:val="none" w:sz="0" w:space="0" w:color="auto"/>
        <w:right w:val="none" w:sz="0" w:space="0" w:color="auto"/>
      </w:divBdr>
    </w:div>
    <w:div w:id="195511839">
      <w:bodyDiv w:val="1"/>
      <w:marLeft w:val="0"/>
      <w:marRight w:val="0"/>
      <w:marTop w:val="0"/>
      <w:marBottom w:val="0"/>
      <w:divBdr>
        <w:top w:val="none" w:sz="0" w:space="0" w:color="auto"/>
        <w:left w:val="none" w:sz="0" w:space="0" w:color="auto"/>
        <w:bottom w:val="none" w:sz="0" w:space="0" w:color="auto"/>
        <w:right w:val="none" w:sz="0" w:space="0" w:color="auto"/>
      </w:divBdr>
    </w:div>
    <w:div w:id="262423677">
      <w:bodyDiv w:val="1"/>
      <w:marLeft w:val="0"/>
      <w:marRight w:val="0"/>
      <w:marTop w:val="0"/>
      <w:marBottom w:val="0"/>
      <w:divBdr>
        <w:top w:val="none" w:sz="0" w:space="0" w:color="auto"/>
        <w:left w:val="none" w:sz="0" w:space="0" w:color="auto"/>
        <w:bottom w:val="none" w:sz="0" w:space="0" w:color="auto"/>
        <w:right w:val="none" w:sz="0" w:space="0" w:color="auto"/>
      </w:divBdr>
    </w:div>
    <w:div w:id="398216205">
      <w:bodyDiv w:val="1"/>
      <w:marLeft w:val="0"/>
      <w:marRight w:val="0"/>
      <w:marTop w:val="0"/>
      <w:marBottom w:val="0"/>
      <w:divBdr>
        <w:top w:val="none" w:sz="0" w:space="0" w:color="auto"/>
        <w:left w:val="none" w:sz="0" w:space="0" w:color="auto"/>
        <w:bottom w:val="none" w:sz="0" w:space="0" w:color="auto"/>
        <w:right w:val="none" w:sz="0" w:space="0" w:color="auto"/>
      </w:divBdr>
    </w:div>
    <w:div w:id="486215002">
      <w:bodyDiv w:val="1"/>
      <w:marLeft w:val="0"/>
      <w:marRight w:val="0"/>
      <w:marTop w:val="0"/>
      <w:marBottom w:val="0"/>
      <w:divBdr>
        <w:top w:val="none" w:sz="0" w:space="0" w:color="auto"/>
        <w:left w:val="none" w:sz="0" w:space="0" w:color="auto"/>
        <w:bottom w:val="none" w:sz="0" w:space="0" w:color="auto"/>
        <w:right w:val="none" w:sz="0" w:space="0" w:color="auto"/>
      </w:divBdr>
    </w:div>
    <w:div w:id="540899444">
      <w:bodyDiv w:val="1"/>
      <w:marLeft w:val="0"/>
      <w:marRight w:val="0"/>
      <w:marTop w:val="0"/>
      <w:marBottom w:val="0"/>
      <w:divBdr>
        <w:top w:val="none" w:sz="0" w:space="0" w:color="auto"/>
        <w:left w:val="none" w:sz="0" w:space="0" w:color="auto"/>
        <w:bottom w:val="none" w:sz="0" w:space="0" w:color="auto"/>
        <w:right w:val="none" w:sz="0" w:space="0" w:color="auto"/>
      </w:divBdr>
    </w:div>
    <w:div w:id="599916796">
      <w:bodyDiv w:val="1"/>
      <w:marLeft w:val="0"/>
      <w:marRight w:val="0"/>
      <w:marTop w:val="0"/>
      <w:marBottom w:val="0"/>
      <w:divBdr>
        <w:top w:val="none" w:sz="0" w:space="0" w:color="auto"/>
        <w:left w:val="none" w:sz="0" w:space="0" w:color="auto"/>
        <w:bottom w:val="none" w:sz="0" w:space="0" w:color="auto"/>
        <w:right w:val="none" w:sz="0" w:space="0" w:color="auto"/>
      </w:divBdr>
    </w:div>
    <w:div w:id="755202706">
      <w:bodyDiv w:val="1"/>
      <w:marLeft w:val="0"/>
      <w:marRight w:val="0"/>
      <w:marTop w:val="0"/>
      <w:marBottom w:val="0"/>
      <w:divBdr>
        <w:top w:val="none" w:sz="0" w:space="0" w:color="auto"/>
        <w:left w:val="none" w:sz="0" w:space="0" w:color="auto"/>
        <w:bottom w:val="none" w:sz="0" w:space="0" w:color="auto"/>
        <w:right w:val="none" w:sz="0" w:space="0" w:color="auto"/>
      </w:divBdr>
      <w:divsChild>
        <w:div w:id="1610165249">
          <w:marLeft w:val="0"/>
          <w:marRight w:val="0"/>
          <w:marTop w:val="0"/>
          <w:marBottom w:val="0"/>
          <w:divBdr>
            <w:top w:val="none" w:sz="0" w:space="0" w:color="auto"/>
            <w:left w:val="none" w:sz="0" w:space="0" w:color="auto"/>
            <w:bottom w:val="none" w:sz="0" w:space="0" w:color="auto"/>
            <w:right w:val="none" w:sz="0" w:space="0" w:color="auto"/>
          </w:divBdr>
          <w:divsChild>
            <w:div w:id="1625648748">
              <w:marLeft w:val="0"/>
              <w:marRight w:val="0"/>
              <w:marTop w:val="0"/>
              <w:marBottom w:val="0"/>
              <w:divBdr>
                <w:top w:val="none" w:sz="0" w:space="0" w:color="auto"/>
                <w:left w:val="none" w:sz="0" w:space="0" w:color="auto"/>
                <w:bottom w:val="none" w:sz="0" w:space="0" w:color="auto"/>
                <w:right w:val="none" w:sz="0" w:space="0" w:color="auto"/>
              </w:divBdr>
              <w:divsChild>
                <w:div w:id="1876960441">
                  <w:marLeft w:val="0"/>
                  <w:marRight w:val="0"/>
                  <w:marTop w:val="0"/>
                  <w:marBottom w:val="0"/>
                  <w:divBdr>
                    <w:top w:val="none" w:sz="0" w:space="0" w:color="auto"/>
                    <w:left w:val="none" w:sz="0" w:space="0" w:color="auto"/>
                    <w:bottom w:val="none" w:sz="0" w:space="0" w:color="auto"/>
                    <w:right w:val="none" w:sz="0" w:space="0" w:color="auto"/>
                  </w:divBdr>
                  <w:divsChild>
                    <w:div w:id="947467274">
                      <w:marLeft w:val="0"/>
                      <w:marRight w:val="0"/>
                      <w:marTop w:val="0"/>
                      <w:marBottom w:val="0"/>
                      <w:divBdr>
                        <w:top w:val="none" w:sz="0" w:space="0" w:color="auto"/>
                        <w:left w:val="none" w:sz="0" w:space="0" w:color="auto"/>
                        <w:bottom w:val="none" w:sz="0" w:space="0" w:color="auto"/>
                        <w:right w:val="none" w:sz="0" w:space="0" w:color="auto"/>
                      </w:divBdr>
                      <w:divsChild>
                        <w:div w:id="845247144">
                          <w:marLeft w:val="0"/>
                          <w:marRight w:val="0"/>
                          <w:marTop w:val="0"/>
                          <w:marBottom w:val="0"/>
                          <w:divBdr>
                            <w:top w:val="none" w:sz="0" w:space="0" w:color="auto"/>
                            <w:left w:val="none" w:sz="0" w:space="0" w:color="auto"/>
                            <w:bottom w:val="none" w:sz="0" w:space="0" w:color="auto"/>
                            <w:right w:val="none" w:sz="0" w:space="0" w:color="auto"/>
                          </w:divBdr>
                          <w:divsChild>
                            <w:div w:id="259683681">
                              <w:marLeft w:val="0"/>
                              <w:marRight w:val="0"/>
                              <w:marTop w:val="0"/>
                              <w:marBottom w:val="0"/>
                              <w:divBdr>
                                <w:top w:val="none" w:sz="0" w:space="0" w:color="auto"/>
                                <w:left w:val="none" w:sz="0" w:space="0" w:color="auto"/>
                                <w:bottom w:val="none" w:sz="0" w:space="0" w:color="auto"/>
                                <w:right w:val="none" w:sz="0" w:space="0" w:color="auto"/>
                              </w:divBdr>
                              <w:divsChild>
                                <w:div w:id="6879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17212">
      <w:bodyDiv w:val="1"/>
      <w:marLeft w:val="0"/>
      <w:marRight w:val="0"/>
      <w:marTop w:val="0"/>
      <w:marBottom w:val="0"/>
      <w:divBdr>
        <w:top w:val="none" w:sz="0" w:space="0" w:color="auto"/>
        <w:left w:val="none" w:sz="0" w:space="0" w:color="auto"/>
        <w:bottom w:val="none" w:sz="0" w:space="0" w:color="auto"/>
        <w:right w:val="none" w:sz="0" w:space="0" w:color="auto"/>
      </w:divBdr>
    </w:div>
    <w:div w:id="1090155330">
      <w:bodyDiv w:val="1"/>
      <w:marLeft w:val="0"/>
      <w:marRight w:val="0"/>
      <w:marTop w:val="0"/>
      <w:marBottom w:val="0"/>
      <w:divBdr>
        <w:top w:val="none" w:sz="0" w:space="0" w:color="auto"/>
        <w:left w:val="none" w:sz="0" w:space="0" w:color="auto"/>
        <w:bottom w:val="none" w:sz="0" w:space="0" w:color="auto"/>
        <w:right w:val="none" w:sz="0" w:space="0" w:color="auto"/>
      </w:divBdr>
      <w:divsChild>
        <w:div w:id="44380031">
          <w:marLeft w:val="0"/>
          <w:marRight w:val="0"/>
          <w:marTop w:val="0"/>
          <w:marBottom w:val="0"/>
          <w:divBdr>
            <w:top w:val="none" w:sz="0" w:space="0" w:color="auto"/>
            <w:left w:val="none" w:sz="0" w:space="0" w:color="auto"/>
            <w:bottom w:val="none" w:sz="0" w:space="0" w:color="auto"/>
            <w:right w:val="none" w:sz="0" w:space="0" w:color="auto"/>
          </w:divBdr>
          <w:divsChild>
            <w:div w:id="1226333831">
              <w:marLeft w:val="0"/>
              <w:marRight w:val="0"/>
              <w:marTop w:val="0"/>
              <w:marBottom w:val="0"/>
              <w:divBdr>
                <w:top w:val="none" w:sz="0" w:space="0" w:color="auto"/>
                <w:left w:val="none" w:sz="0" w:space="0" w:color="auto"/>
                <w:bottom w:val="none" w:sz="0" w:space="0" w:color="auto"/>
                <w:right w:val="none" w:sz="0" w:space="0" w:color="auto"/>
              </w:divBdr>
              <w:divsChild>
                <w:div w:id="555943478">
                  <w:marLeft w:val="0"/>
                  <w:marRight w:val="0"/>
                  <w:marTop w:val="0"/>
                  <w:marBottom w:val="0"/>
                  <w:divBdr>
                    <w:top w:val="none" w:sz="0" w:space="0" w:color="auto"/>
                    <w:left w:val="none" w:sz="0" w:space="0" w:color="auto"/>
                    <w:bottom w:val="none" w:sz="0" w:space="0" w:color="auto"/>
                    <w:right w:val="none" w:sz="0" w:space="0" w:color="auto"/>
                  </w:divBdr>
                  <w:divsChild>
                    <w:div w:id="234055555">
                      <w:marLeft w:val="0"/>
                      <w:marRight w:val="0"/>
                      <w:marTop w:val="0"/>
                      <w:marBottom w:val="0"/>
                      <w:divBdr>
                        <w:top w:val="none" w:sz="0" w:space="0" w:color="auto"/>
                        <w:left w:val="none" w:sz="0" w:space="0" w:color="auto"/>
                        <w:bottom w:val="none" w:sz="0" w:space="0" w:color="auto"/>
                        <w:right w:val="none" w:sz="0" w:space="0" w:color="auto"/>
                      </w:divBdr>
                      <w:divsChild>
                        <w:div w:id="1536196410">
                          <w:marLeft w:val="0"/>
                          <w:marRight w:val="0"/>
                          <w:marTop w:val="0"/>
                          <w:marBottom w:val="0"/>
                          <w:divBdr>
                            <w:top w:val="none" w:sz="0" w:space="0" w:color="auto"/>
                            <w:left w:val="none" w:sz="0" w:space="0" w:color="auto"/>
                            <w:bottom w:val="none" w:sz="0" w:space="0" w:color="auto"/>
                            <w:right w:val="none" w:sz="0" w:space="0" w:color="auto"/>
                          </w:divBdr>
                          <w:divsChild>
                            <w:div w:id="564755000">
                              <w:marLeft w:val="0"/>
                              <w:marRight w:val="0"/>
                              <w:marTop w:val="0"/>
                              <w:marBottom w:val="0"/>
                              <w:divBdr>
                                <w:top w:val="none" w:sz="0" w:space="0" w:color="auto"/>
                                <w:left w:val="none" w:sz="0" w:space="0" w:color="auto"/>
                                <w:bottom w:val="none" w:sz="0" w:space="0" w:color="auto"/>
                                <w:right w:val="none" w:sz="0" w:space="0" w:color="auto"/>
                              </w:divBdr>
                              <w:divsChild>
                                <w:div w:id="1266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327688">
      <w:bodyDiv w:val="1"/>
      <w:marLeft w:val="0"/>
      <w:marRight w:val="0"/>
      <w:marTop w:val="0"/>
      <w:marBottom w:val="0"/>
      <w:divBdr>
        <w:top w:val="none" w:sz="0" w:space="0" w:color="auto"/>
        <w:left w:val="none" w:sz="0" w:space="0" w:color="auto"/>
        <w:bottom w:val="none" w:sz="0" w:space="0" w:color="auto"/>
        <w:right w:val="none" w:sz="0" w:space="0" w:color="auto"/>
      </w:divBdr>
    </w:div>
    <w:div w:id="1291596744">
      <w:bodyDiv w:val="1"/>
      <w:marLeft w:val="0"/>
      <w:marRight w:val="0"/>
      <w:marTop w:val="0"/>
      <w:marBottom w:val="0"/>
      <w:divBdr>
        <w:top w:val="none" w:sz="0" w:space="0" w:color="auto"/>
        <w:left w:val="none" w:sz="0" w:space="0" w:color="auto"/>
        <w:bottom w:val="none" w:sz="0" w:space="0" w:color="auto"/>
        <w:right w:val="none" w:sz="0" w:space="0" w:color="auto"/>
      </w:divBdr>
    </w:div>
    <w:div w:id="1503156382">
      <w:bodyDiv w:val="1"/>
      <w:marLeft w:val="0"/>
      <w:marRight w:val="0"/>
      <w:marTop w:val="0"/>
      <w:marBottom w:val="0"/>
      <w:divBdr>
        <w:top w:val="none" w:sz="0" w:space="0" w:color="auto"/>
        <w:left w:val="none" w:sz="0" w:space="0" w:color="auto"/>
        <w:bottom w:val="none" w:sz="0" w:space="0" w:color="auto"/>
        <w:right w:val="none" w:sz="0" w:space="0" w:color="auto"/>
      </w:divBdr>
    </w:div>
    <w:div w:id="1854685887">
      <w:bodyDiv w:val="1"/>
      <w:marLeft w:val="0"/>
      <w:marRight w:val="0"/>
      <w:marTop w:val="0"/>
      <w:marBottom w:val="0"/>
      <w:divBdr>
        <w:top w:val="none" w:sz="0" w:space="0" w:color="auto"/>
        <w:left w:val="none" w:sz="0" w:space="0" w:color="auto"/>
        <w:bottom w:val="none" w:sz="0" w:space="0" w:color="auto"/>
        <w:right w:val="none" w:sz="0" w:space="0" w:color="auto"/>
      </w:divBdr>
    </w:div>
    <w:div w:id="1955012267">
      <w:bodyDiv w:val="1"/>
      <w:marLeft w:val="0"/>
      <w:marRight w:val="0"/>
      <w:marTop w:val="0"/>
      <w:marBottom w:val="0"/>
      <w:divBdr>
        <w:top w:val="none" w:sz="0" w:space="0" w:color="auto"/>
        <w:left w:val="none" w:sz="0" w:space="0" w:color="auto"/>
        <w:bottom w:val="none" w:sz="0" w:space="0" w:color="auto"/>
        <w:right w:val="none" w:sz="0" w:space="0" w:color="auto"/>
      </w:divBdr>
      <w:divsChild>
        <w:div w:id="1243486079">
          <w:marLeft w:val="0"/>
          <w:marRight w:val="0"/>
          <w:marTop w:val="0"/>
          <w:marBottom w:val="0"/>
          <w:divBdr>
            <w:top w:val="none" w:sz="0" w:space="0" w:color="auto"/>
            <w:left w:val="none" w:sz="0" w:space="0" w:color="auto"/>
            <w:bottom w:val="none" w:sz="0" w:space="0" w:color="auto"/>
            <w:right w:val="none" w:sz="0" w:space="0" w:color="auto"/>
          </w:divBdr>
          <w:divsChild>
            <w:div w:id="1461456779">
              <w:marLeft w:val="0"/>
              <w:marRight w:val="0"/>
              <w:marTop w:val="0"/>
              <w:marBottom w:val="0"/>
              <w:divBdr>
                <w:top w:val="none" w:sz="0" w:space="0" w:color="auto"/>
                <w:left w:val="none" w:sz="0" w:space="0" w:color="auto"/>
                <w:bottom w:val="none" w:sz="0" w:space="0" w:color="auto"/>
                <w:right w:val="none" w:sz="0" w:space="0" w:color="auto"/>
              </w:divBdr>
              <w:divsChild>
                <w:div w:id="1949652790">
                  <w:marLeft w:val="0"/>
                  <w:marRight w:val="0"/>
                  <w:marTop w:val="0"/>
                  <w:marBottom w:val="0"/>
                  <w:divBdr>
                    <w:top w:val="none" w:sz="0" w:space="0" w:color="auto"/>
                    <w:left w:val="none" w:sz="0" w:space="0" w:color="auto"/>
                    <w:bottom w:val="none" w:sz="0" w:space="0" w:color="auto"/>
                    <w:right w:val="none" w:sz="0" w:space="0" w:color="auto"/>
                  </w:divBdr>
                  <w:divsChild>
                    <w:div w:id="765614286">
                      <w:marLeft w:val="0"/>
                      <w:marRight w:val="0"/>
                      <w:marTop w:val="0"/>
                      <w:marBottom w:val="0"/>
                      <w:divBdr>
                        <w:top w:val="none" w:sz="0" w:space="0" w:color="auto"/>
                        <w:left w:val="none" w:sz="0" w:space="0" w:color="auto"/>
                        <w:bottom w:val="none" w:sz="0" w:space="0" w:color="auto"/>
                        <w:right w:val="none" w:sz="0" w:space="0" w:color="auto"/>
                      </w:divBdr>
                      <w:divsChild>
                        <w:div w:id="1292050495">
                          <w:marLeft w:val="0"/>
                          <w:marRight w:val="0"/>
                          <w:marTop w:val="0"/>
                          <w:marBottom w:val="0"/>
                          <w:divBdr>
                            <w:top w:val="none" w:sz="0" w:space="0" w:color="auto"/>
                            <w:left w:val="none" w:sz="0" w:space="0" w:color="auto"/>
                            <w:bottom w:val="none" w:sz="0" w:space="0" w:color="auto"/>
                            <w:right w:val="none" w:sz="0" w:space="0" w:color="auto"/>
                          </w:divBdr>
                          <w:divsChild>
                            <w:div w:id="2074739531">
                              <w:marLeft w:val="0"/>
                              <w:marRight w:val="0"/>
                              <w:marTop w:val="0"/>
                              <w:marBottom w:val="0"/>
                              <w:divBdr>
                                <w:top w:val="none" w:sz="0" w:space="0" w:color="auto"/>
                                <w:left w:val="none" w:sz="0" w:space="0" w:color="auto"/>
                                <w:bottom w:val="none" w:sz="0" w:space="0" w:color="auto"/>
                                <w:right w:val="none" w:sz="0" w:space="0" w:color="auto"/>
                              </w:divBdr>
                              <w:divsChild>
                                <w:div w:id="20525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00989">
      <w:bodyDiv w:val="1"/>
      <w:marLeft w:val="0"/>
      <w:marRight w:val="0"/>
      <w:marTop w:val="0"/>
      <w:marBottom w:val="0"/>
      <w:divBdr>
        <w:top w:val="none" w:sz="0" w:space="0" w:color="auto"/>
        <w:left w:val="none" w:sz="0" w:space="0" w:color="auto"/>
        <w:bottom w:val="none" w:sz="0" w:space="0" w:color="auto"/>
        <w:right w:val="none" w:sz="0" w:space="0" w:color="auto"/>
      </w:divBdr>
      <w:divsChild>
        <w:div w:id="2084909266">
          <w:marLeft w:val="0"/>
          <w:marRight w:val="0"/>
          <w:marTop w:val="0"/>
          <w:marBottom w:val="0"/>
          <w:divBdr>
            <w:top w:val="none" w:sz="0" w:space="0" w:color="auto"/>
            <w:left w:val="none" w:sz="0" w:space="0" w:color="auto"/>
            <w:bottom w:val="none" w:sz="0" w:space="0" w:color="auto"/>
            <w:right w:val="none" w:sz="0" w:space="0" w:color="auto"/>
          </w:divBdr>
          <w:divsChild>
            <w:div w:id="834295700">
              <w:marLeft w:val="0"/>
              <w:marRight w:val="0"/>
              <w:marTop w:val="0"/>
              <w:marBottom w:val="0"/>
              <w:divBdr>
                <w:top w:val="none" w:sz="0" w:space="0" w:color="auto"/>
                <w:left w:val="none" w:sz="0" w:space="0" w:color="auto"/>
                <w:bottom w:val="none" w:sz="0" w:space="0" w:color="auto"/>
                <w:right w:val="none" w:sz="0" w:space="0" w:color="auto"/>
              </w:divBdr>
              <w:divsChild>
                <w:div w:id="529992903">
                  <w:marLeft w:val="0"/>
                  <w:marRight w:val="0"/>
                  <w:marTop w:val="0"/>
                  <w:marBottom w:val="0"/>
                  <w:divBdr>
                    <w:top w:val="none" w:sz="0" w:space="0" w:color="auto"/>
                    <w:left w:val="none" w:sz="0" w:space="0" w:color="auto"/>
                    <w:bottom w:val="none" w:sz="0" w:space="0" w:color="auto"/>
                    <w:right w:val="none" w:sz="0" w:space="0" w:color="auto"/>
                  </w:divBdr>
                  <w:divsChild>
                    <w:div w:id="1665352719">
                      <w:marLeft w:val="0"/>
                      <w:marRight w:val="0"/>
                      <w:marTop w:val="0"/>
                      <w:marBottom w:val="0"/>
                      <w:divBdr>
                        <w:top w:val="none" w:sz="0" w:space="0" w:color="auto"/>
                        <w:left w:val="none" w:sz="0" w:space="0" w:color="auto"/>
                        <w:bottom w:val="none" w:sz="0" w:space="0" w:color="auto"/>
                        <w:right w:val="none" w:sz="0" w:space="0" w:color="auto"/>
                      </w:divBdr>
                      <w:divsChild>
                        <w:div w:id="948123678">
                          <w:marLeft w:val="0"/>
                          <w:marRight w:val="0"/>
                          <w:marTop w:val="0"/>
                          <w:marBottom w:val="0"/>
                          <w:divBdr>
                            <w:top w:val="none" w:sz="0" w:space="0" w:color="auto"/>
                            <w:left w:val="none" w:sz="0" w:space="0" w:color="auto"/>
                            <w:bottom w:val="none" w:sz="0" w:space="0" w:color="auto"/>
                            <w:right w:val="none" w:sz="0" w:space="0" w:color="auto"/>
                          </w:divBdr>
                          <w:divsChild>
                            <w:div w:id="1785732206">
                              <w:marLeft w:val="0"/>
                              <w:marRight w:val="0"/>
                              <w:marTop w:val="0"/>
                              <w:marBottom w:val="0"/>
                              <w:divBdr>
                                <w:top w:val="none" w:sz="0" w:space="0" w:color="auto"/>
                                <w:left w:val="none" w:sz="0" w:space="0" w:color="auto"/>
                                <w:bottom w:val="none" w:sz="0" w:space="0" w:color="auto"/>
                                <w:right w:val="none" w:sz="0" w:space="0" w:color="auto"/>
                              </w:divBdr>
                              <w:divsChild>
                                <w:div w:id="563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agedcare.gov.au/sites/default/files/2021-09/operational-manual-for-home-care-package-consum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pan.org.au" TargetMode="External"/><Relationship Id="rId4" Type="http://schemas.openxmlformats.org/officeDocument/2006/relationships/settings" Target="settings.xml"/><Relationship Id="rId9" Type="http://schemas.openxmlformats.org/officeDocument/2006/relationships/hyperlink" Target="https://www.health.gov.au/health-topics/aged-care/aged-care-reforms-and-reviews/improved-payment-arrangements-for-home-ca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EB7A-4D34-4CEF-A2D0-AE0541ED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payment arrangements for home care – Self-managed care recipient fact sheet</dc:title>
  <dc:subject>Aged care</dc:subject>
  <dc:creator>Australian Government Department of Health</dc:creator>
  <cp:keywords>Aged care; home care; Self-managed care recipient fact sheet</cp:keywords>
  <dc:description/>
  <cp:lastModifiedBy>MASCHKE, Elvia</cp:lastModifiedBy>
  <cp:revision>3</cp:revision>
  <cp:lastPrinted>2018-03-27T22:15:00Z</cp:lastPrinted>
  <dcterms:created xsi:type="dcterms:W3CDTF">2022-02-16T00:50:00Z</dcterms:created>
  <dcterms:modified xsi:type="dcterms:W3CDTF">2022-02-16T00:53:00Z</dcterms:modified>
</cp:coreProperties>
</file>